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3F9C" w14:textId="4FA48E90" w:rsidR="00073523" w:rsidRPr="00C2528A" w:rsidRDefault="00BA1284" w:rsidP="00C2528A">
      <w:pPr>
        <w:pStyle w:val="Title"/>
      </w:pPr>
      <w:r w:rsidRPr="00C2528A">
        <w:t>Independent Patient Choice and Procurement Panel</w:t>
      </w:r>
    </w:p>
    <w:p w14:paraId="099EC198" w14:textId="3B35CA00" w:rsidR="00BA1284" w:rsidRPr="00E56C34" w:rsidRDefault="00BA1284" w:rsidP="00E56C34">
      <w:pPr>
        <w:pStyle w:val="Subtitle"/>
      </w:pPr>
      <w:r w:rsidRPr="00E56C34">
        <w:t xml:space="preserve">Review of a </w:t>
      </w:r>
      <w:r w:rsidR="008864AD" w:rsidRPr="00E56C34">
        <w:t xml:space="preserve">proposed contract award </w:t>
      </w:r>
    </w:p>
    <w:p w14:paraId="14D3A4FB" w14:textId="77777777" w:rsidR="00C2528A" w:rsidRDefault="00C2528A" w:rsidP="00812B38">
      <w:pPr>
        <w:pStyle w:val="Subtitle"/>
        <w:rPr>
          <w:highlight w:val="yellow"/>
        </w:rPr>
      </w:pPr>
    </w:p>
    <w:p w14:paraId="3D241E8A" w14:textId="0B2C0052" w:rsidR="008864AD" w:rsidRPr="00B53993" w:rsidRDefault="006914B9" w:rsidP="00812B38">
      <w:pPr>
        <w:pStyle w:val="Subtitle"/>
      </w:pPr>
      <w:r w:rsidRPr="00653EC7">
        <w:t xml:space="preserve">Insourced Services </w:t>
      </w:r>
      <w:r w:rsidR="0066576B" w:rsidRPr="00653EC7">
        <w:t>at</w:t>
      </w:r>
      <w:r w:rsidR="00916857" w:rsidRPr="00653EC7">
        <w:t xml:space="preserve"> </w:t>
      </w:r>
      <w:r w:rsidR="0066576B" w:rsidRPr="00653EC7">
        <w:t xml:space="preserve">University Hospitals of </w:t>
      </w:r>
      <w:r w:rsidR="00916857">
        <w:t>Leicester</w:t>
      </w:r>
      <w:r w:rsidR="00916857" w:rsidDel="00E404F2">
        <w:t xml:space="preserve"> </w:t>
      </w:r>
      <w:r w:rsidR="0066576B" w:rsidRPr="00653EC7">
        <w:t>NHS Trust</w:t>
      </w:r>
    </w:p>
    <w:p w14:paraId="6D39B052" w14:textId="77777777" w:rsidR="00DC6D78" w:rsidRDefault="00DC6D78"/>
    <w:p w14:paraId="477EAD69" w14:textId="77777777" w:rsidR="0025106C" w:rsidRDefault="0025106C" w:rsidP="00812B38">
      <w:pPr>
        <w:pStyle w:val="Subtitle"/>
        <w:rPr>
          <w:sz w:val="28"/>
          <w:szCs w:val="24"/>
        </w:rPr>
      </w:pPr>
    </w:p>
    <w:p w14:paraId="70E108B0" w14:textId="77777777" w:rsidR="0025106C" w:rsidRDefault="0025106C" w:rsidP="00812B38">
      <w:pPr>
        <w:pStyle w:val="Subtitle"/>
        <w:rPr>
          <w:sz w:val="28"/>
          <w:szCs w:val="24"/>
        </w:rPr>
      </w:pPr>
    </w:p>
    <w:p w14:paraId="083AECAA" w14:textId="77777777" w:rsidR="0025106C" w:rsidRDefault="0025106C" w:rsidP="00812B38">
      <w:pPr>
        <w:pStyle w:val="Subtitle"/>
        <w:rPr>
          <w:sz w:val="28"/>
          <w:szCs w:val="24"/>
        </w:rPr>
      </w:pPr>
    </w:p>
    <w:p w14:paraId="4FA54F58" w14:textId="5FF88E0C" w:rsidR="00D6101B" w:rsidRPr="00812B38" w:rsidRDefault="00D6101B" w:rsidP="00812B38">
      <w:pPr>
        <w:pStyle w:val="Subtitle"/>
        <w:rPr>
          <w:sz w:val="28"/>
          <w:szCs w:val="24"/>
        </w:rPr>
      </w:pPr>
      <w:r w:rsidRPr="00812B38">
        <w:rPr>
          <w:sz w:val="28"/>
          <w:szCs w:val="24"/>
        </w:rPr>
        <w:t xml:space="preserve">Case Reference: </w:t>
      </w:r>
      <w:r w:rsidR="00F631AF">
        <w:rPr>
          <w:sz w:val="28"/>
          <w:szCs w:val="24"/>
        </w:rPr>
        <w:t>CR0031-25</w:t>
      </w:r>
    </w:p>
    <w:p w14:paraId="2FD38E52" w14:textId="793793FA" w:rsidR="00D6101B" w:rsidRPr="00812B38" w:rsidRDefault="009556CE" w:rsidP="00812B38">
      <w:pPr>
        <w:pStyle w:val="Subtitle"/>
        <w:rPr>
          <w:sz w:val="28"/>
          <w:szCs w:val="24"/>
        </w:rPr>
      </w:pPr>
      <w:r>
        <w:rPr>
          <w:sz w:val="28"/>
          <w:szCs w:val="24"/>
        </w:rPr>
        <w:t>21 January 2026</w:t>
      </w:r>
    </w:p>
    <w:p w14:paraId="6AF81D4D" w14:textId="4B890C22" w:rsidR="0005616B" w:rsidRDefault="0005616B">
      <w:pPr>
        <w:rPr>
          <w:b/>
          <w:bCs/>
          <w:color w:val="0070C0"/>
          <w:sz w:val="28"/>
          <w:szCs w:val="28"/>
        </w:rPr>
      </w:pPr>
      <w:r>
        <w:rPr>
          <w:b/>
          <w:bCs/>
          <w:color w:val="0070C0"/>
          <w:sz w:val="28"/>
          <w:szCs w:val="28"/>
        </w:rPr>
        <w:br w:type="page"/>
      </w:r>
    </w:p>
    <w:sdt>
      <w:sdtPr>
        <w:rPr>
          <w:rFonts w:cs="Arial"/>
          <w:b/>
          <w:bCs/>
          <w:sz w:val="28"/>
          <w:szCs w:val="28"/>
        </w:rPr>
        <w:id w:val="-119384216"/>
        <w:docPartObj>
          <w:docPartGallery w:val="Table of Contents"/>
          <w:docPartUnique/>
        </w:docPartObj>
      </w:sdtPr>
      <w:sdtEndPr>
        <w:rPr>
          <w:rFonts w:cstheme="minorBidi"/>
          <w:sz w:val="22"/>
          <w:szCs w:val="22"/>
        </w:rPr>
      </w:sdtEndPr>
      <w:sdtContent>
        <w:p w14:paraId="5566C04A" w14:textId="4E1AFD3B" w:rsidR="00B42AE6" w:rsidRPr="00971C84" w:rsidRDefault="00B42AE6" w:rsidP="00971C84">
          <w:pPr>
            <w:rPr>
              <w:rFonts w:cs="Arial"/>
              <w:b/>
              <w:bCs/>
              <w:sz w:val="28"/>
              <w:szCs w:val="28"/>
            </w:rPr>
          </w:pPr>
          <w:r w:rsidRPr="00971C84">
            <w:rPr>
              <w:rFonts w:cs="Arial"/>
              <w:b/>
              <w:bCs/>
              <w:sz w:val="28"/>
              <w:szCs w:val="28"/>
            </w:rPr>
            <w:t>Contents</w:t>
          </w:r>
        </w:p>
        <w:p w14:paraId="7CD13724" w14:textId="2739CC35" w:rsidR="00034997" w:rsidRDefault="00B42AE6">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18602388" w:history="1">
            <w:r w:rsidR="00034997" w:rsidRPr="00090489">
              <w:rPr>
                <w:rStyle w:val="Hyperlink"/>
                <w:noProof/>
              </w:rPr>
              <w:t>1</w:t>
            </w:r>
            <w:r w:rsidR="00034997">
              <w:rPr>
                <w:rFonts w:asciiTheme="minorHAnsi" w:eastAsiaTheme="minorEastAsia" w:hAnsiTheme="minorHAnsi"/>
                <w:noProof/>
                <w:sz w:val="24"/>
                <w:szCs w:val="24"/>
                <w:lang w:eastAsia="en-GB"/>
              </w:rPr>
              <w:tab/>
            </w:r>
            <w:r w:rsidR="00034997" w:rsidRPr="00090489">
              <w:rPr>
                <w:rStyle w:val="Hyperlink"/>
                <w:noProof/>
              </w:rPr>
              <w:t>Executive Summary</w:t>
            </w:r>
            <w:r w:rsidR="00034997">
              <w:rPr>
                <w:noProof/>
                <w:webHidden/>
              </w:rPr>
              <w:tab/>
            </w:r>
            <w:r w:rsidR="00034997">
              <w:rPr>
                <w:noProof/>
                <w:webHidden/>
              </w:rPr>
              <w:fldChar w:fldCharType="begin"/>
            </w:r>
            <w:r w:rsidR="00034997">
              <w:rPr>
                <w:noProof/>
                <w:webHidden/>
              </w:rPr>
              <w:instrText xml:space="preserve"> PAGEREF _Toc218602388 \h </w:instrText>
            </w:r>
            <w:r w:rsidR="00034997">
              <w:rPr>
                <w:noProof/>
                <w:webHidden/>
              </w:rPr>
            </w:r>
            <w:r w:rsidR="00034997">
              <w:rPr>
                <w:noProof/>
                <w:webHidden/>
              </w:rPr>
              <w:fldChar w:fldCharType="separate"/>
            </w:r>
            <w:r w:rsidR="009F2976">
              <w:rPr>
                <w:noProof/>
                <w:webHidden/>
              </w:rPr>
              <w:t>3</w:t>
            </w:r>
            <w:r w:rsidR="00034997">
              <w:rPr>
                <w:noProof/>
                <w:webHidden/>
              </w:rPr>
              <w:fldChar w:fldCharType="end"/>
            </w:r>
          </w:hyperlink>
        </w:p>
        <w:p w14:paraId="013D4E4D" w14:textId="2992BCE6"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89" w:history="1">
            <w:r w:rsidRPr="00090489">
              <w:rPr>
                <w:rStyle w:val="Hyperlink"/>
                <w:noProof/>
              </w:rPr>
              <w:t>2</w:t>
            </w:r>
            <w:r>
              <w:rPr>
                <w:rFonts w:asciiTheme="minorHAnsi" w:eastAsiaTheme="minorEastAsia" w:hAnsiTheme="minorHAnsi"/>
                <w:noProof/>
                <w:sz w:val="24"/>
                <w:szCs w:val="24"/>
                <w:lang w:eastAsia="en-GB"/>
              </w:rPr>
              <w:tab/>
            </w:r>
            <w:r w:rsidRPr="00090489">
              <w:rPr>
                <w:rStyle w:val="Hyperlink"/>
                <w:noProof/>
              </w:rPr>
              <w:t>Introduction</w:t>
            </w:r>
            <w:r>
              <w:rPr>
                <w:noProof/>
                <w:webHidden/>
              </w:rPr>
              <w:tab/>
            </w:r>
            <w:r>
              <w:rPr>
                <w:noProof/>
                <w:webHidden/>
              </w:rPr>
              <w:fldChar w:fldCharType="begin"/>
            </w:r>
            <w:r>
              <w:rPr>
                <w:noProof/>
                <w:webHidden/>
              </w:rPr>
              <w:instrText xml:space="preserve"> PAGEREF _Toc218602389 \h </w:instrText>
            </w:r>
            <w:r>
              <w:rPr>
                <w:noProof/>
                <w:webHidden/>
              </w:rPr>
            </w:r>
            <w:r>
              <w:rPr>
                <w:noProof/>
                <w:webHidden/>
              </w:rPr>
              <w:fldChar w:fldCharType="separate"/>
            </w:r>
            <w:r w:rsidR="009F2976">
              <w:rPr>
                <w:noProof/>
                <w:webHidden/>
              </w:rPr>
              <w:t>5</w:t>
            </w:r>
            <w:r>
              <w:rPr>
                <w:noProof/>
                <w:webHidden/>
              </w:rPr>
              <w:fldChar w:fldCharType="end"/>
            </w:r>
          </w:hyperlink>
        </w:p>
        <w:p w14:paraId="27F19AF1" w14:textId="3D6E07B6"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0" w:history="1">
            <w:r w:rsidRPr="00090489">
              <w:rPr>
                <w:rStyle w:val="Hyperlink"/>
                <w:noProof/>
              </w:rPr>
              <w:t>3</w:t>
            </w:r>
            <w:r>
              <w:rPr>
                <w:rFonts w:asciiTheme="minorHAnsi" w:eastAsiaTheme="minorEastAsia" w:hAnsiTheme="minorHAnsi"/>
                <w:noProof/>
                <w:sz w:val="24"/>
                <w:szCs w:val="24"/>
                <w:lang w:eastAsia="en-GB"/>
              </w:rPr>
              <w:tab/>
            </w:r>
            <w:r w:rsidRPr="00090489">
              <w:rPr>
                <w:rStyle w:val="Hyperlink"/>
                <w:noProof/>
              </w:rPr>
              <w:t>Role of the Panel</w:t>
            </w:r>
            <w:r>
              <w:rPr>
                <w:noProof/>
                <w:webHidden/>
              </w:rPr>
              <w:tab/>
            </w:r>
            <w:r>
              <w:rPr>
                <w:noProof/>
                <w:webHidden/>
              </w:rPr>
              <w:fldChar w:fldCharType="begin"/>
            </w:r>
            <w:r>
              <w:rPr>
                <w:noProof/>
                <w:webHidden/>
              </w:rPr>
              <w:instrText xml:space="preserve"> PAGEREF _Toc218602390 \h </w:instrText>
            </w:r>
            <w:r>
              <w:rPr>
                <w:noProof/>
                <w:webHidden/>
              </w:rPr>
            </w:r>
            <w:r>
              <w:rPr>
                <w:noProof/>
                <w:webHidden/>
              </w:rPr>
              <w:fldChar w:fldCharType="separate"/>
            </w:r>
            <w:r w:rsidR="009F2976">
              <w:rPr>
                <w:noProof/>
                <w:webHidden/>
              </w:rPr>
              <w:t>6</w:t>
            </w:r>
            <w:r>
              <w:rPr>
                <w:noProof/>
                <w:webHidden/>
              </w:rPr>
              <w:fldChar w:fldCharType="end"/>
            </w:r>
          </w:hyperlink>
        </w:p>
        <w:p w14:paraId="7AD1E784" w14:textId="1A8BE618"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1" w:history="1">
            <w:r w:rsidRPr="00090489">
              <w:rPr>
                <w:rStyle w:val="Hyperlink"/>
                <w:noProof/>
              </w:rPr>
              <w:t>4</w:t>
            </w:r>
            <w:r>
              <w:rPr>
                <w:rFonts w:asciiTheme="minorHAnsi" w:eastAsiaTheme="minorEastAsia" w:hAnsiTheme="minorHAnsi"/>
                <w:noProof/>
                <w:sz w:val="24"/>
                <w:szCs w:val="24"/>
                <w:lang w:eastAsia="en-GB"/>
              </w:rPr>
              <w:tab/>
            </w:r>
            <w:r w:rsidRPr="00090489">
              <w:rPr>
                <w:rStyle w:val="Hyperlink"/>
                <w:noProof/>
              </w:rPr>
              <w:t>Background to this review</w:t>
            </w:r>
            <w:r>
              <w:rPr>
                <w:noProof/>
                <w:webHidden/>
              </w:rPr>
              <w:tab/>
            </w:r>
            <w:r>
              <w:rPr>
                <w:noProof/>
                <w:webHidden/>
              </w:rPr>
              <w:fldChar w:fldCharType="begin"/>
            </w:r>
            <w:r>
              <w:rPr>
                <w:noProof/>
                <w:webHidden/>
              </w:rPr>
              <w:instrText xml:space="preserve"> PAGEREF _Toc218602391 \h </w:instrText>
            </w:r>
            <w:r>
              <w:rPr>
                <w:noProof/>
                <w:webHidden/>
              </w:rPr>
            </w:r>
            <w:r>
              <w:rPr>
                <w:noProof/>
                <w:webHidden/>
              </w:rPr>
              <w:fldChar w:fldCharType="separate"/>
            </w:r>
            <w:r w:rsidR="009F2976">
              <w:rPr>
                <w:noProof/>
                <w:webHidden/>
              </w:rPr>
              <w:t>6</w:t>
            </w:r>
            <w:r>
              <w:rPr>
                <w:noProof/>
                <w:webHidden/>
              </w:rPr>
              <w:fldChar w:fldCharType="end"/>
            </w:r>
          </w:hyperlink>
        </w:p>
        <w:p w14:paraId="61ABA1BC" w14:textId="1A4E8F67"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2" w:history="1">
            <w:r w:rsidRPr="00090489">
              <w:rPr>
                <w:rStyle w:val="Hyperlink"/>
                <w:noProof/>
              </w:rPr>
              <w:t>5</w:t>
            </w:r>
            <w:r>
              <w:rPr>
                <w:rFonts w:asciiTheme="minorHAnsi" w:eastAsiaTheme="minorEastAsia" w:hAnsiTheme="minorHAnsi"/>
                <w:noProof/>
                <w:sz w:val="24"/>
                <w:szCs w:val="24"/>
                <w:lang w:eastAsia="en-GB"/>
              </w:rPr>
              <w:tab/>
            </w:r>
            <w:r w:rsidRPr="00090489">
              <w:rPr>
                <w:rStyle w:val="Hyperlink"/>
                <w:noProof/>
              </w:rPr>
              <w:t>Representations by YWR</w:t>
            </w:r>
            <w:r>
              <w:rPr>
                <w:noProof/>
                <w:webHidden/>
              </w:rPr>
              <w:tab/>
            </w:r>
            <w:r>
              <w:rPr>
                <w:noProof/>
                <w:webHidden/>
              </w:rPr>
              <w:fldChar w:fldCharType="begin"/>
            </w:r>
            <w:r>
              <w:rPr>
                <w:noProof/>
                <w:webHidden/>
              </w:rPr>
              <w:instrText xml:space="preserve"> PAGEREF _Toc218602392 \h </w:instrText>
            </w:r>
            <w:r>
              <w:rPr>
                <w:noProof/>
                <w:webHidden/>
              </w:rPr>
            </w:r>
            <w:r>
              <w:rPr>
                <w:noProof/>
                <w:webHidden/>
              </w:rPr>
              <w:fldChar w:fldCharType="separate"/>
            </w:r>
            <w:r w:rsidR="009F2976">
              <w:rPr>
                <w:noProof/>
                <w:webHidden/>
              </w:rPr>
              <w:t>8</w:t>
            </w:r>
            <w:r>
              <w:rPr>
                <w:noProof/>
                <w:webHidden/>
              </w:rPr>
              <w:fldChar w:fldCharType="end"/>
            </w:r>
          </w:hyperlink>
        </w:p>
        <w:p w14:paraId="10688563" w14:textId="7A3EBDA7"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3" w:history="1">
            <w:r w:rsidRPr="00090489">
              <w:rPr>
                <w:rStyle w:val="Hyperlink"/>
                <w:noProof/>
              </w:rPr>
              <w:t>6</w:t>
            </w:r>
            <w:r>
              <w:rPr>
                <w:rFonts w:asciiTheme="minorHAnsi" w:eastAsiaTheme="minorEastAsia" w:hAnsiTheme="minorHAnsi"/>
                <w:noProof/>
                <w:sz w:val="24"/>
                <w:szCs w:val="24"/>
                <w:lang w:eastAsia="en-GB"/>
              </w:rPr>
              <w:tab/>
            </w:r>
            <w:r w:rsidRPr="00090489">
              <w:rPr>
                <w:rStyle w:val="Hyperlink"/>
                <w:noProof/>
              </w:rPr>
              <w:t>PSR regulations relevant to this review</w:t>
            </w:r>
            <w:r>
              <w:rPr>
                <w:noProof/>
                <w:webHidden/>
              </w:rPr>
              <w:tab/>
            </w:r>
            <w:r>
              <w:rPr>
                <w:noProof/>
                <w:webHidden/>
              </w:rPr>
              <w:fldChar w:fldCharType="begin"/>
            </w:r>
            <w:r>
              <w:rPr>
                <w:noProof/>
                <w:webHidden/>
              </w:rPr>
              <w:instrText xml:space="preserve"> PAGEREF _Toc218602393 \h </w:instrText>
            </w:r>
            <w:r>
              <w:rPr>
                <w:noProof/>
                <w:webHidden/>
              </w:rPr>
            </w:r>
            <w:r>
              <w:rPr>
                <w:noProof/>
                <w:webHidden/>
              </w:rPr>
              <w:fldChar w:fldCharType="separate"/>
            </w:r>
            <w:r w:rsidR="009F2976">
              <w:rPr>
                <w:noProof/>
                <w:webHidden/>
              </w:rPr>
              <w:t>9</w:t>
            </w:r>
            <w:r>
              <w:rPr>
                <w:noProof/>
                <w:webHidden/>
              </w:rPr>
              <w:fldChar w:fldCharType="end"/>
            </w:r>
          </w:hyperlink>
        </w:p>
        <w:p w14:paraId="14D1E383" w14:textId="6BB69AE1"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4" w:history="1">
            <w:r w:rsidRPr="00090489">
              <w:rPr>
                <w:rStyle w:val="Hyperlink"/>
                <w:noProof/>
              </w:rPr>
              <w:t>7</w:t>
            </w:r>
            <w:r>
              <w:rPr>
                <w:rFonts w:asciiTheme="minorHAnsi" w:eastAsiaTheme="minorEastAsia" w:hAnsiTheme="minorHAnsi"/>
                <w:noProof/>
                <w:sz w:val="24"/>
                <w:szCs w:val="24"/>
                <w:lang w:eastAsia="en-GB"/>
              </w:rPr>
              <w:tab/>
            </w:r>
            <w:r w:rsidRPr="00090489">
              <w:rPr>
                <w:rStyle w:val="Hyperlink"/>
                <w:noProof/>
              </w:rPr>
              <w:t>Panel Assessment</w:t>
            </w:r>
            <w:r>
              <w:rPr>
                <w:noProof/>
                <w:webHidden/>
              </w:rPr>
              <w:tab/>
            </w:r>
            <w:r>
              <w:rPr>
                <w:noProof/>
                <w:webHidden/>
              </w:rPr>
              <w:fldChar w:fldCharType="begin"/>
            </w:r>
            <w:r>
              <w:rPr>
                <w:noProof/>
                <w:webHidden/>
              </w:rPr>
              <w:instrText xml:space="preserve"> PAGEREF _Toc218602394 \h </w:instrText>
            </w:r>
            <w:r>
              <w:rPr>
                <w:noProof/>
                <w:webHidden/>
              </w:rPr>
            </w:r>
            <w:r>
              <w:rPr>
                <w:noProof/>
                <w:webHidden/>
              </w:rPr>
              <w:fldChar w:fldCharType="separate"/>
            </w:r>
            <w:r w:rsidR="009F2976">
              <w:rPr>
                <w:noProof/>
                <w:webHidden/>
              </w:rPr>
              <w:t>11</w:t>
            </w:r>
            <w:r>
              <w:rPr>
                <w:noProof/>
                <w:webHidden/>
              </w:rPr>
              <w:fldChar w:fldCharType="end"/>
            </w:r>
          </w:hyperlink>
        </w:p>
        <w:p w14:paraId="5311C313" w14:textId="2EFD5B69" w:rsidR="00034997" w:rsidRDefault="00034997">
          <w:pPr>
            <w:pStyle w:val="TOC2"/>
            <w:tabs>
              <w:tab w:val="left" w:pos="960"/>
              <w:tab w:val="right" w:leader="dot" w:pos="9016"/>
            </w:tabs>
            <w:rPr>
              <w:rFonts w:asciiTheme="minorHAnsi" w:eastAsiaTheme="minorEastAsia" w:hAnsiTheme="minorHAnsi"/>
              <w:noProof/>
              <w:sz w:val="24"/>
              <w:szCs w:val="24"/>
              <w:lang w:eastAsia="en-GB"/>
            </w:rPr>
          </w:pPr>
          <w:hyperlink w:anchor="_Toc218602395" w:history="1">
            <w:r w:rsidRPr="00090489">
              <w:rPr>
                <w:rStyle w:val="Hyperlink"/>
                <w:noProof/>
              </w:rPr>
              <w:t>7.1</w:t>
            </w:r>
            <w:r>
              <w:rPr>
                <w:rFonts w:asciiTheme="minorHAnsi" w:eastAsiaTheme="minorEastAsia" w:hAnsiTheme="minorHAnsi"/>
                <w:noProof/>
                <w:sz w:val="24"/>
                <w:szCs w:val="24"/>
                <w:lang w:eastAsia="en-GB"/>
              </w:rPr>
              <w:tab/>
            </w:r>
            <w:r w:rsidRPr="00090489">
              <w:rPr>
                <w:rStyle w:val="Hyperlink"/>
                <w:noProof/>
              </w:rPr>
              <w:t>UHL’s compliance with service sustainability requirements</w:t>
            </w:r>
            <w:r>
              <w:rPr>
                <w:noProof/>
                <w:webHidden/>
              </w:rPr>
              <w:tab/>
            </w:r>
            <w:r>
              <w:rPr>
                <w:noProof/>
                <w:webHidden/>
              </w:rPr>
              <w:fldChar w:fldCharType="begin"/>
            </w:r>
            <w:r>
              <w:rPr>
                <w:noProof/>
                <w:webHidden/>
              </w:rPr>
              <w:instrText xml:space="preserve"> PAGEREF _Toc218602395 \h </w:instrText>
            </w:r>
            <w:r>
              <w:rPr>
                <w:noProof/>
                <w:webHidden/>
              </w:rPr>
            </w:r>
            <w:r>
              <w:rPr>
                <w:noProof/>
                <w:webHidden/>
              </w:rPr>
              <w:fldChar w:fldCharType="separate"/>
            </w:r>
            <w:r w:rsidR="009F2976">
              <w:rPr>
                <w:noProof/>
                <w:webHidden/>
              </w:rPr>
              <w:t>11</w:t>
            </w:r>
            <w:r>
              <w:rPr>
                <w:noProof/>
                <w:webHidden/>
              </w:rPr>
              <w:fldChar w:fldCharType="end"/>
            </w:r>
          </w:hyperlink>
        </w:p>
        <w:p w14:paraId="6B75895D" w14:textId="0624E7DF" w:rsidR="00034997" w:rsidRDefault="00034997">
          <w:pPr>
            <w:pStyle w:val="TOC2"/>
            <w:tabs>
              <w:tab w:val="left" w:pos="960"/>
              <w:tab w:val="right" w:leader="dot" w:pos="9016"/>
            </w:tabs>
            <w:rPr>
              <w:rFonts w:asciiTheme="minorHAnsi" w:eastAsiaTheme="minorEastAsia" w:hAnsiTheme="minorHAnsi"/>
              <w:noProof/>
              <w:sz w:val="24"/>
              <w:szCs w:val="24"/>
              <w:lang w:eastAsia="en-GB"/>
            </w:rPr>
          </w:pPr>
          <w:hyperlink w:anchor="_Toc218602396" w:history="1">
            <w:r w:rsidRPr="00090489">
              <w:rPr>
                <w:rStyle w:val="Hyperlink"/>
                <w:noProof/>
              </w:rPr>
              <w:t>7.2</w:t>
            </w:r>
            <w:r>
              <w:rPr>
                <w:rFonts w:asciiTheme="minorHAnsi" w:eastAsiaTheme="minorEastAsia" w:hAnsiTheme="minorHAnsi"/>
                <w:noProof/>
                <w:sz w:val="24"/>
                <w:szCs w:val="24"/>
                <w:lang w:eastAsia="en-GB"/>
              </w:rPr>
              <w:tab/>
            </w:r>
            <w:r w:rsidRPr="00090489">
              <w:rPr>
                <w:rStyle w:val="Hyperlink"/>
                <w:noProof/>
              </w:rPr>
              <w:t>YWR’s requests for information and UHL’s response</w:t>
            </w:r>
            <w:r>
              <w:rPr>
                <w:noProof/>
                <w:webHidden/>
              </w:rPr>
              <w:tab/>
            </w:r>
            <w:r>
              <w:rPr>
                <w:noProof/>
                <w:webHidden/>
              </w:rPr>
              <w:fldChar w:fldCharType="begin"/>
            </w:r>
            <w:r>
              <w:rPr>
                <w:noProof/>
                <w:webHidden/>
              </w:rPr>
              <w:instrText xml:space="preserve"> PAGEREF _Toc218602396 \h </w:instrText>
            </w:r>
            <w:r>
              <w:rPr>
                <w:noProof/>
                <w:webHidden/>
              </w:rPr>
            </w:r>
            <w:r>
              <w:rPr>
                <w:noProof/>
                <w:webHidden/>
              </w:rPr>
              <w:fldChar w:fldCharType="separate"/>
            </w:r>
            <w:r w:rsidR="009F2976">
              <w:rPr>
                <w:noProof/>
                <w:webHidden/>
              </w:rPr>
              <w:t>20</w:t>
            </w:r>
            <w:r>
              <w:rPr>
                <w:noProof/>
                <w:webHidden/>
              </w:rPr>
              <w:fldChar w:fldCharType="end"/>
            </w:r>
          </w:hyperlink>
        </w:p>
        <w:p w14:paraId="1723B058" w14:textId="406B1477" w:rsidR="00034997" w:rsidRDefault="00034997">
          <w:pPr>
            <w:pStyle w:val="TOC1"/>
            <w:tabs>
              <w:tab w:val="left" w:pos="480"/>
              <w:tab w:val="right" w:leader="dot" w:pos="9016"/>
            </w:tabs>
            <w:rPr>
              <w:rFonts w:asciiTheme="minorHAnsi" w:eastAsiaTheme="minorEastAsia" w:hAnsiTheme="minorHAnsi"/>
              <w:noProof/>
              <w:sz w:val="24"/>
              <w:szCs w:val="24"/>
              <w:lang w:eastAsia="en-GB"/>
            </w:rPr>
          </w:pPr>
          <w:hyperlink w:anchor="_Toc218602397" w:history="1">
            <w:r w:rsidRPr="00090489">
              <w:rPr>
                <w:rStyle w:val="Hyperlink"/>
                <w:noProof/>
              </w:rPr>
              <w:t>8</w:t>
            </w:r>
            <w:r>
              <w:rPr>
                <w:rFonts w:asciiTheme="minorHAnsi" w:eastAsiaTheme="minorEastAsia" w:hAnsiTheme="minorHAnsi"/>
                <w:noProof/>
                <w:sz w:val="24"/>
                <w:szCs w:val="24"/>
                <w:lang w:eastAsia="en-GB"/>
              </w:rPr>
              <w:tab/>
            </w:r>
            <w:r w:rsidRPr="00090489">
              <w:rPr>
                <w:rStyle w:val="Hyperlink"/>
                <w:noProof/>
              </w:rPr>
              <w:t>Panel Advice</w:t>
            </w:r>
            <w:r>
              <w:rPr>
                <w:noProof/>
                <w:webHidden/>
              </w:rPr>
              <w:tab/>
            </w:r>
            <w:r>
              <w:rPr>
                <w:noProof/>
                <w:webHidden/>
              </w:rPr>
              <w:fldChar w:fldCharType="begin"/>
            </w:r>
            <w:r>
              <w:rPr>
                <w:noProof/>
                <w:webHidden/>
              </w:rPr>
              <w:instrText xml:space="preserve"> PAGEREF _Toc218602397 \h </w:instrText>
            </w:r>
            <w:r>
              <w:rPr>
                <w:noProof/>
                <w:webHidden/>
              </w:rPr>
            </w:r>
            <w:r>
              <w:rPr>
                <w:noProof/>
                <w:webHidden/>
              </w:rPr>
              <w:fldChar w:fldCharType="separate"/>
            </w:r>
            <w:r w:rsidR="009F2976">
              <w:rPr>
                <w:noProof/>
                <w:webHidden/>
              </w:rPr>
              <w:t>25</w:t>
            </w:r>
            <w:r>
              <w:rPr>
                <w:noProof/>
                <w:webHidden/>
              </w:rPr>
              <w:fldChar w:fldCharType="end"/>
            </w:r>
          </w:hyperlink>
        </w:p>
        <w:p w14:paraId="61EBC374" w14:textId="4F30E7AD" w:rsidR="00B42AE6" w:rsidRDefault="00B42AE6">
          <w:r>
            <w:rPr>
              <w:b/>
              <w:bCs/>
            </w:rPr>
            <w:fldChar w:fldCharType="end"/>
          </w:r>
        </w:p>
      </w:sdtContent>
    </w:sdt>
    <w:p w14:paraId="63A34340" w14:textId="4CC36FC1" w:rsidR="00E56C34" w:rsidRDefault="00E56C34">
      <w:pPr>
        <w:rPr>
          <w:b/>
          <w:bCs/>
          <w:color w:val="0070C0"/>
          <w:sz w:val="28"/>
          <w:szCs w:val="28"/>
        </w:rPr>
      </w:pPr>
      <w:r>
        <w:rPr>
          <w:b/>
          <w:bCs/>
          <w:color w:val="0070C0"/>
          <w:sz w:val="28"/>
          <w:szCs w:val="28"/>
        </w:rPr>
        <w:br w:type="page"/>
      </w:r>
    </w:p>
    <w:p w14:paraId="00A30C5E" w14:textId="254F45D0" w:rsidR="0005616B" w:rsidRDefault="004B492C" w:rsidP="00E8139A">
      <w:pPr>
        <w:pStyle w:val="Heading1"/>
        <w:ind w:left="426"/>
      </w:pPr>
      <w:bookmarkStart w:id="0" w:name="_Toc218602388"/>
      <w:r w:rsidRPr="006B6C56">
        <w:lastRenderedPageBreak/>
        <w:t>Executive Summary</w:t>
      </w:r>
      <w:bookmarkEnd w:id="0"/>
    </w:p>
    <w:p w14:paraId="1A4B0ACE" w14:textId="78628340" w:rsidR="00C3463A" w:rsidRDefault="00C3463A" w:rsidP="00C3463A">
      <w:pPr>
        <w:pStyle w:val="ListParagraph"/>
        <w:spacing w:line="276" w:lineRule="auto"/>
        <w:ind w:left="567" w:hanging="567"/>
      </w:pPr>
      <w:r w:rsidRPr="00A90E23">
        <w:t xml:space="preserve">On 21 October 2025, Your World Recruitment Limited (YWR) asked the Panel to advise on the selection of a provider by University Hospitals of Leicester NHS Trust (UHL) for </w:t>
      </w:r>
      <w:r>
        <w:t>a m</w:t>
      </w:r>
      <w:r w:rsidRPr="00B209F3">
        <w:t xml:space="preserve">anaged </w:t>
      </w:r>
      <w:r>
        <w:t>s</w:t>
      </w:r>
      <w:r w:rsidRPr="00B209F3">
        <w:t xml:space="preserve">ervices </w:t>
      </w:r>
      <w:r>
        <w:t>s</w:t>
      </w:r>
      <w:r w:rsidRPr="00B209F3">
        <w:t>olution</w:t>
      </w:r>
      <w:r>
        <w:t xml:space="preserve"> for its insourcing services (the ‘insourcing managed service’).</w:t>
      </w:r>
    </w:p>
    <w:p w14:paraId="0EAB7CB2" w14:textId="3667F4AE" w:rsidR="00C3463A" w:rsidRDefault="00C3463A" w:rsidP="00C3463A">
      <w:pPr>
        <w:pStyle w:val="ListParagraph"/>
        <w:spacing w:line="276" w:lineRule="auto"/>
        <w:ind w:left="567" w:hanging="567"/>
      </w:pPr>
      <w:r>
        <w:t>Insourcing services allow acute trusts to “supplement, support and expand their own in-house capacity” by using suppliers of insourcing services (‘</w:t>
      </w:r>
      <w:proofErr w:type="spellStart"/>
      <w:r>
        <w:t>insourcers</w:t>
      </w:r>
      <w:proofErr w:type="spellEnd"/>
      <w:r>
        <w:t>’) to deliver care to acute trust patients on trust premises.</w:t>
      </w:r>
      <w:r w:rsidRPr="002A36B2">
        <w:t xml:space="preserve"> </w:t>
      </w:r>
      <w:proofErr w:type="spellStart"/>
      <w:r>
        <w:t>Insourcers</w:t>
      </w:r>
      <w:proofErr w:type="spellEnd"/>
      <w:r>
        <w:t xml:space="preserve"> make use of trust facilities with the trust potentially providing consumables as well as infrastructure. The </w:t>
      </w:r>
      <w:proofErr w:type="spellStart"/>
      <w:r>
        <w:t>insourcer</w:t>
      </w:r>
      <w:proofErr w:type="spellEnd"/>
      <w:r>
        <w:t xml:space="preserve"> supplies clinicians and supporting oversight and governance arrangements.</w:t>
      </w:r>
    </w:p>
    <w:p w14:paraId="04BF3423" w14:textId="2C26BE72" w:rsidR="00C3463A" w:rsidRDefault="00C3463A" w:rsidP="00C3463A">
      <w:pPr>
        <w:pStyle w:val="ListParagraph"/>
        <w:spacing w:line="276" w:lineRule="auto"/>
        <w:ind w:left="567" w:hanging="567"/>
      </w:pPr>
      <w:r w:rsidRPr="0054513E">
        <w:t>UHL</w:t>
      </w:r>
      <w:r>
        <w:t xml:space="preserve"> currently has six providers of insourcing services operating under ten separate contracts in specialties such as </w:t>
      </w:r>
      <w:r w:rsidR="00117039">
        <w:t>ear, nose</w:t>
      </w:r>
      <w:r>
        <w:t xml:space="preserve"> and </w:t>
      </w:r>
      <w:r w:rsidR="00117039">
        <w:t xml:space="preserve">throat </w:t>
      </w:r>
      <w:r w:rsidR="00D90B91">
        <w:t xml:space="preserve">(ENT) </w:t>
      </w:r>
      <w:r w:rsidR="00117039">
        <w:t>services</w:t>
      </w:r>
      <w:r>
        <w:t xml:space="preserve">, gastroenterology and ophthalmology. To </w:t>
      </w:r>
      <w:r w:rsidR="00DB38E6">
        <w:t>i</w:t>
      </w:r>
      <w:r>
        <w:t>mprove the performance of its insourcing services</w:t>
      </w:r>
      <w:r w:rsidR="00DB38E6">
        <w:t xml:space="preserve"> and reduce their cost</w:t>
      </w:r>
      <w:r>
        <w:t xml:space="preserve">, UHL is adopting a managed service approach whereby a single supplier will be responsible for </w:t>
      </w:r>
      <w:proofErr w:type="gramStart"/>
      <w:r>
        <w:t>all of</w:t>
      </w:r>
      <w:proofErr w:type="gramEnd"/>
      <w:r>
        <w:t xml:space="preserve"> UHL’s insourced services. The supplier will provide the insourced services itself or via sub-contracting arrangements. This approach will reduce the number of contracts that UHL has to monitor and performance manage, and UHL also aims to save money by shifting its payments for insourcing from per session to per patient treated.</w:t>
      </w:r>
    </w:p>
    <w:p w14:paraId="363FDA63" w14:textId="323207E9" w:rsidR="00C3463A" w:rsidRDefault="00C3463A" w:rsidP="00C3463A">
      <w:pPr>
        <w:pStyle w:val="ListParagraph"/>
        <w:spacing w:line="276" w:lineRule="auto"/>
        <w:ind w:left="567" w:hanging="567"/>
      </w:pPr>
      <w:r>
        <w:t>To select a provider for its new managed service, UHL conducted a further competition (or ‘mini competition’) between suppliers on t</w:t>
      </w:r>
      <w:r w:rsidRPr="00B068A3">
        <w:t>he NHS Workforce Alliance Framework Agreement.</w:t>
      </w:r>
      <w:r>
        <w:t xml:space="preserve"> After an initial capability assessment, tender documentation was shared with selected providers</w:t>
      </w:r>
      <w:r w:rsidDel="00FB6D3F">
        <w:rPr>
          <w:rStyle w:val="FootnoteReference"/>
        </w:rPr>
        <w:t xml:space="preserve"> </w:t>
      </w:r>
      <w:r>
        <w:t xml:space="preserve">on 25 April 2025. </w:t>
      </w:r>
      <w:r w:rsidRPr="00C46499">
        <w:t xml:space="preserve">The contract </w:t>
      </w:r>
      <w:r>
        <w:t xml:space="preserve">offered by UHL has a </w:t>
      </w:r>
      <w:proofErr w:type="gramStart"/>
      <w:r>
        <w:t>two</w:t>
      </w:r>
      <w:r w:rsidRPr="00C46499">
        <w:t xml:space="preserve"> year</w:t>
      </w:r>
      <w:proofErr w:type="gramEnd"/>
      <w:r>
        <w:t xml:space="preserve"> duration</w:t>
      </w:r>
      <w:r w:rsidRPr="00C46499">
        <w:t>,</w:t>
      </w:r>
      <w:r>
        <w:t xml:space="preserve"> </w:t>
      </w:r>
      <w:r w:rsidRPr="00C46499">
        <w:t xml:space="preserve">with the option </w:t>
      </w:r>
      <w:r>
        <w:t xml:space="preserve">of a </w:t>
      </w:r>
      <w:proofErr w:type="gramStart"/>
      <w:r>
        <w:t>12 month</w:t>
      </w:r>
      <w:proofErr w:type="gramEnd"/>
      <w:r>
        <w:t xml:space="preserve"> extension. Based on </w:t>
      </w:r>
      <w:r w:rsidR="00F867D9">
        <w:t xml:space="preserve">expected </w:t>
      </w:r>
      <w:r>
        <w:t xml:space="preserve">activity levels, the value of the contract is </w:t>
      </w:r>
      <w:r w:rsidRPr="00C46499">
        <w:t>approximately £</w:t>
      </w:r>
      <w:r w:rsidR="00F867D9">
        <w:t>10</w:t>
      </w:r>
      <w:r>
        <w:t xml:space="preserve"> million</w:t>
      </w:r>
      <w:r w:rsidRPr="00C46499">
        <w:t xml:space="preserve"> (</w:t>
      </w:r>
      <w:r>
        <w:t xml:space="preserve">including the extension option and </w:t>
      </w:r>
      <w:r w:rsidRPr="00C46499">
        <w:t>excluding VAT)</w:t>
      </w:r>
      <w:r>
        <w:t xml:space="preserve"> and was intended to </w:t>
      </w:r>
      <w:r w:rsidRPr="00C46499">
        <w:t>commenc</w:t>
      </w:r>
      <w:r>
        <w:t xml:space="preserve">e </w:t>
      </w:r>
      <w:r w:rsidRPr="00C46499">
        <w:t>on 1 October</w:t>
      </w:r>
      <w:r>
        <w:t xml:space="preserve"> 2025.</w:t>
      </w:r>
    </w:p>
    <w:p w14:paraId="4AA9E03B" w14:textId="7A5647D5" w:rsidR="00C3463A" w:rsidRDefault="00C3463A" w:rsidP="00C3463A">
      <w:pPr>
        <w:pStyle w:val="ListParagraph"/>
        <w:spacing w:line="276" w:lineRule="auto"/>
        <w:ind w:left="567" w:hanging="567"/>
      </w:pPr>
      <w:r>
        <w:t xml:space="preserve">Twenty-three bids were received for the UHL </w:t>
      </w:r>
      <w:proofErr w:type="gramStart"/>
      <w:r>
        <w:t>contract</w:t>
      </w:r>
      <w:proofErr w:type="gramEnd"/>
      <w:r>
        <w:t xml:space="preserve"> and these were evaluated between 27 May and 20 June 2025. Bidders were asked to submit a single price</w:t>
      </w:r>
      <w:r w:rsidRPr="001C4C9F">
        <w:t xml:space="preserve"> </w:t>
      </w:r>
      <w:r>
        <w:t>for the commercial element of their proposal, which was expressed as a uniform discount to the NHS tariff for all services covered by the contract. The commercial element of the bidders’ proposals was weighted at 40%, while the non-price elements were collectively weighted at 60%.</w:t>
      </w:r>
    </w:p>
    <w:p w14:paraId="720C1039" w14:textId="1BEACB06" w:rsidR="00C3463A" w:rsidRPr="000B0BBB" w:rsidRDefault="00C3463A" w:rsidP="00C3463A">
      <w:pPr>
        <w:pStyle w:val="ListParagraph"/>
        <w:spacing w:line="276" w:lineRule="auto"/>
        <w:ind w:left="567" w:hanging="567"/>
      </w:pPr>
      <w:r>
        <w:t>O</w:t>
      </w:r>
      <w:r w:rsidRPr="000B0BBB">
        <w:t>n 2</w:t>
      </w:r>
      <w:r>
        <w:t>1 </w:t>
      </w:r>
      <w:r w:rsidRPr="000B0BBB">
        <w:t>August</w:t>
      </w:r>
      <w:r>
        <w:t xml:space="preserve"> 2025</w:t>
      </w:r>
      <w:r w:rsidRPr="000B0BBB">
        <w:t>, UHL announc</w:t>
      </w:r>
      <w:r>
        <w:t>ed</w:t>
      </w:r>
      <w:r w:rsidRPr="000B0BBB" w:rsidDel="006B188D">
        <w:t xml:space="preserve"> </w:t>
      </w:r>
      <w:r w:rsidRPr="000B0BBB">
        <w:t>18 Week Support Limited (18 Week</w:t>
      </w:r>
      <w:r>
        <w:t xml:space="preserve"> Support</w:t>
      </w:r>
      <w:r w:rsidRPr="000B0BBB">
        <w:t>)</w:t>
      </w:r>
      <w:r>
        <w:t xml:space="preserve"> as the successful bidder</w:t>
      </w:r>
      <w:r w:rsidRPr="000B0BBB">
        <w:t>. YWR’s proposal was ranked second.</w:t>
      </w:r>
    </w:p>
    <w:p w14:paraId="546DDF21" w14:textId="6E4F1811" w:rsidR="00C3463A" w:rsidRDefault="00C3463A" w:rsidP="00C3463A">
      <w:pPr>
        <w:pStyle w:val="ListParagraph"/>
        <w:spacing w:line="276" w:lineRule="auto"/>
        <w:ind w:left="567" w:hanging="567"/>
      </w:pPr>
      <w:r>
        <w:t>On 9 September 2025, while the standstill period was still open, YWR made representations to UHL about the provider selection process, and in particular UHL’s contract award notice and the tender outcome letter that was sent to YWR. YWR also requested information from UHL as part of its representations.</w:t>
      </w:r>
    </w:p>
    <w:p w14:paraId="1615CBAF" w14:textId="78DE71EF" w:rsidR="00C3463A" w:rsidRDefault="00C3463A" w:rsidP="00C3463A">
      <w:pPr>
        <w:pStyle w:val="ListParagraph"/>
        <w:spacing w:line="276" w:lineRule="auto"/>
        <w:ind w:left="567" w:hanging="567"/>
      </w:pPr>
      <w:r>
        <w:t xml:space="preserve">On 30 September 2025, UHL responded to YWR’s representations, saying that it </w:t>
      </w:r>
      <w:r w:rsidRPr="00F14D9D">
        <w:t xml:space="preserve">would be returning to the step before the standstill period and issuing new tender outcome letters. UHL also </w:t>
      </w:r>
      <w:r>
        <w:t>told</w:t>
      </w:r>
      <w:r w:rsidRPr="00F14D9D">
        <w:t xml:space="preserve"> YWR that it </w:t>
      </w:r>
      <w:r>
        <w:t>would</w:t>
      </w:r>
      <w:r w:rsidRPr="00F14D9D">
        <w:t xml:space="preserve"> not be providing the information requested by YWR</w:t>
      </w:r>
      <w:r>
        <w:t xml:space="preserve"> on the grounds that: (a) disclosure of the scoring information requested by YWR might prejudice fair competition between providers in the future; </w:t>
      </w:r>
      <w:r>
        <w:lastRenderedPageBreak/>
        <w:t xml:space="preserve">and (b) the remaining information requested by YWR would be included in the new tender outcome letter and contract award notice. </w:t>
      </w:r>
      <w:r w:rsidRPr="00395129">
        <w:t xml:space="preserve">New tender outcome letters were issued by UHL on 30 September 2025, </w:t>
      </w:r>
      <w:r>
        <w:t xml:space="preserve">and </w:t>
      </w:r>
      <w:r w:rsidRPr="00395129">
        <w:t xml:space="preserve">a new contract award notice </w:t>
      </w:r>
      <w:r>
        <w:t>was published</w:t>
      </w:r>
      <w:r w:rsidR="00360008">
        <w:t xml:space="preserve"> on the same day</w:t>
      </w:r>
      <w:r w:rsidRPr="00395129">
        <w:t>.</w:t>
      </w:r>
    </w:p>
    <w:p w14:paraId="5D33B21E" w14:textId="321F1571" w:rsidR="00C3463A" w:rsidRDefault="00C3463A" w:rsidP="00C3463A">
      <w:pPr>
        <w:pStyle w:val="ListParagraph"/>
        <w:spacing w:line="276" w:lineRule="auto"/>
        <w:ind w:left="567" w:hanging="567"/>
      </w:pPr>
      <w:r>
        <w:t>On 8 October 2025, YWR made further representations to UHL raising concerns that UHL had selected the successful provider without properly considering service sustainability risks. YWR also repeated its earlier requests for information and made further requests for information concerning UHL’s consideration of service sustainability issues.</w:t>
      </w:r>
    </w:p>
    <w:p w14:paraId="234515EC" w14:textId="7E785590" w:rsidR="00C3463A" w:rsidRPr="00F14D9D" w:rsidRDefault="00C3463A" w:rsidP="00C3463A">
      <w:pPr>
        <w:pStyle w:val="ListParagraph"/>
        <w:spacing w:line="276" w:lineRule="auto"/>
        <w:ind w:left="567" w:hanging="567"/>
      </w:pPr>
      <w:r>
        <w:t>On 14 October 2025, UHL responded to YWR’s further representations and further request for information, setting out its further decision on the provider selection process, namely that it would be continuing with the award of the contract to 18 Week Support.</w:t>
      </w:r>
      <w:r w:rsidR="002345B7">
        <w:t xml:space="preserve"> This, in turn, led to YWR’s request for the Panel’s advice.</w:t>
      </w:r>
    </w:p>
    <w:p w14:paraId="4384A977" w14:textId="4233E2AF" w:rsidR="00C3463A" w:rsidRDefault="00AE56E7" w:rsidP="00C3463A">
      <w:pPr>
        <w:pStyle w:val="ListParagraph"/>
        <w:spacing w:after="120" w:line="276" w:lineRule="auto"/>
        <w:ind w:left="567" w:hanging="567"/>
      </w:pPr>
      <w:r>
        <w:t>T</w:t>
      </w:r>
      <w:r w:rsidR="00C3463A">
        <w:t>he Panel’s findings on the provider selection process carried out by UHL for the managed insourcing service are as follows:</w:t>
      </w:r>
    </w:p>
    <w:p w14:paraId="5366254D" w14:textId="6DE2FD07" w:rsidR="00C3463A" w:rsidRDefault="00C3463A" w:rsidP="00C3463A">
      <w:pPr>
        <w:pStyle w:val="ListParagraph"/>
        <w:numPr>
          <w:ilvl w:val="0"/>
          <w:numId w:val="15"/>
        </w:numPr>
        <w:spacing w:after="120" w:line="276" w:lineRule="auto"/>
      </w:pPr>
      <w:r>
        <w:t>First, the Panel finds that UHL, in carrying out the provider selection process for its insourcing managed service contract, did not breach its service sustainability obligations under the PSR regulations.</w:t>
      </w:r>
    </w:p>
    <w:p w14:paraId="10B1EA78" w14:textId="7ACB4589" w:rsidR="00C3463A" w:rsidRDefault="00C3463A" w:rsidP="00C3463A">
      <w:pPr>
        <w:pStyle w:val="ListParagraph"/>
        <w:numPr>
          <w:ilvl w:val="0"/>
          <w:numId w:val="15"/>
        </w:numPr>
        <w:spacing w:after="120" w:line="276" w:lineRule="auto"/>
      </w:pPr>
      <w:r>
        <w:t>Second, the Panel finds that UHL, in refusing to supply YWR with pric</w:t>
      </w:r>
      <w:r w:rsidR="00B85593">
        <w:t>e</w:t>
      </w:r>
      <w:r>
        <w:t xml:space="preserve"> and </w:t>
      </w:r>
      <w:r w:rsidR="00B85593">
        <w:t>quality</w:t>
      </w:r>
      <w:r>
        <w:t xml:space="preserve"> scoring information</w:t>
      </w:r>
      <w:r w:rsidR="00185B3B">
        <w:t xml:space="preserve"> for other bidders</w:t>
      </w:r>
      <w:r w:rsidR="0093474D">
        <w:t>,</w:t>
      </w:r>
      <w:r>
        <w:t xml:space="preserve"> </w:t>
      </w:r>
      <w:r w:rsidR="001653F5">
        <w:t>did not breach the PSR regulations</w:t>
      </w:r>
      <w:r>
        <w:t>.</w:t>
      </w:r>
    </w:p>
    <w:p w14:paraId="147CBBDD" w14:textId="0E87E32E" w:rsidR="00C3463A" w:rsidRDefault="00C3463A" w:rsidP="00C3463A">
      <w:pPr>
        <w:pStyle w:val="ListParagraph"/>
        <w:numPr>
          <w:ilvl w:val="0"/>
          <w:numId w:val="15"/>
        </w:numPr>
        <w:spacing w:line="276" w:lineRule="auto"/>
        <w:ind w:left="1077" w:hanging="357"/>
      </w:pPr>
      <w:r>
        <w:t xml:space="preserve">Third, </w:t>
      </w:r>
      <w:r>
        <w:rPr>
          <w:rFonts w:cs="Arial"/>
        </w:rPr>
        <w:t xml:space="preserve">the Panel finds that UHL, </w:t>
      </w:r>
      <w:r w:rsidR="00CB655E">
        <w:rPr>
          <w:rFonts w:cs="Arial"/>
        </w:rPr>
        <w:t xml:space="preserve">in supplying YWR with information </w:t>
      </w:r>
      <w:r w:rsidR="00AC4587">
        <w:rPr>
          <w:rFonts w:cs="Arial"/>
        </w:rPr>
        <w:t>concerning service su</w:t>
      </w:r>
      <w:r w:rsidR="0038443B">
        <w:rPr>
          <w:rFonts w:cs="Arial"/>
        </w:rPr>
        <w:t xml:space="preserve">stainability that it </w:t>
      </w:r>
      <w:r w:rsidR="00CB655E">
        <w:rPr>
          <w:rFonts w:cs="Arial"/>
        </w:rPr>
        <w:t xml:space="preserve">requested </w:t>
      </w:r>
      <w:r w:rsidR="0038443B">
        <w:rPr>
          <w:rFonts w:cs="Arial"/>
        </w:rPr>
        <w:t xml:space="preserve">during </w:t>
      </w:r>
      <w:r w:rsidR="00CB655E">
        <w:rPr>
          <w:rFonts w:cs="Arial"/>
        </w:rPr>
        <w:t>the representations review process at the same time as its further decision on YWR’s representations, breached the PSR regulations.</w:t>
      </w:r>
    </w:p>
    <w:p w14:paraId="103FBE97" w14:textId="1B2E818C" w:rsidR="00C3463A" w:rsidRPr="000F7232" w:rsidRDefault="00C3463A" w:rsidP="00C3463A">
      <w:pPr>
        <w:pStyle w:val="ListParagraph"/>
        <w:spacing w:line="276" w:lineRule="auto"/>
        <w:ind w:left="567" w:hanging="567"/>
        <w:contextualSpacing/>
      </w:pPr>
      <w:r w:rsidRPr="000F7232">
        <w:t>Given the Panel’s finding that UHL breached the PSR regulations</w:t>
      </w:r>
      <w:r w:rsidR="00790FCB">
        <w:t>,</w:t>
      </w:r>
      <w:r w:rsidRPr="000F7232">
        <w:t xml:space="preserve"> when supplying YWR with </w:t>
      </w:r>
      <w:r w:rsidR="00E001AC">
        <w:t xml:space="preserve">the </w:t>
      </w:r>
      <w:r w:rsidRPr="000F7232">
        <w:t xml:space="preserve">information </w:t>
      </w:r>
      <w:r w:rsidR="00BF49E2">
        <w:rPr>
          <w:rFonts w:cs="Arial"/>
        </w:rPr>
        <w:t xml:space="preserve">requested as part of the representations review process </w:t>
      </w:r>
      <w:r w:rsidRPr="000F7232">
        <w:rPr>
          <w:rFonts w:cs="Arial"/>
        </w:rPr>
        <w:t>at the same time as its further decision on YWR’s representations</w:t>
      </w:r>
      <w:r w:rsidRPr="000F7232">
        <w:t>, three options are open to the Panel. The Panel may advise that:</w:t>
      </w:r>
    </w:p>
    <w:p w14:paraId="787F6E42" w14:textId="77777777" w:rsidR="00C3463A" w:rsidRPr="000F7232" w:rsidRDefault="00C3463A" w:rsidP="00C3463A">
      <w:pPr>
        <w:pStyle w:val="ListParagraph"/>
        <w:numPr>
          <w:ilvl w:val="0"/>
          <w:numId w:val="16"/>
        </w:numPr>
        <w:spacing w:line="276" w:lineRule="auto"/>
        <w:contextualSpacing/>
      </w:pPr>
      <w:r>
        <w:t>t</w:t>
      </w:r>
      <w:r w:rsidRPr="000F7232">
        <w:t xml:space="preserve">he breaches had no material effect on UHL’s selection of a </w:t>
      </w:r>
      <w:proofErr w:type="gramStart"/>
      <w:r w:rsidRPr="000F7232">
        <w:t>provider</w:t>
      </w:r>
      <w:proofErr w:type="gramEnd"/>
      <w:r w:rsidRPr="000F7232">
        <w:t xml:space="preserve"> and it should proceed with awarding the contract as originally </w:t>
      </w:r>
      <w:proofErr w:type="gramStart"/>
      <w:r w:rsidRPr="000F7232">
        <w:t>intended;</w:t>
      </w:r>
      <w:proofErr w:type="gramEnd"/>
    </w:p>
    <w:p w14:paraId="4BB5DE26" w14:textId="77777777" w:rsidR="00C3463A" w:rsidRPr="000F7232" w:rsidRDefault="00C3463A" w:rsidP="00C3463A">
      <w:pPr>
        <w:pStyle w:val="ListParagraph"/>
        <w:numPr>
          <w:ilvl w:val="0"/>
          <w:numId w:val="16"/>
        </w:numPr>
        <w:spacing w:line="276" w:lineRule="auto"/>
        <w:contextualSpacing/>
      </w:pPr>
      <w:r w:rsidRPr="000F7232">
        <w:t>UHL should return to an earlier step in the provider selection process to rectify the issues identified by the Panel; or</w:t>
      </w:r>
    </w:p>
    <w:p w14:paraId="1B184188" w14:textId="77777777" w:rsidR="00C3463A" w:rsidRPr="000F7232" w:rsidRDefault="00C3463A" w:rsidP="00C3463A">
      <w:pPr>
        <w:pStyle w:val="ListParagraph"/>
        <w:numPr>
          <w:ilvl w:val="0"/>
          <w:numId w:val="16"/>
        </w:numPr>
        <w:spacing w:line="276" w:lineRule="auto"/>
        <w:ind w:left="1077" w:hanging="357"/>
      </w:pPr>
      <w:r w:rsidRPr="000F7232">
        <w:t>UHL should abandon the current provider selection process.</w:t>
      </w:r>
    </w:p>
    <w:p w14:paraId="5966DA16" w14:textId="401AB508" w:rsidR="00B4585C" w:rsidRDefault="00C3463A" w:rsidP="00C3463A">
      <w:pPr>
        <w:pStyle w:val="ListParagraph"/>
        <w:spacing w:line="276" w:lineRule="auto"/>
        <w:ind w:left="567" w:hanging="567"/>
      </w:pPr>
      <w:r>
        <w:t>The Panel’s view is that the breach</w:t>
      </w:r>
      <w:r w:rsidR="00790FCB">
        <w:t xml:space="preserve"> it has</w:t>
      </w:r>
      <w:r>
        <w:t xml:space="preserve"> identified does not have a material effect on UHL’s selection of a provider. </w:t>
      </w:r>
      <w:r w:rsidR="007249F6">
        <w:t>Th</w:t>
      </w:r>
      <w:r w:rsidR="006E1D8B">
        <w:t xml:space="preserve">e Panel has </w:t>
      </w:r>
      <w:r w:rsidR="0038443B">
        <w:t xml:space="preserve">reached this conclusion </w:t>
      </w:r>
      <w:proofErr w:type="gramStart"/>
      <w:r w:rsidR="0038443B">
        <w:t>as a result of</w:t>
      </w:r>
      <w:proofErr w:type="gramEnd"/>
      <w:r w:rsidR="0038443B">
        <w:t xml:space="preserve"> </w:t>
      </w:r>
      <w:r w:rsidR="006E1D8B">
        <w:t>assess</w:t>
      </w:r>
      <w:r w:rsidR="0038443B">
        <w:t xml:space="preserve">ing </w:t>
      </w:r>
      <w:r w:rsidR="006E1D8B">
        <w:t>the information requested by YWR</w:t>
      </w:r>
      <w:r w:rsidR="00A662B6">
        <w:t>, as well as other relevant information,</w:t>
      </w:r>
      <w:r w:rsidR="006E1D8B">
        <w:t xml:space="preserve"> </w:t>
      </w:r>
      <w:r w:rsidR="00A662B6">
        <w:t xml:space="preserve">when </w:t>
      </w:r>
      <w:r w:rsidR="00B4585C">
        <w:t xml:space="preserve">assessing UHL’s provider selection process </w:t>
      </w:r>
      <w:r w:rsidR="00A662B6">
        <w:t>for the insourcing managed service.</w:t>
      </w:r>
    </w:p>
    <w:p w14:paraId="0DE50940" w14:textId="77777777" w:rsidR="00C3463A" w:rsidRDefault="00C3463A" w:rsidP="00C3463A">
      <w:pPr>
        <w:pStyle w:val="ListParagraph"/>
        <w:spacing w:line="276" w:lineRule="auto"/>
        <w:ind w:left="567" w:hanging="567"/>
      </w:pPr>
      <w:r>
        <w:t>As a result, the Panel’s advice is that UHL should proceed with awarding the contract as originally intended.</w:t>
      </w:r>
    </w:p>
    <w:p w14:paraId="7AA49AA2" w14:textId="7D97CA60" w:rsidR="00AF703F" w:rsidRDefault="009E2DF7" w:rsidP="006015D7">
      <w:pPr>
        <w:pStyle w:val="Heading1"/>
        <w:ind w:left="426"/>
      </w:pPr>
      <w:bookmarkStart w:id="1" w:name="_Toc218602389"/>
      <w:r>
        <w:lastRenderedPageBreak/>
        <w:t>Introduction</w:t>
      </w:r>
      <w:bookmarkEnd w:id="1"/>
    </w:p>
    <w:p w14:paraId="3E5D3CE6" w14:textId="5F9E7235" w:rsidR="00AC51CB" w:rsidRDefault="00C52B3C" w:rsidP="00EF4908">
      <w:pPr>
        <w:pStyle w:val="ListParagraph"/>
        <w:spacing w:line="276" w:lineRule="auto"/>
        <w:ind w:left="567" w:hanging="567"/>
      </w:pPr>
      <w:r w:rsidRPr="00A90E23">
        <w:t xml:space="preserve">On </w:t>
      </w:r>
      <w:r w:rsidR="002030A7" w:rsidRPr="00A90E23">
        <w:t>21 October 2025</w:t>
      </w:r>
      <w:r w:rsidR="008F72BD" w:rsidRPr="00A90E23">
        <w:t xml:space="preserve">, </w:t>
      </w:r>
      <w:r w:rsidR="002030A7" w:rsidRPr="00A90E23">
        <w:t>Your World Recruitment Limited (YWR)</w:t>
      </w:r>
      <w:r w:rsidR="00856A83" w:rsidRPr="00A90E23">
        <w:rPr>
          <w:rStyle w:val="FootnoteReference"/>
        </w:rPr>
        <w:footnoteReference w:id="1"/>
      </w:r>
      <w:r w:rsidR="008F72BD" w:rsidRPr="00A90E23">
        <w:t xml:space="preserve"> asked the Panel to advise on </w:t>
      </w:r>
      <w:r w:rsidR="0033618B" w:rsidRPr="00A90E23">
        <w:t>the</w:t>
      </w:r>
      <w:r w:rsidR="008F72BD" w:rsidRPr="00A90E23">
        <w:t xml:space="preserve"> selection of a provider </w:t>
      </w:r>
      <w:r w:rsidR="0033618B" w:rsidRPr="00A90E23">
        <w:t>by</w:t>
      </w:r>
      <w:r w:rsidR="003D62A4" w:rsidRPr="00A90E23">
        <w:t xml:space="preserve"> University Hospitals of Lei</w:t>
      </w:r>
      <w:r w:rsidR="00D4207D" w:rsidRPr="00A90E23">
        <w:t>cester NHS Trust (UHL)</w:t>
      </w:r>
      <w:r w:rsidR="0033618B" w:rsidRPr="00A90E23">
        <w:t xml:space="preserve"> </w:t>
      </w:r>
      <w:r w:rsidR="008F72BD" w:rsidRPr="00A90E23">
        <w:t xml:space="preserve">for </w:t>
      </w:r>
      <w:r w:rsidR="00B209F3">
        <w:t>a</w:t>
      </w:r>
      <w:r w:rsidR="00F1198D">
        <w:t xml:space="preserve"> </w:t>
      </w:r>
      <w:r w:rsidR="00097EB4">
        <w:t>m</w:t>
      </w:r>
      <w:r w:rsidR="00B209F3" w:rsidRPr="00B209F3">
        <w:t xml:space="preserve">anaged </w:t>
      </w:r>
      <w:r w:rsidR="00097EB4">
        <w:t>s</w:t>
      </w:r>
      <w:r w:rsidR="00B209F3" w:rsidRPr="00B209F3">
        <w:t xml:space="preserve">ervices </w:t>
      </w:r>
      <w:r w:rsidR="00097EB4">
        <w:t>s</w:t>
      </w:r>
      <w:r w:rsidR="00B209F3" w:rsidRPr="00B209F3">
        <w:t>olution</w:t>
      </w:r>
      <w:r w:rsidR="002C052B">
        <w:t xml:space="preserve"> for its insourc</w:t>
      </w:r>
      <w:r w:rsidR="005C134D">
        <w:t>ing</w:t>
      </w:r>
      <w:r w:rsidR="002C052B">
        <w:t xml:space="preserve"> services</w:t>
      </w:r>
      <w:r w:rsidR="00E71647">
        <w:t xml:space="preserve"> (the ‘insourcing managed service’)</w:t>
      </w:r>
      <w:r w:rsidR="002C052B">
        <w:t>.</w:t>
      </w:r>
      <w:r w:rsidR="007835F9" w:rsidRPr="0054513E">
        <w:rPr>
          <w:rStyle w:val="FootnoteReference"/>
        </w:rPr>
        <w:footnoteReference w:id="2"/>
      </w:r>
    </w:p>
    <w:p w14:paraId="2DDB60E3" w14:textId="76CCF87F" w:rsidR="004724B3" w:rsidRPr="00A90E23" w:rsidRDefault="00623058" w:rsidP="00623058">
      <w:pPr>
        <w:pStyle w:val="ListParagraph"/>
        <w:spacing w:line="276" w:lineRule="auto"/>
        <w:ind w:left="567" w:hanging="567"/>
      </w:pPr>
      <w:r>
        <w:t xml:space="preserve">UHL </w:t>
      </w:r>
      <w:r w:rsidR="007835F9">
        <w:t xml:space="preserve">had </w:t>
      </w:r>
      <w:r>
        <w:t xml:space="preserve">selected a provider for its insourcing managed service </w:t>
      </w:r>
      <w:r w:rsidR="00053736">
        <w:t>using the competitive process under the Provider Selection Regime (PSR) regulations</w:t>
      </w:r>
      <w:r w:rsidR="00F11373">
        <w:t>.</w:t>
      </w:r>
      <w:r w:rsidR="00676EEC">
        <w:rPr>
          <w:rStyle w:val="FootnoteReference"/>
        </w:rPr>
        <w:footnoteReference w:id="3"/>
      </w:r>
      <w:r w:rsidR="00F11373">
        <w:t xml:space="preserve"> This</w:t>
      </w:r>
      <w:r w:rsidR="00053736" w:rsidDel="00C06239">
        <w:t xml:space="preserve"> </w:t>
      </w:r>
      <w:r w:rsidR="00053736">
        <w:t xml:space="preserve">took the form of </w:t>
      </w:r>
      <w:r w:rsidR="00CD00D4" w:rsidRPr="00A90E23">
        <w:t xml:space="preserve">a </w:t>
      </w:r>
      <w:r w:rsidR="00053736">
        <w:t>‘</w:t>
      </w:r>
      <w:r w:rsidR="005326FE" w:rsidRPr="00A90E23">
        <w:t>mini competition</w:t>
      </w:r>
      <w:r w:rsidR="00053736">
        <w:t>’</w:t>
      </w:r>
      <w:r w:rsidR="005326FE">
        <w:t xml:space="preserve"> </w:t>
      </w:r>
      <w:r w:rsidR="00E8057E">
        <w:t xml:space="preserve">between providers accredited to </w:t>
      </w:r>
      <w:r w:rsidR="0076462B">
        <w:t>the NHS Workforce Alliance framework agreement</w:t>
      </w:r>
      <w:r w:rsidR="00717B80">
        <w:t>.</w:t>
      </w:r>
      <w:r w:rsidR="0076462B" w:rsidRPr="00A90E23">
        <w:rPr>
          <w:rStyle w:val="FootnoteReference"/>
        </w:rPr>
        <w:footnoteReference w:id="4"/>
      </w:r>
    </w:p>
    <w:p w14:paraId="4FF9EE89" w14:textId="7D0FD900" w:rsidR="005C2C79" w:rsidRDefault="008F72BD" w:rsidP="00EF4908">
      <w:pPr>
        <w:pStyle w:val="ListParagraph"/>
        <w:spacing w:line="276" w:lineRule="auto"/>
        <w:ind w:left="567" w:hanging="567"/>
      </w:pPr>
      <w:r>
        <w:t xml:space="preserve">The Panel accepted </w:t>
      </w:r>
      <w:r w:rsidR="00B11764">
        <w:t>YWR</w:t>
      </w:r>
      <w:r w:rsidR="00812837">
        <w:t xml:space="preserve">’s request on </w:t>
      </w:r>
      <w:r w:rsidR="00B11764">
        <w:t>2</w:t>
      </w:r>
      <w:r w:rsidR="006402C2">
        <w:t>4</w:t>
      </w:r>
      <w:r w:rsidR="00B11764">
        <w:t xml:space="preserve"> October 2025</w:t>
      </w:r>
      <w:r w:rsidR="0058044E">
        <w:t>,</w:t>
      </w:r>
      <w:r w:rsidR="00B11764">
        <w:t xml:space="preserve"> </w:t>
      </w:r>
      <w:r w:rsidR="00812837">
        <w:t xml:space="preserve">in accordance with its case acceptance criteria. These criteria set out both eligibility requirements and the </w:t>
      </w:r>
      <w:r w:rsidR="002B6260">
        <w:t>prioritisation</w:t>
      </w:r>
      <w:r w:rsidR="00812837">
        <w:t xml:space="preserve"> criteria </w:t>
      </w:r>
      <w:r w:rsidR="002B6260">
        <w:t>the Panel will apply when it is approaching full caseload capacity.</w:t>
      </w:r>
      <w:r w:rsidR="004724B3">
        <w:rPr>
          <w:rStyle w:val="FootnoteReference"/>
        </w:rPr>
        <w:footnoteReference w:id="5"/>
      </w:r>
      <w:r w:rsidR="002B6260">
        <w:t xml:space="preserve"> </w:t>
      </w:r>
      <w:r w:rsidR="00920C7A" w:rsidRPr="00920C7A">
        <w:t>YWR</w:t>
      </w:r>
      <w:r w:rsidR="002B6260" w:rsidRPr="00920C7A">
        <w:t>’s request met the eligibility requirements, and as the Panel was not approaching full capacity, there was no need to apply the prioritisation criteria</w:t>
      </w:r>
      <w:r w:rsidR="005C2C79" w:rsidRPr="00920C7A">
        <w:t>.</w:t>
      </w:r>
    </w:p>
    <w:p w14:paraId="6B1A486F" w14:textId="4FA55356" w:rsidR="002B6260" w:rsidRDefault="00716EEB" w:rsidP="00EF4908">
      <w:pPr>
        <w:pStyle w:val="ListParagraph"/>
        <w:spacing w:line="276" w:lineRule="auto"/>
        <w:ind w:left="567" w:hanging="567"/>
        <w:contextualSpacing/>
      </w:pPr>
      <w:r>
        <w:t>The Panel’s Chair appointed three members to a Case Panel</w:t>
      </w:r>
      <w:r w:rsidR="007F7092">
        <w:t xml:space="preserve"> for this review</w:t>
      </w:r>
      <w:r w:rsidR="00782B13">
        <w:t>, namely</w:t>
      </w:r>
      <w:r w:rsidR="007F7092">
        <w:t>:</w:t>
      </w:r>
    </w:p>
    <w:p w14:paraId="3C0A0165" w14:textId="4CC580DF" w:rsidR="007F7092" w:rsidRDefault="007F7092" w:rsidP="00BA42B0">
      <w:pPr>
        <w:pStyle w:val="ListParagraph"/>
        <w:numPr>
          <w:ilvl w:val="0"/>
          <w:numId w:val="10"/>
        </w:numPr>
        <w:spacing w:line="276" w:lineRule="auto"/>
        <w:contextualSpacing/>
      </w:pPr>
      <w:r>
        <w:t xml:space="preserve">Andrew Taylor, Panel </w:t>
      </w:r>
      <w:proofErr w:type="gramStart"/>
      <w:r>
        <w:t>Chair;</w:t>
      </w:r>
      <w:proofErr w:type="gramEnd"/>
    </w:p>
    <w:p w14:paraId="2AF7F4B8" w14:textId="0F11E509" w:rsidR="00955666" w:rsidRDefault="005E26BD" w:rsidP="00BA42B0">
      <w:pPr>
        <w:pStyle w:val="ListParagraph"/>
        <w:numPr>
          <w:ilvl w:val="0"/>
          <w:numId w:val="10"/>
        </w:numPr>
        <w:spacing w:line="276" w:lineRule="auto"/>
        <w:contextualSpacing/>
      </w:pPr>
      <w:r>
        <w:t xml:space="preserve">Albert </w:t>
      </w:r>
      <w:proofErr w:type="spellStart"/>
      <w:r>
        <w:t>Sanchez-Graells</w:t>
      </w:r>
      <w:proofErr w:type="spellEnd"/>
      <w:r w:rsidR="00955666">
        <w:t>, Case Panel Member; and</w:t>
      </w:r>
    </w:p>
    <w:p w14:paraId="16B21427" w14:textId="016FB702" w:rsidR="00955666" w:rsidRPr="00A3297D" w:rsidRDefault="005E26BD" w:rsidP="00BA42B0">
      <w:pPr>
        <w:pStyle w:val="ListParagraph"/>
        <w:numPr>
          <w:ilvl w:val="0"/>
          <w:numId w:val="10"/>
        </w:numPr>
        <w:spacing w:line="276" w:lineRule="auto"/>
        <w:rPr>
          <w:lang w:val="it-IT"/>
        </w:rPr>
      </w:pPr>
      <w:r w:rsidRPr="00A3297D">
        <w:rPr>
          <w:lang w:val="it-IT"/>
        </w:rPr>
        <w:t>Daria Prigioni</w:t>
      </w:r>
      <w:r w:rsidR="00955666" w:rsidRPr="00A3297D">
        <w:rPr>
          <w:lang w:val="it-IT"/>
        </w:rPr>
        <w:t>, Case Panel Member.</w:t>
      </w:r>
      <w:r w:rsidR="004A0C4C">
        <w:rPr>
          <w:rStyle w:val="FootnoteReference"/>
        </w:rPr>
        <w:footnoteReference w:id="6"/>
      </w:r>
    </w:p>
    <w:p w14:paraId="6DBF7A0F" w14:textId="6404DC9E" w:rsidR="00CD4CF5" w:rsidRDefault="00955666" w:rsidP="00EF4908">
      <w:pPr>
        <w:pStyle w:val="ListParagraph"/>
        <w:spacing w:line="276" w:lineRule="auto"/>
        <w:ind w:left="567" w:hanging="567"/>
      </w:pPr>
      <w:r>
        <w:t>The Case Panel’s review has been carried out in accordance with the Panel’s Standard Operating Procedures (“procedures”)</w:t>
      </w:r>
      <w:r w:rsidR="00444D28">
        <w:t>.</w:t>
      </w:r>
      <w:r w:rsidR="00CD4CF5">
        <w:rPr>
          <w:rStyle w:val="FootnoteReference"/>
        </w:rPr>
        <w:footnoteReference w:id="7"/>
      </w:r>
    </w:p>
    <w:p w14:paraId="26F6E11E" w14:textId="4B98F388" w:rsidR="007F7092" w:rsidRDefault="00444D28" w:rsidP="00EF4908">
      <w:pPr>
        <w:pStyle w:val="ListParagraph"/>
        <w:spacing w:line="276" w:lineRule="auto"/>
        <w:ind w:left="567" w:hanging="567"/>
        <w:contextualSpacing/>
      </w:pPr>
      <w:r>
        <w:t xml:space="preserve">This report provides the Panel’s assessment and advice to </w:t>
      </w:r>
      <w:r w:rsidR="005E26BD">
        <w:t>UHL</w:t>
      </w:r>
      <w:r>
        <w:t xml:space="preserve"> and is set out as follows:</w:t>
      </w:r>
    </w:p>
    <w:p w14:paraId="36D37C21" w14:textId="66780FE5" w:rsidR="0092692C" w:rsidRDefault="0092692C" w:rsidP="00BA42B0">
      <w:pPr>
        <w:pStyle w:val="ListParagraph"/>
        <w:numPr>
          <w:ilvl w:val="0"/>
          <w:numId w:val="11"/>
        </w:numPr>
        <w:spacing w:line="276" w:lineRule="auto"/>
        <w:contextualSpacing/>
      </w:pPr>
      <w:r>
        <w:t xml:space="preserve">Section 3 briefly describes the role of the </w:t>
      </w:r>
      <w:proofErr w:type="gramStart"/>
      <w:r>
        <w:t>Panel;</w:t>
      </w:r>
      <w:proofErr w:type="gramEnd"/>
    </w:p>
    <w:p w14:paraId="497E0A4E" w14:textId="299090E9" w:rsidR="0092692C" w:rsidRDefault="0092692C" w:rsidP="00BA42B0">
      <w:pPr>
        <w:pStyle w:val="ListParagraph"/>
        <w:numPr>
          <w:ilvl w:val="0"/>
          <w:numId w:val="11"/>
        </w:numPr>
        <w:spacing w:line="276" w:lineRule="auto"/>
        <w:contextualSpacing/>
      </w:pPr>
      <w:r>
        <w:t xml:space="preserve">Section 4 sets out the background to the Panel’s review, including the events leading up to, and including, the selection of a provider for </w:t>
      </w:r>
      <w:r w:rsidR="00E718F4">
        <w:t xml:space="preserve">the insourcing managed </w:t>
      </w:r>
      <w:proofErr w:type="gramStart"/>
      <w:r w:rsidR="00E718F4">
        <w:t>service</w:t>
      </w:r>
      <w:r w:rsidR="00C94378">
        <w:t>;</w:t>
      </w:r>
      <w:proofErr w:type="gramEnd"/>
    </w:p>
    <w:p w14:paraId="08A32742" w14:textId="5B4F1959" w:rsidR="00C94378" w:rsidRDefault="00C94378" w:rsidP="00BA42B0">
      <w:pPr>
        <w:pStyle w:val="ListParagraph"/>
        <w:numPr>
          <w:ilvl w:val="0"/>
          <w:numId w:val="11"/>
        </w:numPr>
        <w:spacing w:line="276" w:lineRule="auto"/>
        <w:contextualSpacing/>
      </w:pPr>
      <w:r>
        <w:t xml:space="preserve">Section 5 sets out the concerns raised by </w:t>
      </w:r>
      <w:proofErr w:type="gramStart"/>
      <w:r w:rsidR="005E26BD">
        <w:t>YWR</w:t>
      </w:r>
      <w:r>
        <w:t>;</w:t>
      </w:r>
      <w:proofErr w:type="gramEnd"/>
    </w:p>
    <w:p w14:paraId="224CF706" w14:textId="2E35C502" w:rsidR="00C94378" w:rsidRDefault="00C94378" w:rsidP="00BA42B0">
      <w:pPr>
        <w:pStyle w:val="ListParagraph"/>
        <w:numPr>
          <w:ilvl w:val="0"/>
          <w:numId w:val="11"/>
        </w:numPr>
        <w:spacing w:line="276" w:lineRule="auto"/>
        <w:contextualSpacing/>
      </w:pPr>
      <w:r>
        <w:t>Section 6 summarise</w:t>
      </w:r>
      <w:r w:rsidR="00521A31">
        <w:t>s</w:t>
      </w:r>
      <w:r>
        <w:t xml:space="preserve"> the provisions of the PSR regulations relevant to this </w:t>
      </w:r>
      <w:proofErr w:type="gramStart"/>
      <w:r>
        <w:t>review;</w:t>
      </w:r>
      <w:proofErr w:type="gramEnd"/>
    </w:p>
    <w:p w14:paraId="441BE4DC" w14:textId="2A14099F" w:rsidR="00C94378" w:rsidRDefault="00C94378" w:rsidP="00BA42B0">
      <w:pPr>
        <w:pStyle w:val="ListParagraph"/>
        <w:numPr>
          <w:ilvl w:val="0"/>
          <w:numId w:val="11"/>
        </w:numPr>
        <w:spacing w:line="276" w:lineRule="auto"/>
        <w:contextualSpacing/>
      </w:pPr>
      <w:r>
        <w:t>Section 7 sets out the issues considered by the Panel and its assessment of these issues; and</w:t>
      </w:r>
    </w:p>
    <w:p w14:paraId="0F291F4A" w14:textId="367B0049" w:rsidR="00C94378" w:rsidRDefault="00C94378" w:rsidP="00BA42B0">
      <w:pPr>
        <w:pStyle w:val="ListParagraph"/>
        <w:numPr>
          <w:ilvl w:val="0"/>
          <w:numId w:val="11"/>
        </w:numPr>
        <w:spacing w:line="276" w:lineRule="auto"/>
      </w:pPr>
      <w:r>
        <w:lastRenderedPageBreak/>
        <w:t xml:space="preserve">Section 8 sets out the Panel’s advice to </w:t>
      </w:r>
      <w:r w:rsidR="005E26BD">
        <w:t>UHL</w:t>
      </w:r>
      <w:r>
        <w:t>.</w:t>
      </w:r>
      <w:r w:rsidR="00A47C13">
        <w:rPr>
          <w:rStyle w:val="FootnoteReference"/>
        </w:rPr>
        <w:footnoteReference w:id="8"/>
      </w:r>
    </w:p>
    <w:p w14:paraId="4B7770C8" w14:textId="699E091A" w:rsidR="00444D28" w:rsidRPr="008B410D" w:rsidRDefault="0092692C" w:rsidP="00EF4908">
      <w:pPr>
        <w:pStyle w:val="ListParagraph"/>
        <w:spacing w:line="276" w:lineRule="auto"/>
        <w:ind w:left="567" w:hanging="567"/>
      </w:pPr>
      <w:r>
        <w:t xml:space="preserve">The Panel thanks </w:t>
      </w:r>
      <w:r w:rsidR="003358C3">
        <w:t xml:space="preserve">YWR and </w:t>
      </w:r>
      <w:r w:rsidR="005E26BD">
        <w:t xml:space="preserve">UHL </w:t>
      </w:r>
      <w:r>
        <w:t>for their assistance and cooperation during this review.</w:t>
      </w:r>
    </w:p>
    <w:p w14:paraId="1FC86429" w14:textId="5C2EEC94" w:rsidR="00485DA5" w:rsidRDefault="00485DA5" w:rsidP="006015D7">
      <w:pPr>
        <w:pStyle w:val="Heading1"/>
        <w:ind w:left="426"/>
      </w:pPr>
      <w:bookmarkStart w:id="2" w:name="_Toc218602390"/>
      <w:r>
        <w:t>Role of the Panel</w:t>
      </w:r>
      <w:bookmarkEnd w:id="2"/>
    </w:p>
    <w:p w14:paraId="3999A5A7" w14:textId="6EB66FDD" w:rsidR="00DA200D" w:rsidRDefault="00A570F4" w:rsidP="00EF4908">
      <w:pPr>
        <w:pStyle w:val="ListParagraph"/>
        <w:spacing w:line="276" w:lineRule="auto"/>
        <w:ind w:left="567" w:hanging="567"/>
      </w:pPr>
      <w:r w:rsidRPr="00524AF3">
        <w:t xml:space="preserve">The PSR regulations, issued under the Health and Care Act 2022, put into effect the Provider Selection Regime for NHS and local authority commissioning of health care services. The Provider Selection Regime came into force with the adoption of the PSR regulations on </w:t>
      </w:r>
      <w:proofErr w:type="gramStart"/>
      <w:r w:rsidRPr="00524AF3">
        <w:t>1 January 2024, and</w:t>
      </w:r>
      <w:proofErr w:type="gramEnd"/>
      <w:r w:rsidRPr="00524AF3">
        <w:t xml:space="preserve"> gives relevant authorities (i.e. commissioners) greater flexibility in the selection of providers of health care services</w:t>
      </w:r>
      <w:r w:rsidR="00BF4715">
        <w:t>.</w:t>
      </w:r>
      <w:r w:rsidR="008F2F8C">
        <w:rPr>
          <w:rStyle w:val="FootnoteReference"/>
        </w:rPr>
        <w:footnoteReference w:id="9"/>
      </w:r>
    </w:p>
    <w:p w14:paraId="22550EC9" w14:textId="6C3458D6" w:rsidR="009C30B9" w:rsidRDefault="009C30B9" w:rsidP="00EF4908">
      <w:pPr>
        <w:pStyle w:val="ListParagraph"/>
        <w:spacing w:line="276" w:lineRule="auto"/>
        <w:ind w:left="567" w:hanging="567"/>
      </w:pPr>
      <w:r>
        <w:t>The Panel’s role is to act as an independent review body where a provider has concerns about a commissioner’s provider selection decision. Panel reviews only take place following a commissioner’s review of its original decision.</w:t>
      </w:r>
    </w:p>
    <w:p w14:paraId="51B6322F" w14:textId="56255D0B" w:rsidR="009C30B9" w:rsidRPr="008B410D" w:rsidRDefault="009C30B9" w:rsidP="00EF4908">
      <w:pPr>
        <w:pStyle w:val="ListParagraph"/>
        <w:spacing w:line="276" w:lineRule="auto"/>
        <w:ind w:left="567" w:hanging="567"/>
      </w:pPr>
      <w:r>
        <w:t xml:space="preserve">For each review, the Panel’s assessment and advice is supplied to the commissioner and the potential provider that has requested the Panel’s review. It is also published on the Panel’s webpage. The commissioner is then responsible for reviewing its decision </w:t>
      </w:r>
      <w:proofErr w:type="gramStart"/>
      <w:r>
        <w:t>in light of</w:t>
      </w:r>
      <w:proofErr w:type="gramEnd"/>
      <w:r>
        <w:t xml:space="preserve"> the Panel’s advice.</w:t>
      </w:r>
    </w:p>
    <w:p w14:paraId="45E9213A" w14:textId="16E23B7E" w:rsidR="00485DA5" w:rsidRDefault="00485DA5" w:rsidP="00EE3B22">
      <w:pPr>
        <w:pStyle w:val="Heading1"/>
        <w:ind w:left="426"/>
      </w:pPr>
      <w:bookmarkStart w:id="3" w:name="_Toc218602391"/>
      <w:r>
        <w:t>Background to this review</w:t>
      </w:r>
      <w:bookmarkEnd w:id="3"/>
    </w:p>
    <w:p w14:paraId="290F20EB" w14:textId="3C537D6A" w:rsidR="00604A4C" w:rsidRDefault="00395E1B" w:rsidP="00B51FEF">
      <w:pPr>
        <w:pStyle w:val="ListParagraph"/>
        <w:spacing w:line="276" w:lineRule="auto"/>
        <w:ind w:left="567" w:hanging="567"/>
      </w:pPr>
      <w:r>
        <w:t xml:space="preserve">Insourcing services allow </w:t>
      </w:r>
      <w:r w:rsidR="00955E64">
        <w:t>acute trusts to “supplement, support and expand their own in-house capacity”</w:t>
      </w:r>
      <w:r w:rsidR="00595E4F">
        <w:t xml:space="preserve"> by </w:t>
      </w:r>
      <w:r w:rsidR="003C7B43">
        <w:t xml:space="preserve">using suppliers of </w:t>
      </w:r>
      <w:r w:rsidR="00E061A2">
        <w:t xml:space="preserve">insourcing </w:t>
      </w:r>
      <w:r w:rsidR="003C7B43">
        <w:t xml:space="preserve">services </w:t>
      </w:r>
      <w:r w:rsidR="00E061A2">
        <w:t>(‘</w:t>
      </w:r>
      <w:proofErr w:type="spellStart"/>
      <w:r w:rsidR="00E061A2">
        <w:t>insourcers</w:t>
      </w:r>
      <w:proofErr w:type="spellEnd"/>
      <w:r w:rsidR="00E061A2">
        <w:t xml:space="preserve">’) </w:t>
      </w:r>
      <w:r w:rsidR="00014B66">
        <w:t>to</w:t>
      </w:r>
      <w:r w:rsidR="00537163">
        <w:t xml:space="preserve"> deliver care</w:t>
      </w:r>
      <w:r w:rsidR="00E061A2">
        <w:t xml:space="preserve"> </w:t>
      </w:r>
      <w:r w:rsidR="00997C3E">
        <w:t xml:space="preserve">to acute trust patients </w:t>
      </w:r>
      <w:r w:rsidR="00537163">
        <w:t xml:space="preserve">on </w:t>
      </w:r>
      <w:r w:rsidR="00873833">
        <w:t>trust premises</w:t>
      </w:r>
      <w:r w:rsidR="00955E64">
        <w:t>.</w:t>
      </w:r>
      <w:r w:rsidR="00955E64">
        <w:rPr>
          <w:rStyle w:val="FootnoteReference"/>
        </w:rPr>
        <w:footnoteReference w:id="10"/>
      </w:r>
      <w:r w:rsidR="002A36B2" w:rsidRPr="002A36B2">
        <w:t xml:space="preserve"> </w:t>
      </w:r>
      <w:proofErr w:type="spellStart"/>
      <w:r w:rsidR="00F96B69">
        <w:t>Insourc</w:t>
      </w:r>
      <w:r w:rsidR="007B0A20">
        <w:t>ers</w:t>
      </w:r>
      <w:proofErr w:type="spellEnd"/>
      <w:r w:rsidR="007B0A20">
        <w:t xml:space="preserve"> make use of trust facilities </w:t>
      </w:r>
      <w:r w:rsidR="00DC1DE7">
        <w:t>with the trust potentially providing consumables as well as infrastructure</w:t>
      </w:r>
      <w:r w:rsidR="00C2660A">
        <w:t>.</w:t>
      </w:r>
      <w:r w:rsidR="00907BC3">
        <w:t xml:space="preserve"> </w:t>
      </w:r>
      <w:r w:rsidR="00162F81">
        <w:t xml:space="preserve">The </w:t>
      </w:r>
      <w:proofErr w:type="spellStart"/>
      <w:r w:rsidR="00162F81">
        <w:t>insourc</w:t>
      </w:r>
      <w:r w:rsidR="00F853BD">
        <w:t>er</w:t>
      </w:r>
      <w:proofErr w:type="spellEnd"/>
      <w:r w:rsidR="00F853BD">
        <w:t xml:space="preserve"> </w:t>
      </w:r>
      <w:r w:rsidR="00410F32">
        <w:t>supplies clinicians</w:t>
      </w:r>
      <w:r w:rsidR="00DF4B0E">
        <w:t xml:space="preserve"> and </w:t>
      </w:r>
      <w:r w:rsidR="00C92AA2">
        <w:t xml:space="preserve">provides </w:t>
      </w:r>
      <w:r w:rsidR="00F33040">
        <w:t xml:space="preserve">supporting </w:t>
      </w:r>
      <w:r w:rsidR="00DF4B0E">
        <w:t xml:space="preserve">oversight and </w:t>
      </w:r>
      <w:r w:rsidR="00907BC3">
        <w:t>governance arrangements.</w:t>
      </w:r>
    </w:p>
    <w:p w14:paraId="6E517805" w14:textId="25B6BA34" w:rsidR="00F237B6" w:rsidRDefault="00ED210E" w:rsidP="00B51FEF">
      <w:pPr>
        <w:pStyle w:val="ListParagraph"/>
        <w:spacing w:line="276" w:lineRule="auto"/>
        <w:ind w:left="567" w:hanging="567"/>
      </w:pPr>
      <w:bookmarkStart w:id="4" w:name="_Ref219208520"/>
      <w:r>
        <w:t>I</w:t>
      </w:r>
      <w:r w:rsidR="00D7795A">
        <w:t xml:space="preserve">nsourcing has been used </w:t>
      </w:r>
      <w:r w:rsidR="00D15E32">
        <w:t xml:space="preserve">by </w:t>
      </w:r>
      <w:proofErr w:type="gramStart"/>
      <w:r w:rsidR="005C101B">
        <w:t>a large number of</w:t>
      </w:r>
      <w:proofErr w:type="gramEnd"/>
      <w:r w:rsidR="005C101B">
        <w:t xml:space="preserve"> </w:t>
      </w:r>
      <w:r w:rsidR="00BF4A5C">
        <w:t xml:space="preserve">NHS </w:t>
      </w:r>
      <w:r w:rsidR="005C101B">
        <w:t xml:space="preserve">trusts </w:t>
      </w:r>
      <w:r w:rsidR="0036239B">
        <w:t xml:space="preserve">for </w:t>
      </w:r>
      <w:r w:rsidR="00ED2E35">
        <w:t>some</w:t>
      </w:r>
      <w:r w:rsidR="00D15E32">
        <w:t xml:space="preserve"> </w:t>
      </w:r>
      <w:proofErr w:type="gramStart"/>
      <w:r w:rsidR="0036239B">
        <w:t>years</w:t>
      </w:r>
      <w:r w:rsidR="0071243D">
        <w:t>, and</w:t>
      </w:r>
      <w:proofErr w:type="gramEnd"/>
      <w:r w:rsidR="0071243D">
        <w:t xml:space="preserve"> </w:t>
      </w:r>
      <w:r w:rsidR="00342A37">
        <w:t xml:space="preserve">is </w:t>
      </w:r>
      <w:r w:rsidR="0071243D">
        <w:t xml:space="preserve">currently </w:t>
      </w:r>
      <w:r w:rsidR="00342A37">
        <w:t xml:space="preserve">supported by </w:t>
      </w:r>
      <w:r w:rsidR="000169C5">
        <w:t>the elective recovery fund (ERF)</w:t>
      </w:r>
      <w:r w:rsidR="00342A37">
        <w:t xml:space="preserve">, </w:t>
      </w:r>
      <w:r w:rsidR="00C92AA2">
        <w:t xml:space="preserve">which was </w:t>
      </w:r>
      <w:r w:rsidR="00FC61F9">
        <w:t xml:space="preserve">introduced in 2024 to </w:t>
      </w:r>
      <w:r w:rsidR="00D0155F">
        <w:t xml:space="preserve">help reduce elective care waiting lists following the </w:t>
      </w:r>
      <w:r w:rsidR="00E30583">
        <w:t xml:space="preserve">COVID </w:t>
      </w:r>
      <w:r w:rsidR="00D0155F">
        <w:t>pandemic</w:t>
      </w:r>
      <w:r w:rsidR="00312578">
        <w:t xml:space="preserve">. </w:t>
      </w:r>
      <w:r w:rsidR="00EA407D">
        <w:t xml:space="preserve">At least two framework agreements support insourcing, </w:t>
      </w:r>
      <w:r w:rsidR="00FC61F9">
        <w:t>namely</w:t>
      </w:r>
      <w:r w:rsidR="00557F38">
        <w:t xml:space="preserve"> </w:t>
      </w:r>
      <w:r w:rsidR="00EA407D">
        <w:t>the NHS Workforce Alliance Framework</w:t>
      </w:r>
      <w:r w:rsidR="00120443">
        <w:t xml:space="preserve"> Agreement for Insourced Services</w:t>
      </w:r>
      <w:r w:rsidR="00FD7252">
        <w:t xml:space="preserve">, </w:t>
      </w:r>
      <w:r w:rsidR="00557F38">
        <w:t>which has</w:t>
      </w:r>
      <w:r w:rsidR="00FD7252">
        <w:t xml:space="preserve"> 87 accredited providers,</w:t>
      </w:r>
      <w:r w:rsidR="00A62F06">
        <w:rPr>
          <w:rStyle w:val="FootnoteReference"/>
        </w:rPr>
        <w:footnoteReference w:id="11"/>
      </w:r>
      <w:r w:rsidR="00FD7252">
        <w:t xml:space="preserve"> and </w:t>
      </w:r>
      <w:proofErr w:type="gramStart"/>
      <w:r w:rsidR="00557F38">
        <w:t>a</w:t>
      </w:r>
      <w:proofErr w:type="gramEnd"/>
      <w:r w:rsidR="00557F38">
        <w:t xml:space="preserve"> NHS Shared Business Services framework that has 71 accredited providers.</w:t>
      </w:r>
      <w:r w:rsidR="00C64015">
        <w:rPr>
          <w:rStyle w:val="FootnoteReference"/>
        </w:rPr>
        <w:footnoteReference w:id="12"/>
      </w:r>
      <w:bookmarkEnd w:id="4"/>
    </w:p>
    <w:p w14:paraId="05899CCB" w14:textId="136ACC06" w:rsidR="00CB7AB2" w:rsidRDefault="00E63B46" w:rsidP="00B51FEF">
      <w:pPr>
        <w:pStyle w:val="ListParagraph"/>
        <w:spacing w:line="276" w:lineRule="auto"/>
        <w:ind w:left="567" w:hanging="567"/>
      </w:pPr>
      <w:bookmarkStart w:id="5" w:name="_Ref219208631"/>
      <w:r>
        <w:t xml:space="preserve">The evidence suggests that this is a well-developed market, </w:t>
      </w:r>
      <w:r w:rsidR="008C728B">
        <w:t xml:space="preserve">in which </w:t>
      </w:r>
      <w:proofErr w:type="gramStart"/>
      <w:r>
        <w:t>a large number of</w:t>
      </w:r>
      <w:proofErr w:type="gramEnd"/>
      <w:r>
        <w:t xml:space="preserve"> </w:t>
      </w:r>
      <w:r w:rsidR="008C728B">
        <w:t>providers</w:t>
      </w:r>
      <w:r>
        <w:t xml:space="preserve">, </w:t>
      </w:r>
      <w:r w:rsidR="001A4D4F">
        <w:t xml:space="preserve">many </w:t>
      </w:r>
      <w:r w:rsidR="00A268A7">
        <w:t xml:space="preserve">with </w:t>
      </w:r>
      <w:r w:rsidR="001A4D4F">
        <w:t>a long-standing presence</w:t>
      </w:r>
      <w:r w:rsidR="008C728B">
        <w:t xml:space="preserve">, supply a </w:t>
      </w:r>
      <w:r w:rsidR="006162AF">
        <w:t>familiar</w:t>
      </w:r>
      <w:r w:rsidR="00F237B6">
        <w:t xml:space="preserve"> </w:t>
      </w:r>
      <w:r w:rsidR="0017725D">
        <w:t xml:space="preserve">service </w:t>
      </w:r>
      <w:r w:rsidR="00F237B6">
        <w:t xml:space="preserve">to </w:t>
      </w:r>
      <w:proofErr w:type="gramStart"/>
      <w:r w:rsidR="00A268A7">
        <w:t>a large number of</w:t>
      </w:r>
      <w:proofErr w:type="gramEnd"/>
      <w:r w:rsidR="00A268A7">
        <w:t xml:space="preserve"> </w:t>
      </w:r>
      <w:r w:rsidR="00F237B6">
        <w:t>NHS trusts</w:t>
      </w:r>
      <w:r w:rsidR="00C22536">
        <w:t>.</w:t>
      </w:r>
      <w:bookmarkEnd w:id="5"/>
    </w:p>
    <w:p w14:paraId="14B16FF7" w14:textId="48BD471C" w:rsidR="00387344" w:rsidRDefault="00603F02" w:rsidP="00B51FEF">
      <w:pPr>
        <w:pStyle w:val="ListParagraph"/>
        <w:spacing w:line="276" w:lineRule="auto"/>
        <w:ind w:left="567" w:hanging="567"/>
      </w:pPr>
      <w:r w:rsidRPr="0054513E">
        <w:t>UHL</w:t>
      </w:r>
      <w:r w:rsidR="00A76329">
        <w:t xml:space="preserve"> </w:t>
      </w:r>
      <w:r w:rsidR="00AB4C50">
        <w:t xml:space="preserve">currently </w:t>
      </w:r>
      <w:r w:rsidR="003E2CBE">
        <w:t xml:space="preserve">has six providers of insourcing services </w:t>
      </w:r>
      <w:r w:rsidR="00F167A0">
        <w:t>operat</w:t>
      </w:r>
      <w:r w:rsidR="00AB4C50">
        <w:t xml:space="preserve">ing under ten separate contracts </w:t>
      </w:r>
      <w:r w:rsidR="003E2CBE">
        <w:t xml:space="preserve">in specialties such as </w:t>
      </w:r>
      <w:r w:rsidR="009E4C8F">
        <w:t>ear, nose</w:t>
      </w:r>
      <w:r w:rsidR="003E2CBE">
        <w:t xml:space="preserve"> and </w:t>
      </w:r>
      <w:r w:rsidR="009E4C8F">
        <w:t>throat (</w:t>
      </w:r>
      <w:r w:rsidR="003E2CBE">
        <w:t>ENT</w:t>
      </w:r>
      <w:r w:rsidR="009E4C8F">
        <w:t>) services</w:t>
      </w:r>
      <w:r w:rsidR="003E2CBE">
        <w:t xml:space="preserve">, gastroenterology </w:t>
      </w:r>
      <w:r w:rsidR="003E2CBE">
        <w:lastRenderedPageBreak/>
        <w:t xml:space="preserve">and ophthalmology. </w:t>
      </w:r>
      <w:r w:rsidR="007C2FB7">
        <w:t>To improve the performance of its insourcing services</w:t>
      </w:r>
      <w:r w:rsidR="00972121">
        <w:t xml:space="preserve"> and reduce their cost</w:t>
      </w:r>
      <w:r w:rsidR="007C2FB7">
        <w:t xml:space="preserve">, </w:t>
      </w:r>
      <w:r w:rsidR="00387344">
        <w:t xml:space="preserve">UHL </w:t>
      </w:r>
      <w:r w:rsidR="0067336C">
        <w:t xml:space="preserve">is </w:t>
      </w:r>
      <w:r w:rsidR="00D42714">
        <w:t>adopt</w:t>
      </w:r>
      <w:r w:rsidR="0067336C">
        <w:t>ing</w:t>
      </w:r>
      <w:r w:rsidR="00D42714">
        <w:t xml:space="preserve"> a managed service approach whereby </w:t>
      </w:r>
      <w:r w:rsidR="00387344">
        <w:t xml:space="preserve">a single supplier </w:t>
      </w:r>
      <w:r w:rsidR="0060054A">
        <w:t xml:space="preserve">will be responsible for </w:t>
      </w:r>
      <w:proofErr w:type="gramStart"/>
      <w:r w:rsidR="0060054A">
        <w:t>all of</w:t>
      </w:r>
      <w:proofErr w:type="gramEnd"/>
      <w:r w:rsidR="0060054A">
        <w:t xml:space="preserve"> UHL’s insourced services</w:t>
      </w:r>
      <w:r w:rsidR="00387344">
        <w:t xml:space="preserve">. </w:t>
      </w:r>
      <w:r w:rsidR="00E10499">
        <w:t>The supplier will provide the</w:t>
      </w:r>
      <w:r w:rsidR="0067336C">
        <w:t xml:space="preserve"> insourced</w:t>
      </w:r>
      <w:r w:rsidR="00E10499">
        <w:t xml:space="preserve"> services itself or via sub-contracting arrangements. </w:t>
      </w:r>
      <w:r w:rsidR="00450AEE">
        <w:t xml:space="preserve">This </w:t>
      </w:r>
      <w:r w:rsidR="00EE3D9E">
        <w:t xml:space="preserve">approach </w:t>
      </w:r>
      <w:r w:rsidR="00450AEE">
        <w:t>will</w:t>
      </w:r>
      <w:r w:rsidR="00793108">
        <w:t xml:space="preserve"> </w:t>
      </w:r>
      <w:r w:rsidR="00450AEE">
        <w:t>reduce the number of contracts that UHL has to monitor and performance manage</w:t>
      </w:r>
      <w:r w:rsidR="00D11703">
        <w:t xml:space="preserve">, and </w:t>
      </w:r>
      <w:r w:rsidR="00793108">
        <w:t xml:space="preserve">UHL </w:t>
      </w:r>
      <w:r w:rsidR="00862716">
        <w:t xml:space="preserve">also aims to </w:t>
      </w:r>
      <w:r w:rsidR="00C475A5">
        <w:t xml:space="preserve">save money </w:t>
      </w:r>
      <w:r w:rsidR="00D11703">
        <w:t xml:space="preserve">by </w:t>
      </w:r>
      <w:r w:rsidR="00EA6EB4">
        <w:t xml:space="preserve">shifting its payments for insourcing from </w:t>
      </w:r>
      <w:r w:rsidR="00B158D6">
        <w:t>per session</w:t>
      </w:r>
      <w:r w:rsidR="00147C2B">
        <w:t xml:space="preserve"> </w:t>
      </w:r>
      <w:r w:rsidR="00B158D6">
        <w:t xml:space="preserve">to per </w:t>
      </w:r>
      <w:r w:rsidR="00D11703">
        <w:t>patient treated</w:t>
      </w:r>
      <w:r w:rsidR="00387344">
        <w:t>.</w:t>
      </w:r>
      <w:r w:rsidR="00F62357">
        <w:rPr>
          <w:rStyle w:val="FootnoteReference"/>
        </w:rPr>
        <w:footnoteReference w:id="13"/>
      </w:r>
    </w:p>
    <w:p w14:paraId="65B2AB20" w14:textId="56E74EB8" w:rsidR="007701C6" w:rsidRDefault="007E3960" w:rsidP="00B51FEF">
      <w:pPr>
        <w:pStyle w:val="ListParagraph"/>
        <w:spacing w:line="276" w:lineRule="auto"/>
        <w:ind w:left="567" w:hanging="567"/>
      </w:pPr>
      <w:bookmarkStart w:id="6" w:name="_Ref218592655"/>
      <w:r>
        <w:t xml:space="preserve">To select a provider </w:t>
      </w:r>
      <w:r w:rsidR="004B3598">
        <w:t xml:space="preserve">for </w:t>
      </w:r>
      <w:r w:rsidR="00147C2B">
        <w:t xml:space="preserve">its </w:t>
      </w:r>
      <w:r w:rsidR="004B3598">
        <w:t>new managed service</w:t>
      </w:r>
      <w:r>
        <w:t xml:space="preserve">, UHL </w:t>
      </w:r>
      <w:r w:rsidR="00352215">
        <w:t>conduct</w:t>
      </w:r>
      <w:r w:rsidR="00C11411">
        <w:t>ed</w:t>
      </w:r>
      <w:r w:rsidR="00352215">
        <w:t xml:space="preserve"> a further competition (or ‘mini competition’) between suppliers </w:t>
      </w:r>
      <w:r w:rsidR="00CA0D3E">
        <w:t xml:space="preserve">on </w:t>
      </w:r>
      <w:r w:rsidR="00076581">
        <w:t>t</w:t>
      </w:r>
      <w:r w:rsidR="00A41E90" w:rsidRPr="00B068A3">
        <w:t>he</w:t>
      </w:r>
      <w:r w:rsidR="009A51DD" w:rsidRPr="00B068A3">
        <w:t xml:space="preserve"> NHS Workforce Alliance Framework Agreement</w:t>
      </w:r>
      <w:r w:rsidR="00411CED" w:rsidRPr="00B068A3">
        <w:t>.</w:t>
      </w:r>
      <w:r w:rsidR="0091551E">
        <w:t xml:space="preserve"> </w:t>
      </w:r>
      <w:r w:rsidR="001413A0">
        <w:t>After an initial capability assessment, tender documentation was shared with selected providers</w:t>
      </w:r>
      <w:r w:rsidR="001413A0" w:rsidDel="00FB6D3F">
        <w:rPr>
          <w:rStyle w:val="FootnoteReference"/>
        </w:rPr>
        <w:t xml:space="preserve"> </w:t>
      </w:r>
      <w:r w:rsidR="00D3704C">
        <w:t xml:space="preserve">on 25 April 2025. </w:t>
      </w:r>
      <w:bookmarkEnd w:id="6"/>
      <w:r w:rsidR="007701C6" w:rsidRPr="00C46499">
        <w:t xml:space="preserve">The contract </w:t>
      </w:r>
      <w:r w:rsidR="008B39DD">
        <w:t xml:space="preserve">offered by UHL </w:t>
      </w:r>
      <w:r w:rsidR="00CA0D3E">
        <w:t xml:space="preserve">has a </w:t>
      </w:r>
      <w:proofErr w:type="gramStart"/>
      <w:r w:rsidR="007701C6">
        <w:t>two</w:t>
      </w:r>
      <w:r w:rsidR="007701C6" w:rsidRPr="00C46499">
        <w:t xml:space="preserve"> year</w:t>
      </w:r>
      <w:proofErr w:type="gramEnd"/>
      <w:r w:rsidR="007701C6">
        <w:t xml:space="preserve"> duration</w:t>
      </w:r>
      <w:r w:rsidR="007701C6" w:rsidRPr="00C46499">
        <w:t>,</w:t>
      </w:r>
      <w:r w:rsidR="007701C6">
        <w:t xml:space="preserve"> </w:t>
      </w:r>
      <w:r w:rsidR="007701C6" w:rsidRPr="00C46499">
        <w:t xml:space="preserve">with the option </w:t>
      </w:r>
      <w:r w:rsidR="007701C6">
        <w:t xml:space="preserve">of </w:t>
      </w:r>
      <w:r w:rsidR="00CA0D3E">
        <w:t xml:space="preserve">a </w:t>
      </w:r>
      <w:proofErr w:type="gramStart"/>
      <w:r w:rsidR="00CA0D3E">
        <w:t>12 month</w:t>
      </w:r>
      <w:proofErr w:type="gramEnd"/>
      <w:r w:rsidR="00CA0D3E">
        <w:t xml:space="preserve"> extension.</w:t>
      </w:r>
      <w:r w:rsidR="00195A51">
        <w:t xml:space="preserve"> Based on </w:t>
      </w:r>
      <w:r w:rsidR="00F3698E">
        <w:t>expected</w:t>
      </w:r>
      <w:r w:rsidR="00195A51">
        <w:t xml:space="preserve"> activity levels, </w:t>
      </w:r>
      <w:r w:rsidR="002B6562">
        <w:t xml:space="preserve">the value of the contract is </w:t>
      </w:r>
      <w:r w:rsidR="00654D3D" w:rsidRPr="00C46499">
        <w:t>approximately £</w:t>
      </w:r>
      <w:r w:rsidR="00F3698E">
        <w:t>10</w:t>
      </w:r>
      <w:r w:rsidR="002B6562">
        <w:t xml:space="preserve"> </w:t>
      </w:r>
      <w:r w:rsidR="00654D3D">
        <w:t>million</w:t>
      </w:r>
      <w:r w:rsidR="00654D3D" w:rsidRPr="00C46499">
        <w:t xml:space="preserve"> (</w:t>
      </w:r>
      <w:r w:rsidR="00F4355D">
        <w:t xml:space="preserve">including the extension option and </w:t>
      </w:r>
      <w:r w:rsidR="00654D3D" w:rsidRPr="00C46499">
        <w:t>excluding VAT)</w:t>
      </w:r>
      <w:r w:rsidR="00654D3D">
        <w:t xml:space="preserve"> and was </w:t>
      </w:r>
      <w:r w:rsidR="007701C6">
        <w:t xml:space="preserve">intended to </w:t>
      </w:r>
      <w:r w:rsidR="007701C6" w:rsidRPr="00C46499">
        <w:t>commenc</w:t>
      </w:r>
      <w:r w:rsidR="007701C6">
        <w:t xml:space="preserve">e </w:t>
      </w:r>
      <w:r w:rsidR="007701C6" w:rsidRPr="00C46499">
        <w:t>on 1 October</w:t>
      </w:r>
      <w:r w:rsidR="00720BFF">
        <w:t xml:space="preserve"> 2025</w:t>
      </w:r>
      <w:r w:rsidR="007701C6">
        <w:t>.</w:t>
      </w:r>
      <w:r w:rsidR="007701C6">
        <w:rPr>
          <w:rStyle w:val="FootnoteReference"/>
        </w:rPr>
        <w:footnoteReference w:id="14"/>
      </w:r>
    </w:p>
    <w:p w14:paraId="62DBDD81" w14:textId="14464D57" w:rsidR="006D71C6" w:rsidRDefault="006D71C6" w:rsidP="00F4355D">
      <w:pPr>
        <w:pStyle w:val="ListParagraph"/>
        <w:spacing w:line="276" w:lineRule="auto"/>
        <w:ind w:left="567" w:hanging="567"/>
      </w:pPr>
      <w:bookmarkStart w:id="7" w:name="_Ref218592714"/>
      <w:r>
        <w:t>Twenty</w:t>
      </w:r>
      <w:r w:rsidR="00D13DAD">
        <w:t>-</w:t>
      </w:r>
      <w:r>
        <w:t xml:space="preserve">three bids </w:t>
      </w:r>
      <w:r w:rsidR="00601D01">
        <w:t xml:space="preserve">were received </w:t>
      </w:r>
      <w:r w:rsidR="00D3704C">
        <w:t xml:space="preserve">for the UHL </w:t>
      </w:r>
      <w:proofErr w:type="gramStart"/>
      <w:r w:rsidR="00D3704C">
        <w:t>contract</w:t>
      </w:r>
      <w:proofErr w:type="gramEnd"/>
      <w:r w:rsidR="00D3704C">
        <w:t xml:space="preserve"> </w:t>
      </w:r>
      <w:r w:rsidR="006130DA">
        <w:t xml:space="preserve">and these </w:t>
      </w:r>
      <w:r w:rsidR="00F62045">
        <w:t>were evaluated between 27 May and 20</w:t>
      </w:r>
      <w:r w:rsidR="00601D01">
        <w:t> </w:t>
      </w:r>
      <w:r w:rsidR="00F62045">
        <w:t>June</w:t>
      </w:r>
      <w:r w:rsidR="00D3704C">
        <w:t xml:space="preserve"> 2025</w:t>
      </w:r>
      <w:r w:rsidR="004253D9">
        <w:t>.</w:t>
      </w:r>
      <w:r w:rsidR="004557FA">
        <w:t xml:space="preserve"> </w:t>
      </w:r>
      <w:r w:rsidR="001C4C9F">
        <w:t>B</w:t>
      </w:r>
      <w:r>
        <w:t xml:space="preserve">idders were asked </w:t>
      </w:r>
      <w:r w:rsidR="004557FA">
        <w:t>to submit a single price</w:t>
      </w:r>
      <w:r w:rsidR="001C4C9F" w:rsidRPr="001C4C9F">
        <w:t xml:space="preserve"> </w:t>
      </w:r>
      <w:r w:rsidR="001C4C9F">
        <w:t>for the commercial element of their proposal</w:t>
      </w:r>
      <w:r w:rsidR="004557FA">
        <w:t xml:space="preserve">, </w:t>
      </w:r>
      <w:r w:rsidR="001C4C9F">
        <w:t xml:space="preserve">which was </w:t>
      </w:r>
      <w:r w:rsidR="004557FA">
        <w:t xml:space="preserve">expressed as a uniform discount to the NHS tariff </w:t>
      </w:r>
      <w:r w:rsidR="001C4C9F">
        <w:t xml:space="preserve">for </w:t>
      </w:r>
      <w:r w:rsidR="004557FA">
        <w:t>all services covered by the contract.</w:t>
      </w:r>
      <w:r w:rsidR="004557FA">
        <w:rPr>
          <w:rStyle w:val="FootnoteReference"/>
        </w:rPr>
        <w:footnoteReference w:id="15"/>
      </w:r>
      <w:r w:rsidR="004557FA">
        <w:t xml:space="preserve"> The commercial element of the bid</w:t>
      </w:r>
      <w:r w:rsidR="009B24A2">
        <w:t>ders’ proposals</w:t>
      </w:r>
      <w:r w:rsidR="004557FA">
        <w:t xml:space="preserve"> was weighted at 40%</w:t>
      </w:r>
      <w:r w:rsidR="00FF7316">
        <w:t>, while the non-pric</w:t>
      </w:r>
      <w:r w:rsidR="009B24A2">
        <w:t>e</w:t>
      </w:r>
      <w:r w:rsidR="00FF7316">
        <w:t xml:space="preserve"> elements were collectively weighted at 60%.</w:t>
      </w:r>
      <w:bookmarkEnd w:id="7"/>
    </w:p>
    <w:p w14:paraId="25040CDD" w14:textId="6A2DD365" w:rsidR="00E64E91" w:rsidRPr="000B0BBB" w:rsidRDefault="00B0374B" w:rsidP="00F4355D">
      <w:pPr>
        <w:pStyle w:val="ListParagraph"/>
        <w:spacing w:line="276" w:lineRule="auto"/>
        <w:ind w:left="567" w:hanging="567"/>
      </w:pPr>
      <w:r>
        <w:t>O</w:t>
      </w:r>
      <w:r w:rsidR="00EB4B88" w:rsidRPr="000B0BBB">
        <w:t xml:space="preserve">n </w:t>
      </w:r>
      <w:r w:rsidR="00931055" w:rsidRPr="000B0BBB">
        <w:t>2</w:t>
      </w:r>
      <w:r w:rsidR="00CA54F6">
        <w:t>1</w:t>
      </w:r>
      <w:r w:rsidR="00B2305A">
        <w:t> </w:t>
      </w:r>
      <w:r w:rsidR="00931055" w:rsidRPr="000B0BBB">
        <w:t>August</w:t>
      </w:r>
      <w:r w:rsidR="00481D82">
        <w:t xml:space="preserve"> 2025</w:t>
      </w:r>
      <w:r w:rsidR="002B30AF" w:rsidRPr="000B0BBB">
        <w:t>, UHL</w:t>
      </w:r>
      <w:r w:rsidR="00EB4B88" w:rsidRPr="000B0BBB">
        <w:t xml:space="preserve"> announc</w:t>
      </w:r>
      <w:r w:rsidR="00FF7316">
        <w:t>ed</w:t>
      </w:r>
      <w:r w:rsidR="00EB4B88" w:rsidRPr="000B0BBB" w:rsidDel="006B188D">
        <w:t xml:space="preserve"> </w:t>
      </w:r>
      <w:r w:rsidR="009955AA" w:rsidRPr="000B0BBB">
        <w:t>18 Week Support Limited</w:t>
      </w:r>
      <w:r w:rsidR="009B0796" w:rsidRPr="000B0BBB">
        <w:t xml:space="preserve"> (18 Week</w:t>
      </w:r>
      <w:r w:rsidR="000C5AC4">
        <w:t xml:space="preserve"> Support</w:t>
      </w:r>
      <w:r w:rsidR="009B0796" w:rsidRPr="000B0BBB">
        <w:t>)</w:t>
      </w:r>
      <w:r w:rsidR="006B188D">
        <w:t xml:space="preserve"> as the successful bidder</w:t>
      </w:r>
      <w:r w:rsidR="007918D7" w:rsidRPr="000B0BBB">
        <w:t>.</w:t>
      </w:r>
      <w:r w:rsidR="003A440C" w:rsidRPr="000B0BBB">
        <w:rPr>
          <w:rStyle w:val="FootnoteReference"/>
        </w:rPr>
        <w:footnoteReference w:id="16"/>
      </w:r>
      <w:r w:rsidR="007918D7" w:rsidRPr="000B0BBB">
        <w:t xml:space="preserve"> </w:t>
      </w:r>
      <w:r w:rsidR="009955AA" w:rsidRPr="000B0BBB">
        <w:t xml:space="preserve">YWR’s </w:t>
      </w:r>
      <w:r w:rsidR="007918D7" w:rsidRPr="000B0BBB">
        <w:t xml:space="preserve">proposal was ranked </w:t>
      </w:r>
      <w:r w:rsidR="00787F89" w:rsidRPr="000B0BBB">
        <w:t>second.</w:t>
      </w:r>
    </w:p>
    <w:p w14:paraId="3E2925FA" w14:textId="39731550" w:rsidR="00D741B5" w:rsidRDefault="00D741B5" w:rsidP="00F4355D">
      <w:pPr>
        <w:pStyle w:val="ListParagraph"/>
        <w:spacing w:line="276" w:lineRule="auto"/>
        <w:ind w:left="567" w:hanging="567"/>
      </w:pPr>
      <w:r>
        <w:t xml:space="preserve">On 27 August 2025, YWR wrote to UHL </w:t>
      </w:r>
      <w:r w:rsidR="00185D28">
        <w:t>raising concerns</w:t>
      </w:r>
      <w:r w:rsidR="00E71FE8">
        <w:t xml:space="preserve"> </w:t>
      </w:r>
      <w:r w:rsidR="006F73CF">
        <w:t xml:space="preserve">that the </w:t>
      </w:r>
      <w:r w:rsidR="00982CDD">
        <w:t xml:space="preserve">tender outcome letter </w:t>
      </w:r>
      <w:r w:rsidR="00E05BE7">
        <w:t xml:space="preserve">referred to </w:t>
      </w:r>
      <w:r w:rsidR="00982CDD">
        <w:t xml:space="preserve">the </w:t>
      </w:r>
      <w:r w:rsidR="00CF64BA">
        <w:t xml:space="preserve">procurement </w:t>
      </w:r>
      <w:r w:rsidR="00E05BE7">
        <w:t xml:space="preserve">as being </w:t>
      </w:r>
      <w:r w:rsidR="00982CDD">
        <w:t xml:space="preserve">governed </w:t>
      </w:r>
      <w:r w:rsidR="00DF76BB">
        <w:t>by the Public Contracts Regulations 2015</w:t>
      </w:r>
      <w:r w:rsidR="00F75E61">
        <w:t xml:space="preserve"> (PCR)</w:t>
      </w:r>
      <w:r w:rsidR="00DF76BB">
        <w:t xml:space="preserve"> rather than the </w:t>
      </w:r>
      <w:r w:rsidR="00A761B6">
        <w:t>PSR regulations.</w:t>
      </w:r>
      <w:r w:rsidR="00F64D03">
        <w:rPr>
          <w:rStyle w:val="FootnoteReference"/>
        </w:rPr>
        <w:footnoteReference w:id="17"/>
      </w:r>
      <w:r w:rsidR="006F029E">
        <w:t xml:space="preserve"> (The PSR regulations apply to all mini-competitions </w:t>
      </w:r>
      <w:r w:rsidR="00827561">
        <w:t xml:space="preserve">for health care services, even where the </w:t>
      </w:r>
      <w:r w:rsidR="00F64D03">
        <w:t xml:space="preserve">relevant </w:t>
      </w:r>
      <w:r w:rsidR="00827561">
        <w:t xml:space="preserve">framework agreement was established </w:t>
      </w:r>
      <w:r w:rsidR="00433178">
        <w:t xml:space="preserve">prior to the Provider Selection Regime – see PSR regulation </w:t>
      </w:r>
      <w:r w:rsidR="00FE468B">
        <w:t>29(3)</w:t>
      </w:r>
      <w:r w:rsidR="00433178">
        <w:t>.)</w:t>
      </w:r>
    </w:p>
    <w:p w14:paraId="653B0FE2" w14:textId="3B7EF924" w:rsidR="006F5F40" w:rsidRDefault="006F5F40" w:rsidP="00F4355D">
      <w:pPr>
        <w:pStyle w:val="ListParagraph"/>
        <w:spacing w:line="276" w:lineRule="auto"/>
        <w:ind w:left="567" w:hanging="567"/>
      </w:pPr>
      <w:r>
        <w:t xml:space="preserve">On </w:t>
      </w:r>
      <w:r w:rsidR="000F1557">
        <w:t xml:space="preserve">29 August 2025, UHL </w:t>
      </w:r>
      <w:r w:rsidR="004741BB">
        <w:t>published a new</w:t>
      </w:r>
      <w:r w:rsidR="00216154">
        <w:t xml:space="preserve"> </w:t>
      </w:r>
      <w:r w:rsidR="00433178">
        <w:t>c</w:t>
      </w:r>
      <w:r w:rsidR="00216154">
        <w:t xml:space="preserve">ontract </w:t>
      </w:r>
      <w:r w:rsidR="00433178">
        <w:t>a</w:t>
      </w:r>
      <w:r w:rsidR="00216154">
        <w:t xml:space="preserve">ward </w:t>
      </w:r>
      <w:r w:rsidR="00433178">
        <w:t>n</w:t>
      </w:r>
      <w:r w:rsidR="00216154">
        <w:t>otice</w:t>
      </w:r>
      <w:r w:rsidR="00D6610C">
        <w:t xml:space="preserve"> and issued new tender outcome letters,</w:t>
      </w:r>
      <w:r w:rsidR="005C5BA7">
        <w:t xml:space="preserve"> </w:t>
      </w:r>
      <w:r w:rsidR="00A3725B">
        <w:t xml:space="preserve">again </w:t>
      </w:r>
      <w:r w:rsidR="00707995">
        <w:t>announc</w:t>
      </w:r>
      <w:r w:rsidR="00A3725B">
        <w:t xml:space="preserve">ing </w:t>
      </w:r>
      <w:r w:rsidR="00707995">
        <w:t xml:space="preserve">18 Week Support as </w:t>
      </w:r>
      <w:r w:rsidR="001741FE" w:rsidRPr="001741FE">
        <w:t>the successful bidder</w:t>
      </w:r>
      <w:r w:rsidR="00B50A86">
        <w:t>. R</w:t>
      </w:r>
      <w:r w:rsidR="00893A2C">
        <w:t>eference</w:t>
      </w:r>
      <w:r w:rsidR="007F7D7C">
        <w:t>s</w:t>
      </w:r>
      <w:r w:rsidR="00893A2C">
        <w:t xml:space="preserve"> </w:t>
      </w:r>
      <w:r w:rsidR="00893A2C" w:rsidDel="00114333">
        <w:t xml:space="preserve">to the </w:t>
      </w:r>
      <w:r w:rsidR="00893A2C">
        <w:t xml:space="preserve">PCR </w:t>
      </w:r>
      <w:r w:rsidR="00B50A86">
        <w:t xml:space="preserve">were replaced </w:t>
      </w:r>
      <w:r w:rsidR="00114333">
        <w:t>with</w:t>
      </w:r>
      <w:r w:rsidR="00893A2C">
        <w:t xml:space="preserve"> </w:t>
      </w:r>
      <w:r w:rsidR="00B50A86">
        <w:t xml:space="preserve">references to </w:t>
      </w:r>
      <w:r w:rsidR="00893A2C">
        <w:t>the PSR regulations</w:t>
      </w:r>
      <w:r w:rsidR="00341457" w:rsidDel="00667476">
        <w:t>,</w:t>
      </w:r>
      <w:r w:rsidR="00341457">
        <w:t xml:space="preserve"> and a new standstill period</w:t>
      </w:r>
      <w:r w:rsidR="00B50A86">
        <w:t xml:space="preserve"> commenced</w:t>
      </w:r>
      <w:r w:rsidR="00341457">
        <w:t>.</w:t>
      </w:r>
      <w:r w:rsidR="005F6177">
        <w:rPr>
          <w:rStyle w:val="FootnoteReference"/>
        </w:rPr>
        <w:footnoteReference w:id="18"/>
      </w:r>
    </w:p>
    <w:p w14:paraId="2E916105" w14:textId="7F8612AD" w:rsidR="00DC1E2D" w:rsidRDefault="005E6CD3" w:rsidP="00F4355D">
      <w:pPr>
        <w:pStyle w:val="ListParagraph"/>
        <w:spacing w:line="276" w:lineRule="auto"/>
        <w:ind w:left="567" w:hanging="567"/>
      </w:pPr>
      <w:r>
        <w:t xml:space="preserve">On </w:t>
      </w:r>
      <w:r w:rsidR="00BB6EC0">
        <w:t xml:space="preserve">9 September 2025, </w:t>
      </w:r>
      <w:r w:rsidR="002748A5">
        <w:t>while</w:t>
      </w:r>
      <w:r w:rsidR="00900D02">
        <w:t xml:space="preserve"> </w:t>
      </w:r>
      <w:r w:rsidR="00C54D60">
        <w:t>the standstill period</w:t>
      </w:r>
      <w:r w:rsidR="00900D02">
        <w:t xml:space="preserve"> </w:t>
      </w:r>
      <w:r w:rsidR="002748A5">
        <w:t>was still open</w:t>
      </w:r>
      <w:r w:rsidR="00C54D60">
        <w:t xml:space="preserve">, </w:t>
      </w:r>
      <w:r w:rsidR="00BB6EC0">
        <w:t xml:space="preserve">YWR </w:t>
      </w:r>
      <w:r>
        <w:t xml:space="preserve">made representations to </w:t>
      </w:r>
      <w:r w:rsidR="00BB6EC0">
        <w:t>UHL</w:t>
      </w:r>
      <w:r>
        <w:t xml:space="preserve"> about </w:t>
      </w:r>
      <w:r w:rsidR="00283551">
        <w:t xml:space="preserve">the provider selection process, and in particular </w:t>
      </w:r>
      <w:r w:rsidR="00110BD4">
        <w:t>UHL’s</w:t>
      </w:r>
      <w:r w:rsidR="009B60AD">
        <w:t xml:space="preserve"> </w:t>
      </w:r>
      <w:r w:rsidR="005F568C">
        <w:lastRenderedPageBreak/>
        <w:t>c</w:t>
      </w:r>
      <w:r w:rsidR="009B60AD">
        <w:t xml:space="preserve">ontract </w:t>
      </w:r>
      <w:r w:rsidR="005F568C">
        <w:t>a</w:t>
      </w:r>
      <w:r w:rsidR="009B60AD">
        <w:t xml:space="preserve">ward </w:t>
      </w:r>
      <w:r w:rsidR="005F568C">
        <w:t>n</w:t>
      </w:r>
      <w:r w:rsidR="009B60AD">
        <w:t xml:space="preserve">otice and the </w:t>
      </w:r>
      <w:r w:rsidR="005F568C">
        <w:t xml:space="preserve">tender </w:t>
      </w:r>
      <w:r w:rsidR="009B60AD">
        <w:t xml:space="preserve">outcome letter </w:t>
      </w:r>
      <w:r w:rsidR="00D81F47">
        <w:t xml:space="preserve">that was </w:t>
      </w:r>
      <w:r w:rsidR="00EF7B96">
        <w:t xml:space="preserve">sent </w:t>
      </w:r>
      <w:r w:rsidR="009B60AD">
        <w:t xml:space="preserve">to YWR. YWR </w:t>
      </w:r>
      <w:r w:rsidR="00283551">
        <w:t xml:space="preserve">also </w:t>
      </w:r>
      <w:r w:rsidR="009B60AD">
        <w:t xml:space="preserve">requested </w:t>
      </w:r>
      <w:r w:rsidR="002B4E41">
        <w:t>information</w:t>
      </w:r>
      <w:r w:rsidR="00283551">
        <w:t xml:space="preserve"> </w:t>
      </w:r>
      <w:r w:rsidR="00065D6D">
        <w:t xml:space="preserve">from UHL </w:t>
      </w:r>
      <w:r w:rsidR="00283551">
        <w:t>as part of its representations</w:t>
      </w:r>
      <w:r w:rsidR="002B4E41">
        <w:t>.</w:t>
      </w:r>
      <w:r w:rsidR="00B34408">
        <w:rPr>
          <w:rStyle w:val="FootnoteReference"/>
        </w:rPr>
        <w:footnoteReference w:id="19"/>
      </w:r>
    </w:p>
    <w:p w14:paraId="092A0204" w14:textId="3D8C2266" w:rsidR="00065D6D" w:rsidRDefault="00F14D9D" w:rsidP="00F4355D">
      <w:pPr>
        <w:pStyle w:val="ListParagraph"/>
        <w:spacing w:line="276" w:lineRule="auto"/>
        <w:ind w:left="567" w:hanging="567"/>
      </w:pPr>
      <w:r>
        <w:t xml:space="preserve">On 30 September 2025, UHL responded to </w:t>
      </w:r>
      <w:r w:rsidR="00B2267B">
        <w:t xml:space="preserve">YWR’s representations, </w:t>
      </w:r>
      <w:r>
        <w:t xml:space="preserve">saying that it </w:t>
      </w:r>
      <w:r w:rsidRPr="00F14D9D">
        <w:t xml:space="preserve">would be returning to the step before the standstill period and issuing new tender outcome letters. UHL also </w:t>
      </w:r>
      <w:r w:rsidR="00D81F47">
        <w:t>told</w:t>
      </w:r>
      <w:r w:rsidR="00D81F47" w:rsidRPr="00F14D9D">
        <w:t xml:space="preserve"> </w:t>
      </w:r>
      <w:r w:rsidRPr="00F14D9D">
        <w:t xml:space="preserve">YWR that it </w:t>
      </w:r>
      <w:r w:rsidR="00423F82">
        <w:t>would</w:t>
      </w:r>
      <w:r w:rsidRPr="00F14D9D">
        <w:t xml:space="preserve"> not be providing the information requested by YWR</w:t>
      </w:r>
      <w:r w:rsidR="007B401D">
        <w:t xml:space="preserve"> on the grounds that: (a) </w:t>
      </w:r>
      <w:r w:rsidR="004A4F5E">
        <w:t xml:space="preserve">disclosure of </w:t>
      </w:r>
      <w:r w:rsidR="001D789B">
        <w:t xml:space="preserve">the scoring information requested by YWR </w:t>
      </w:r>
      <w:r w:rsidR="007031AA">
        <w:t>might prejudice fair competition between providers in the future</w:t>
      </w:r>
      <w:r w:rsidR="00C91062">
        <w:t xml:space="preserve">; and (b) </w:t>
      </w:r>
      <w:r w:rsidR="001D789B">
        <w:t xml:space="preserve">the </w:t>
      </w:r>
      <w:r w:rsidR="007031AA">
        <w:t xml:space="preserve">remaining </w:t>
      </w:r>
      <w:r w:rsidR="001D789B">
        <w:t xml:space="preserve">information requested </w:t>
      </w:r>
      <w:r w:rsidR="007031AA">
        <w:t xml:space="preserve">by YWR </w:t>
      </w:r>
      <w:r w:rsidR="001D789B">
        <w:t>would be included in the new tender outcome letter and contract award notice</w:t>
      </w:r>
      <w:r w:rsidR="007031AA">
        <w:t>.</w:t>
      </w:r>
      <w:r w:rsidR="00A75B80">
        <w:rPr>
          <w:rStyle w:val="FootnoteReference"/>
        </w:rPr>
        <w:footnoteReference w:id="20"/>
      </w:r>
      <w:r w:rsidR="001D49EB">
        <w:t xml:space="preserve"> </w:t>
      </w:r>
      <w:r w:rsidR="00395129" w:rsidRPr="00395129">
        <w:t xml:space="preserve">New tender outcome letters were issued by UHL on 30 September 2025, </w:t>
      </w:r>
      <w:r w:rsidR="00972E7A">
        <w:t xml:space="preserve">and </w:t>
      </w:r>
      <w:r w:rsidR="00395129" w:rsidRPr="00395129">
        <w:t xml:space="preserve">a new contract award notice </w:t>
      </w:r>
      <w:r w:rsidR="00972E7A">
        <w:t>was published</w:t>
      </w:r>
      <w:r w:rsidR="00360008">
        <w:t xml:space="preserve"> on the same day</w:t>
      </w:r>
      <w:r w:rsidR="00395129" w:rsidRPr="00395129">
        <w:t>.</w:t>
      </w:r>
    </w:p>
    <w:p w14:paraId="5B1C7DE2" w14:textId="3F1C2ACC" w:rsidR="00A75B80" w:rsidRDefault="006A14F0" w:rsidP="00F4355D">
      <w:pPr>
        <w:pStyle w:val="ListParagraph"/>
        <w:spacing w:after="240" w:line="276" w:lineRule="auto"/>
        <w:ind w:left="567" w:hanging="567"/>
      </w:pPr>
      <w:r>
        <w:t xml:space="preserve">On 8 October 2025, YWR made further representations to UHL </w:t>
      </w:r>
      <w:r w:rsidR="005F295B">
        <w:t xml:space="preserve">raising concerns </w:t>
      </w:r>
      <w:r w:rsidR="00FB6505">
        <w:t xml:space="preserve">that UHL </w:t>
      </w:r>
      <w:r w:rsidR="00E13742">
        <w:t xml:space="preserve">had </w:t>
      </w:r>
      <w:r w:rsidR="00C23DEB">
        <w:t xml:space="preserve">selected the successful provider without properly considering </w:t>
      </w:r>
      <w:r w:rsidR="005F295B">
        <w:t>service sustainability</w:t>
      </w:r>
      <w:r w:rsidR="00FB6505">
        <w:t xml:space="preserve"> risks. </w:t>
      </w:r>
      <w:r w:rsidR="00C23DEB">
        <w:t xml:space="preserve">YWR </w:t>
      </w:r>
      <w:r w:rsidR="00C81112">
        <w:t xml:space="preserve">also repeated its earlier requests for information and made further requests for information concerning </w:t>
      </w:r>
      <w:r w:rsidR="003801F0">
        <w:t>UHL’s consideration of service sustainability issues.</w:t>
      </w:r>
      <w:r w:rsidR="001B0CBD">
        <w:rPr>
          <w:rStyle w:val="FootnoteReference"/>
        </w:rPr>
        <w:footnoteReference w:id="21"/>
      </w:r>
    </w:p>
    <w:p w14:paraId="1FCB68AE" w14:textId="74259C97" w:rsidR="001B0CBD" w:rsidRPr="00F14D9D" w:rsidRDefault="001B0CBD" w:rsidP="00F4355D">
      <w:pPr>
        <w:pStyle w:val="ListParagraph"/>
        <w:spacing w:after="240" w:line="276" w:lineRule="auto"/>
        <w:ind w:left="567" w:hanging="567"/>
      </w:pPr>
      <w:r>
        <w:t xml:space="preserve">On 14 October 2025, </w:t>
      </w:r>
      <w:r w:rsidR="001B381D">
        <w:t>UHL responded to YWR’s further representations and further request for information</w:t>
      </w:r>
      <w:r w:rsidR="00DE4C00">
        <w:t>,</w:t>
      </w:r>
      <w:r w:rsidR="001B381D">
        <w:t xml:space="preserve"> setting out its further decision on the provider selection process, namely that it would be continuing with the </w:t>
      </w:r>
      <w:r w:rsidR="009C0422">
        <w:t>award of the contract to 18 Week Support.</w:t>
      </w:r>
    </w:p>
    <w:p w14:paraId="4C39BC48" w14:textId="0939996D" w:rsidR="00B14504" w:rsidRPr="00E64E91" w:rsidRDefault="00B14504" w:rsidP="00F4355D">
      <w:pPr>
        <w:pStyle w:val="ListParagraph"/>
        <w:spacing w:line="276" w:lineRule="auto"/>
        <w:ind w:left="567" w:hanging="567"/>
      </w:pPr>
      <w:r>
        <w:t xml:space="preserve">On </w:t>
      </w:r>
      <w:r w:rsidR="003B0977">
        <w:t xml:space="preserve">21 October 2025, </w:t>
      </w:r>
      <w:r w:rsidR="008335AA">
        <w:t>while within</w:t>
      </w:r>
      <w:r w:rsidR="004C0FA6">
        <w:t xml:space="preserve"> the standstill period, </w:t>
      </w:r>
      <w:r w:rsidR="003B0977">
        <w:t xml:space="preserve">YWR </w:t>
      </w:r>
      <w:r w:rsidR="004C0FA6">
        <w:t xml:space="preserve">asked the Panel to </w:t>
      </w:r>
      <w:r w:rsidR="008335AA">
        <w:t>advise on</w:t>
      </w:r>
      <w:r w:rsidR="004C0FA6">
        <w:t xml:space="preserve"> </w:t>
      </w:r>
      <w:r w:rsidR="003B0977">
        <w:t>UHL</w:t>
      </w:r>
      <w:r w:rsidR="004C0FA6">
        <w:t xml:space="preserve">’s provider selection </w:t>
      </w:r>
      <w:r w:rsidR="008335AA">
        <w:t>process</w:t>
      </w:r>
      <w:r w:rsidR="004C0FA6">
        <w:t>. The Panel accepted this request on</w:t>
      </w:r>
      <w:r w:rsidR="004E407B">
        <w:t xml:space="preserve"> 2</w:t>
      </w:r>
      <w:r w:rsidR="003E1B11">
        <w:t>4</w:t>
      </w:r>
      <w:r w:rsidR="004E407B">
        <w:t xml:space="preserve"> October</w:t>
      </w:r>
      <w:r w:rsidR="00076654">
        <w:t xml:space="preserve"> 2025</w:t>
      </w:r>
      <w:r w:rsidR="00FE066C">
        <w:t xml:space="preserve">. On being made aware of the Panel’s acceptance decision, </w:t>
      </w:r>
      <w:r w:rsidR="004E407B">
        <w:t>UHL</w:t>
      </w:r>
      <w:r w:rsidR="00FE066C">
        <w:t xml:space="preserve"> confirmed that it would hold the standstill period open for the duration of the Panel’s review</w:t>
      </w:r>
      <w:r w:rsidR="003E1B11">
        <w:t>.</w:t>
      </w:r>
    </w:p>
    <w:p w14:paraId="7C82D25B" w14:textId="6CEDA849" w:rsidR="00DA200D" w:rsidRDefault="00DA200D" w:rsidP="00E371C2">
      <w:pPr>
        <w:pStyle w:val="Heading1"/>
        <w:ind w:left="426"/>
      </w:pPr>
      <w:bookmarkStart w:id="8" w:name="_Toc218602392"/>
      <w:r>
        <w:t xml:space="preserve">Representations by </w:t>
      </w:r>
      <w:r w:rsidR="004E407B">
        <w:t>YWR</w:t>
      </w:r>
      <w:bookmarkEnd w:id="8"/>
    </w:p>
    <w:p w14:paraId="6351C71F" w14:textId="27846762" w:rsidR="00DA200D" w:rsidRDefault="004E407B" w:rsidP="004510F1">
      <w:pPr>
        <w:pStyle w:val="ListParagraph"/>
        <w:spacing w:after="120" w:line="276" w:lineRule="auto"/>
        <w:ind w:left="567" w:hanging="567"/>
      </w:pPr>
      <w:bookmarkStart w:id="9" w:name="_Ref215575500"/>
      <w:r>
        <w:t>YWR</w:t>
      </w:r>
      <w:r w:rsidR="005E362F">
        <w:t>’s concerns about the provider selection process, as summarised in its representations to the Panel, were as follows:</w:t>
      </w:r>
      <w:bookmarkEnd w:id="9"/>
    </w:p>
    <w:p w14:paraId="2F8220CE" w14:textId="48D779AB" w:rsidR="009D514E" w:rsidRPr="000F1450" w:rsidRDefault="009D514E" w:rsidP="007C0F31">
      <w:pPr>
        <w:spacing w:after="120"/>
        <w:ind w:left="851"/>
        <w:rPr>
          <w:sz w:val="21"/>
          <w:szCs w:val="21"/>
        </w:rPr>
      </w:pPr>
      <w:r w:rsidRPr="000F1450">
        <w:rPr>
          <w:sz w:val="21"/>
          <w:szCs w:val="21"/>
        </w:rPr>
        <w:t>“</w:t>
      </w:r>
      <w:r w:rsidR="004E215F" w:rsidRPr="000F1450">
        <w:rPr>
          <w:sz w:val="21"/>
          <w:szCs w:val="21"/>
        </w:rPr>
        <w:t>YWR’s representations are set out in its letter of 8 October 2025 (which cross-refers in some respects to its previous letter of representations dated 9 September 2025</w:t>
      </w:r>
      <w:r w:rsidR="00380D5A" w:rsidRPr="5EA3017E">
        <w:rPr>
          <w:sz w:val="21"/>
          <w:szCs w:val="21"/>
        </w:rPr>
        <w:t>)</w:t>
      </w:r>
      <w:r w:rsidR="004E215F" w:rsidRPr="5EA3017E">
        <w:rPr>
          <w:sz w:val="21"/>
          <w:szCs w:val="21"/>
        </w:rPr>
        <w:t>.</w:t>
      </w:r>
    </w:p>
    <w:p w14:paraId="6D33DD1E" w14:textId="369EB6B9" w:rsidR="00BF4BB5" w:rsidRPr="000F1450" w:rsidRDefault="00BF4BB5" w:rsidP="007C0F31">
      <w:pPr>
        <w:spacing w:after="120"/>
        <w:ind w:left="851"/>
        <w:rPr>
          <w:sz w:val="21"/>
          <w:szCs w:val="21"/>
        </w:rPr>
      </w:pPr>
      <w:r w:rsidRPr="000F1450">
        <w:rPr>
          <w:sz w:val="21"/>
          <w:szCs w:val="21"/>
        </w:rPr>
        <w:t xml:space="preserve">“In summary, YWR contends that the authority has awarded a contract to the winning bidder (known as 18 Week Support Limited, or </w:t>
      </w:r>
      <w:r w:rsidR="00E3274E" w:rsidRPr="000F1450">
        <w:rPr>
          <w:sz w:val="21"/>
          <w:szCs w:val="21"/>
        </w:rPr>
        <w:t>‘</w:t>
      </w:r>
      <w:r w:rsidRPr="000F1450">
        <w:rPr>
          <w:sz w:val="21"/>
          <w:szCs w:val="21"/>
        </w:rPr>
        <w:t>18 Week</w:t>
      </w:r>
      <w:r w:rsidR="00E3274E" w:rsidRPr="000F1450">
        <w:rPr>
          <w:sz w:val="21"/>
          <w:szCs w:val="21"/>
        </w:rPr>
        <w:t>’</w:t>
      </w:r>
      <w:r w:rsidRPr="000F1450">
        <w:rPr>
          <w:sz w:val="21"/>
          <w:szCs w:val="21"/>
        </w:rPr>
        <w:t xml:space="preserve">) which is, or presents a significant risk of proving to be, economically unsustainable due to the excessively low price of 18 Week’s bid. In so doing, the authority has not </w:t>
      </w:r>
      <w:proofErr w:type="gramStart"/>
      <w:r w:rsidRPr="000F1450">
        <w:rPr>
          <w:sz w:val="21"/>
          <w:szCs w:val="21"/>
        </w:rPr>
        <w:t>given proper consideration to</w:t>
      </w:r>
      <w:proofErr w:type="gramEnd"/>
      <w:r w:rsidRPr="000F1450">
        <w:rPr>
          <w:sz w:val="21"/>
          <w:szCs w:val="21"/>
        </w:rPr>
        <w:t xml:space="preserve"> the risk to service sustainability and has:</w:t>
      </w:r>
    </w:p>
    <w:p w14:paraId="204E5632" w14:textId="71CFB488" w:rsidR="00BF4BB5" w:rsidRPr="00277BB7" w:rsidRDefault="003C41A8" w:rsidP="004510F1">
      <w:pPr>
        <w:pStyle w:val="ListParagraph"/>
        <w:numPr>
          <w:ilvl w:val="0"/>
          <w:numId w:val="30"/>
        </w:numPr>
        <w:spacing w:after="120"/>
        <w:ind w:left="1276"/>
        <w:rPr>
          <w:sz w:val="21"/>
          <w:szCs w:val="21"/>
        </w:rPr>
      </w:pPr>
      <w:r w:rsidRPr="000F1450">
        <w:rPr>
          <w:sz w:val="21"/>
          <w:szCs w:val="21"/>
        </w:rPr>
        <w:t>b</w:t>
      </w:r>
      <w:r w:rsidR="00BF4BB5" w:rsidRPr="000F1450">
        <w:rPr>
          <w:sz w:val="21"/>
          <w:szCs w:val="21"/>
        </w:rPr>
        <w:t>reached the obligation imposed by regulation 4(1)(a)</w:t>
      </w:r>
      <w:r w:rsidR="00F6784F">
        <w:rPr>
          <w:sz w:val="21"/>
          <w:szCs w:val="21"/>
        </w:rPr>
        <w:t>(</w:t>
      </w:r>
      <w:proofErr w:type="spellStart"/>
      <w:r w:rsidR="00F6784F">
        <w:rPr>
          <w:sz w:val="21"/>
          <w:szCs w:val="21"/>
        </w:rPr>
        <w:t>i</w:t>
      </w:r>
      <w:proofErr w:type="spellEnd"/>
      <w:r w:rsidR="00F6784F">
        <w:rPr>
          <w:sz w:val="21"/>
          <w:szCs w:val="21"/>
        </w:rPr>
        <w:t>)</w:t>
      </w:r>
      <w:r w:rsidR="00BF4BB5" w:rsidRPr="000F1450">
        <w:rPr>
          <w:sz w:val="21"/>
          <w:szCs w:val="21"/>
        </w:rPr>
        <w:t xml:space="preserve"> </w:t>
      </w:r>
      <w:r w:rsidR="00F6784F">
        <w:rPr>
          <w:sz w:val="21"/>
          <w:szCs w:val="21"/>
        </w:rPr>
        <w:t xml:space="preserve">of the </w:t>
      </w:r>
      <w:r w:rsidR="00BF4BB5" w:rsidRPr="000F1450">
        <w:rPr>
          <w:sz w:val="21"/>
          <w:szCs w:val="21"/>
        </w:rPr>
        <w:t>PSR</w:t>
      </w:r>
      <w:r w:rsidR="00F6784F">
        <w:rPr>
          <w:sz w:val="21"/>
          <w:szCs w:val="21"/>
        </w:rPr>
        <w:t xml:space="preserve"> regulations </w:t>
      </w:r>
      <w:r w:rsidR="00BF4BB5" w:rsidRPr="000F1450">
        <w:rPr>
          <w:sz w:val="21"/>
          <w:szCs w:val="21"/>
        </w:rPr>
        <w:t>to act with a view to securing the needs of the people who use the services;</w:t>
      </w:r>
      <w:r w:rsidR="00D679A0">
        <w:rPr>
          <w:sz w:val="21"/>
          <w:szCs w:val="21"/>
        </w:rPr>
        <w:t xml:space="preserve"> </w:t>
      </w:r>
      <w:r w:rsidRPr="00277BB7">
        <w:rPr>
          <w:sz w:val="21"/>
          <w:szCs w:val="21"/>
        </w:rPr>
        <w:t>b</w:t>
      </w:r>
      <w:r w:rsidR="00BF4BB5" w:rsidRPr="00277BB7">
        <w:rPr>
          <w:sz w:val="21"/>
          <w:szCs w:val="21"/>
        </w:rPr>
        <w:t>reached the obligation imposed by regulation 4(1)(</w:t>
      </w:r>
      <w:r w:rsidR="00F6784F">
        <w:rPr>
          <w:sz w:val="21"/>
          <w:szCs w:val="21"/>
        </w:rPr>
        <w:t>a</w:t>
      </w:r>
      <w:r w:rsidR="00BF4BB5" w:rsidRPr="00277BB7">
        <w:rPr>
          <w:sz w:val="21"/>
          <w:szCs w:val="21"/>
        </w:rPr>
        <w:t>)</w:t>
      </w:r>
      <w:r w:rsidR="00F6784F">
        <w:rPr>
          <w:sz w:val="21"/>
          <w:szCs w:val="21"/>
        </w:rPr>
        <w:t>(ii)</w:t>
      </w:r>
      <w:r w:rsidR="00BF4BB5" w:rsidRPr="00277BB7">
        <w:rPr>
          <w:sz w:val="21"/>
          <w:szCs w:val="21"/>
        </w:rPr>
        <w:t xml:space="preserve"> </w:t>
      </w:r>
      <w:r w:rsidR="00F6784F">
        <w:rPr>
          <w:sz w:val="21"/>
          <w:szCs w:val="21"/>
        </w:rPr>
        <w:t>of the PSR regulations</w:t>
      </w:r>
      <w:r w:rsidR="00BF4BB5" w:rsidRPr="00277BB7">
        <w:rPr>
          <w:sz w:val="21"/>
          <w:szCs w:val="21"/>
        </w:rPr>
        <w:t xml:space="preserve"> to act with a view to improving the quality of the </w:t>
      </w:r>
      <w:proofErr w:type="gramStart"/>
      <w:r w:rsidR="00BF4BB5" w:rsidRPr="00277BB7">
        <w:rPr>
          <w:sz w:val="21"/>
          <w:szCs w:val="21"/>
        </w:rPr>
        <w:t>services;</w:t>
      </w:r>
      <w:proofErr w:type="gramEnd"/>
    </w:p>
    <w:p w14:paraId="4DB60FD6" w14:textId="1E82798A" w:rsidR="00BF4BB5" w:rsidRPr="000F1450" w:rsidRDefault="003C41A8" w:rsidP="007C0F31">
      <w:pPr>
        <w:pStyle w:val="ListParagraph"/>
        <w:numPr>
          <w:ilvl w:val="0"/>
          <w:numId w:val="30"/>
        </w:numPr>
        <w:spacing w:after="120"/>
        <w:ind w:left="1276"/>
        <w:rPr>
          <w:sz w:val="21"/>
          <w:szCs w:val="21"/>
        </w:rPr>
      </w:pPr>
      <w:r w:rsidRPr="000F1450">
        <w:rPr>
          <w:sz w:val="21"/>
          <w:szCs w:val="21"/>
        </w:rPr>
        <w:lastRenderedPageBreak/>
        <w:t>a</w:t>
      </w:r>
      <w:r w:rsidR="00BF4BB5" w:rsidRPr="000F1450">
        <w:rPr>
          <w:sz w:val="21"/>
          <w:szCs w:val="21"/>
        </w:rPr>
        <w:t xml:space="preserve">cted irrationally, since the authority appears to have identified a risk of service unsustainability but failed to conduct an analysis to satisfy itself that the service would not operate at a loss and was therefore </w:t>
      </w:r>
      <w:r w:rsidR="008A3CD8" w:rsidRPr="000F1450">
        <w:rPr>
          <w:sz w:val="21"/>
          <w:szCs w:val="21"/>
        </w:rPr>
        <w:t>sustainable; and</w:t>
      </w:r>
      <w:r w:rsidR="00BF4BB5" w:rsidRPr="000F1450">
        <w:rPr>
          <w:sz w:val="21"/>
          <w:szCs w:val="21"/>
        </w:rPr>
        <w:t xml:space="preserve"> </w:t>
      </w:r>
    </w:p>
    <w:p w14:paraId="1A846682" w14:textId="60CDFD06" w:rsidR="00E34516" w:rsidRPr="000F1450" w:rsidRDefault="003C41A8" w:rsidP="004510F1">
      <w:pPr>
        <w:pStyle w:val="ListParagraph"/>
        <w:numPr>
          <w:ilvl w:val="0"/>
          <w:numId w:val="30"/>
        </w:numPr>
        <w:spacing w:after="120"/>
        <w:ind w:left="1276"/>
        <w:rPr>
          <w:sz w:val="21"/>
          <w:szCs w:val="21"/>
        </w:rPr>
      </w:pPr>
      <w:r w:rsidRPr="000F1450">
        <w:rPr>
          <w:sz w:val="21"/>
          <w:szCs w:val="21"/>
        </w:rPr>
        <w:t>f</w:t>
      </w:r>
      <w:r w:rsidR="00E34516" w:rsidRPr="000F1450">
        <w:rPr>
          <w:sz w:val="21"/>
          <w:szCs w:val="21"/>
        </w:rPr>
        <w:t xml:space="preserve">ailed properly to </w:t>
      </w:r>
      <w:proofErr w:type="gramStart"/>
      <w:r w:rsidR="00E34516" w:rsidRPr="000F1450">
        <w:rPr>
          <w:sz w:val="21"/>
          <w:szCs w:val="21"/>
        </w:rPr>
        <w:t>take into account</w:t>
      </w:r>
      <w:proofErr w:type="gramEnd"/>
      <w:r w:rsidR="00E34516" w:rsidRPr="000F1450">
        <w:rPr>
          <w:sz w:val="21"/>
          <w:szCs w:val="21"/>
        </w:rPr>
        <w:t xml:space="preserve"> the key criterion of service sustainability laid down by regulation 5(c)(iii) </w:t>
      </w:r>
      <w:r w:rsidR="00F6784F">
        <w:rPr>
          <w:sz w:val="21"/>
          <w:szCs w:val="21"/>
        </w:rPr>
        <w:t>of the PSR regulations.</w:t>
      </w:r>
    </w:p>
    <w:p w14:paraId="0CC505DE" w14:textId="7DD67392" w:rsidR="00E34516" w:rsidRPr="001655EF" w:rsidRDefault="001655EF" w:rsidP="00FE04FB">
      <w:pPr>
        <w:spacing w:after="120"/>
        <w:ind w:left="851"/>
        <w:rPr>
          <w:sz w:val="21"/>
          <w:szCs w:val="21"/>
        </w:rPr>
      </w:pPr>
      <w:r w:rsidRPr="001655EF">
        <w:rPr>
          <w:sz w:val="21"/>
          <w:szCs w:val="21"/>
        </w:rPr>
        <w:t>“</w:t>
      </w:r>
      <w:r w:rsidR="00E34516" w:rsidRPr="001655EF">
        <w:rPr>
          <w:sz w:val="21"/>
          <w:szCs w:val="21"/>
        </w:rPr>
        <w:t>YWR contends that, when it received bids which were significantly below the level expected, the authority should have taken steps to satisfy itself that the service was sustainable in the sense that it would not operate at a loss. It was not suffic</w:t>
      </w:r>
      <w:r w:rsidR="00F72A39">
        <w:rPr>
          <w:sz w:val="21"/>
          <w:szCs w:val="21"/>
        </w:rPr>
        <w:t>i</w:t>
      </w:r>
      <w:r w:rsidR="00E34516" w:rsidRPr="001655EF">
        <w:rPr>
          <w:sz w:val="21"/>
          <w:szCs w:val="21"/>
        </w:rPr>
        <w:t xml:space="preserve">ent for the authority simply to clarify with bidders whether they had </w:t>
      </w:r>
      <w:r w:rsidR="00C23186" w:rsidRPr="001655EF">
        <w:rPr>
          <w:sz w:val="21"/>
          <w:szCs w:val="21"/>
        </w:rPr>
        <w:t>properly</w:t>
      </w:r>
      <w:r w:rsidR="00E34516" w:rsidRPr="001655EF">
        <w:rPr>
          <w:sz w:val="21"/>
          <w:szCs w:val="21"/>
        </w:rPr>
        <w:t xml:space="preserve"> understood the </w:t>
      </w:r>
      <w:proofErr w:type="gramStart"/>
      <w:r w:rsidR="00E34516" w:rsidRPr="001655EF">
        <w:rPr>
          <w:sz w:val="21"/>
          <w:szCs w:val="21"/>
        </w:rPr>
        <w:t>manner in which</w:t>
      </w:r>
      <w:proofErr w:type="gramEnd"/>
      <w:r w:rsidR="00E34516" w:rsidRPr="001655EF">
        <w:rPr>
          <w:sz w:val="21"/>
          <w:szCs w:val="21"/>
        </w:rPr>
        <w:t xml:space="preserve"> prices were to be submitted (which appears to </w:t>
      </w:r>
      <w:r w:rsidR="00261F16" w:rsidRPr="001655EF">
        <w:rPr>
          <w:sz w:val="21"/>
          <w:szCs w:val="21"/>
        </w:rPr>
        <w:t>be t</w:t>
      </w:r>
      <w:r w:rsidR="00E34516" w:rsidRPr="001655EF">
        <w:rPr>
          <w:sz w:val="21"/>
          <w:szCs w:val="21"/>
        </w:rPr>
        <w:t>he sole step that the authority took – see its response to representations dated 14 October 2025). The authority</w:t>
      </w:r>
      <w:r w:rsidR="00261F16" w:rsidRPr="001655EF">
        <w:rPr>
          <w:sz w:val="21"/>
          <w:szCs w:val="21"/>
        </w:rPr>
        <w:t>’</w:t>
      </w:r>
      <w:r w:rsidR="00E34516" w:rsidRPr="001655EF">
        <w:rPr>
          <w:sz w:val="21"/>
          <w:szCs w:val="21"/>
        </w:rPr>
        <w:t>s award criteria took no account of the key criterion of service sustainability beyond the point at which the inte</w:t>
      </w:r>
      <w:r w:rsidR="00C23186" w:rsidRPr="001655EF">
        <w:rPr>
          <w:sz w:val="21"/>
          <w:szCs w:val="21"/>
        </w:rPr>
        <w:t>nded service was up and running, and this contributed to the authority’s failure to ensure that the contract it awarded was economically sustainable</w:t>
      </w:r>
      <w:r w:rsidR="00C23186" w:rsidRPr="5EA3017E">
        <w:rPr>
          <w:sz w:val="21"/>
          <w:szCs w:val="21"/>
        </w:rPr>
        <w:t>.</w:t>
      </w:r>
    </w:p>
    <w:p w14:paraId="06D694F9" w14:textId="62008FDA" w:rsidR="00BF4BB5" w:rsidRPr="00AE21EC" w:rsidRDefault="001655EF" w:rsidP="00AE21EC">
      <w:pPr>
        <w:ind w:left="851"/>
        <w:rPr>
          <w:sz w:val="21"/>
          <w:szCs w:val="21"/>
        </w:rPr>
      </w:pPr>
      <w:r w:rsidRPr="001655EF">
        <w:rPr>
          <w:sz w:val="21"/>
          <w:szCs w:val="21"/>
        </w:rPr>
        <w:t>“</w:t>
      </w:r>
      <w:r w:rsidR="00261F16" w:rsidRPr="001655EF">
        <w:rPr>
          <w:sz w:val="21"/>
          <w:szCs w:val="21"/>
        </w:rPr>
        <w:t>YWR also contends that the authority has failed in numerous respects to provide relevant information at YWR’s request, contrary to regulation 12(4)(b) PSR23, with the consequence that YWR has been unable to make representations on a properly informed basis and has been unable properly to scrutinise the authority’s responses.”</w:t>
      </w:r>
    </w:p>
    <w:p w14:paraId="7904AE47" w14:textId="476EF393" w:rsidR="00DA200D" w:rsidRDefault="00DA200D" w:rsidP="000F1450">
      <w:pPr>
        <w:pStyle w:val="Heading1"/>
        <w:ind w:left="426"/>
      </w:pPr>
      <w:bookmarkStart w:id="10" w:name="_Toc218602393"/>
      <w:r>
        <w:t>PSR regulations relevant to this review</w:t>
      </w:r>
      <w:bookmarkEnd w:id="10"/>
    </w:p>
    <w:p w14:paraId="1C90E3DF" w14:textId="77777777" w:rsidR="00E93988" w:rsidRDefault="00236F9E" w:rsidP="009034AB">
      <w:pPr>
        <w:pStyle w:val="ListParagraph"/>
        <w:spacing w:line="276" w:lineRule="auto"/>
        <w:ind w:left="567" w:hanging="567"/>
        <w:contextualSpacing/>
      </w:pPr>
      <w:r>
        <w:t xml:space="preserve">In its representations to the Panel, </w:t>
      </w:r>
      <w:r w:rsidR="00AE21EC">
        <w:t xml:space="preserve">YWR </w:t>
      </w:r>
      <w:r>
        <w:t xml:space="preserve">suggested that </w:t>
      </w:r>
      <w:r w:rsidR="00AE21EC">
        <w:t xml:space="preserve">UHL </w:t>
      </w:r>
      <w:r>
        <w:t>had breached the PSR regulations in relation to</w:t>
      </w:r>
      <w:r w:rsidR="00E93988">
        <w:t>:</w:t>
      </w:r>
    </w:p>
    <w:p w14:paraId="3C0D55D2" w14:textId="107D479E" w:rsidR="00971CFF" w:rsidRDefault="00971CFF" w:rsidP="00E93988">
      <w:pPr>
        <w:pStyle w:val="ListParagraph"/>
        <w:numPr>
          <w:ilvl w:val="0"/>
          <w:numId w:val="30"/>
        </w:numPr>
        <w:spacing w:line="276" w:lineRule="auto"/>
        <w:ind w:left="1134"/>
        <w:contextualSpacing/>
      </w:pPr>
      <w:r w:rsidRPr="00971CFF">
        <w:t>the general requirements on commissioners (as set out in Regulation 4</w:t>
      </w:r>
      <w:proofErr w:type="gramStart"/>
      <w:r w:rsidRPr="00971CFF">
        <w:t>);</w:t>
      </w:r>
      <w:proofErr w:type="gramEnd"/>
    </w:p>
    <w:p w14:paraId="72428733" w14:textId="468CF8DD" w:rsidR="00E93988" w:rsidRDefault="003C28FD" w:rsidP="00E93988">
      <w:pPr>
        <w:pStyle w:val="ListParagraph"/>
        <w:numPr>
          <w:ilvl w:val="0"/>
          <w:numId w:val="30"/>
        </w:numPr>
        <w:spacing w:line="276" w:lineRule="auto"/>
        <w:ind w:left="1134"/>
        <w:contextualSpacing/>
      </w:pPr>
      <w:r>
        <w:t>the application of key criteria</w:t>
      </w:r>
      <w:r w:rsidR="002D4F47">
        <w:t xml:space="preserve"> (as set out in Regulation </w:t>
      </w:r>
      <w:r>
        <w:t>5</w:t>
      </w:r>
      <w:proofErr w:type="gramStart"/>
      <w:r>
        <w:t>)</w:t>
      </w:r>
      <w:r w:rsidR="00C84994">
        <w:t>;</w:t>
      </w:r>
      <w:proofErr w:type="gramEnd"/>
    </w:p>
    <w:p w14:paraId="00428397" w14:textId="4CA93551" w:rsidR="00E93988" w:rsidRDefault="003C28FD" w:rsidP="00E93988">
      <w:pPr>
        <w:pStyle w:val="ListParagraph"/>
        <w:numPr>
          <w:ilvl w:val="0"/>
          <w:numId w:val="30"/>
        </w:numPr>
        <w:spacing w:line="276" w:lineRule="auto"/>
        <w:ind w:left="1134"/>
        <w:contextualSpacing/>
      </w:pPr>
      <w:r>
        <w:t xml:space="preserve">the general conditions that apply when using </w:t>
      </w:r>
      <w:r w:rsidR="000E6D80">
        <w:t>the competitive process (as set out in Regulation 6(7</w:t>
      </w:r>
      <w:r w:rsidR="000E6D80" w:rsidRPr="007D277D">
        <w:t>)</w:t>
      </w:r>
      <w:proofErr w:type="gramStart"/>
      <w:r w:rsidR="000E6D80" w:rsidRPr="007D277D">
        <w:t>)</w:t>
      </w:r>
      <w:r w:rsidR="00C84994">
        <w:t>;</w:t>
      </w:r>
      <w:proofErr w:type="gramEnd"/>
    </w:p>
    <w:p w14:paraId="72683A74" w14:textId="4EAF1FA7" w:rsidR="00E93988" w:rsidRDefault="00377076" w:rsidP="00E93988">
      <w:pPr>
        <w:pStyle w:val="ListParagraph"/>
        <w:numPr>
          <w:ilvl w:val="0"/>
          <w:numId w:val="30"/>
        </w:numPr>
        <w:spacing w:line="276" w:lineRule="auto"/>
        <w:ind w:left="1134"/>
        <w:contextualSpacing/>
      </w:pPr>
      <w:r w:rsidRPr="007D277D">
        <w:t>the requirement to use the competitive process where the procurement is to conclude a framework agreement</w:t>
      </w:r>
      <w:r w:rsidR="006814D3" w:rsidRPr="007D277D">
        <w:t xml:space="preserve"> (as set out in Regulation 6(8)</w:t>
      </w:r>
      <w:proofErr w:type="gramStart"/>
      <w:r w:rsidR="00F72DCD">
        <w:t>)</w:t>
      </w:r>
      <w:r w:rsidR="00C84994">
        <w:t>;</w:t>
      </w:r>
      <w:proofErr w:type="gramEnd"/>
    </w:p>
    <w:p w14:paraId="1E2CC0DD" w14:textId="4B622E6E" w:rsidR="00E93988" w:rsidRDefault="000E6D80" w:rsidP="00E93988">
      <w:pPr>
        <w:pStyle w:val="ListParagraph"/>
        <w:numPr>
          <w:ilvl w:val="0"/>
          <w:numId w:val="30"/>
        </w:numPr>
        <w:spacing w:line="276" w:lineRule="auto"/>
        <w:ind w:left="1134"/>
        <w:contextualSpacing/>
      </w:pPr>
      <w:r>
        <w:t xml:space="preserve">the steps that commissioners must follow when using the </w:t>
      </w:r>
      <w:r w:rsidR="00CC6D90">
        <w:t>c</w:t>
      </w:r>
      <w:r>
        <w:t>ompetitive process (as set out in Regulation 11</w:t>
      </w:r>
      <w:proofErr w:type="gramStart"/>
      <w:r>
        <w:t>)</w:t>
      </w:r>
      <w:r w:rsidR="00C84994">
        <w:t>;</w:t>
      </w:r>
      <w:proofErr w:type="gramEnd"/>
    </w:p>
    <w:p w14:paraId="57CA4764" w14:textId="7A06B0B4" w:rsidR="00E93988" w:rsidRDefault="00D32C9E" w:rsidP="00E93988">
      <w:pPr>
        <w:pStyle w:val="ListParagraph"/>
        <w:numPr>
          <w:ilvl w:val="0"/>
          <w:numId w:val="30"/>
        </w:numPr>
        <w:spacing w:line="276" w:lineRule="auto"/>
        <w:ind w:left="1134"/>
        <w:contextualSpacing/>
      </w:pPr>
      <w:r>
        <w:t>the requirements in relation to responding to representations (as set out in Regulation 12)</w:t>
      </w:r>
      <w:r w:rsidR="00C84994">
        <w:t>;</w:t>
      </w:r>
      <w:r>
        <w:t xml:space="preserve"> </w:t>
      </w:r>
      <w:r w:rsidR="003E5F7C" w:rsidRPr="003A1DF2">
        <w:t>and</w:t>
      </w:r>
    </w:p>
    <w:p w14:paraId="03CFDD46" w14:textId="44A06187" w:rsidR="003E5F7C" w:rsidRDefault="003E5F7C" w:rsidP="00E93988">
      <w:pPr>
        <w:pStyle w:val="ListParagraph"/>
        <w:numPr>
          <w:ilvl w:val="0"/>
          <w:numId w:val="30"/>
        </w:numPr>
        <w:spacing w:line="276" w:lineRule="auto"/>
        <w:ind w:left="1134"/>
      </w:pPr>
      <w:r w:rsidRPr="003A1DF2">
        <w:t>the requirement to keep a record of all decisions made under the Regulations and their rationale (as set out in Regulation 24).</w:t>
      </w:r>
    </w:p>
    <w:p w14:paraId="0D8F02B1" w14:textId="0D62D65F" w:rsidR="00247071" w:rsidRDefault="00247071" w:rsidP="009034AB">
      <w:pPr>
        <w:pStyle w:val="ListParagraph"/>
        <w:spacing w:after="120" w:line="276" w:lineRule="auto"/>
        <w:ind w:left="567" w:hanging="567"/>
      </w:pPr>
      <w:r>
        <w:t>Those parts of the PSR regulations most relevant to this review are set out below:</w:t>
      </w:r>
    </w:p>
    <w:p w14:paraId="7AFCF163" w14:textId="60410143" w:rsidR="00DD6F21" w:rsidRPr="00DD6F21" w:rsidRDefault="00037EDC" w:rsidP="009034AB">
      <w:pPr>
        <w:pStyle w:val="ListParagraph"/>
        <w:numPr>
          <w:ilvl w:val="0"/>
          <w:numId w:val="12"/>
        </w:numPr>
        <w:spacing w:after="120" w:line="276" w:lineRule="auto"/>
      </w:pPr>
      <w:r w:rsidRPr="00DD6F21">
        <w:t xml:space="preserve">Regulation </w:t>
      </w:r>
      <w:r w:rsidR="00636704" w:rsidRPr="00DD6F21">
        <w:t xml:space="preserve">4 </w:t>
      </w:r>
      <w:r w:rsidRPr="00DD6F21">
        <w:t>sets out</w:t>
      </w:r>
      <w:r w:rsidR="00DD6F21" w:rsidRPr="00DD6F21">
        <w:t xml:space="preserve"> the general requirements on relevant authorities (i.e. commissioners) when selecting a provider of health care services. This states that </w:t>
      </w:r>
      <w:r w:rsidR="00DD6F21">
        <w:t>“</w:t>
      </w:r>
      <w:r w:rsidR="3A2FA518">
        <w:t xml:space="preserve">(1) When procuring relevant health care services, a relevant authority </w:t>
      </w:r>
      <w:r w:rsidR="00DD6F21" w:rsidRPr="00DD6F21">
        <w:t>must act – (a) with a view to (</w:t>
      </w:r>
      <w:proofErr w:type="spellStart"/>
      <w:r w:rsidR="00DD6F21" w:rsidRPr="00DD6F21">
        <w:t>i</w:t>
      </w:r>
      <w:proofErr w:type="spellEnd"/>
      <w:r w:rsidR="00DD6F21" w:rsidRPr="00DD6F21">
        <w:t>) securing the needs of the people who use the services; (ii) improving the quality of the services; and; (iii) improving the efficiency in the provision of the services; and (b) transparently, fairly and proportionately.”</w:t>
      </w:r>
    </w:p>
    <w:p w14:paraId="2286C68F" w14:textId="501F76D9" w:rsidR="00037EDC" w:rsidRPr="00DD6F21" w:rsidRDefault="00DD6F21" w:rsidP="00395A64">
      <w:pPr>
        <w:pStyle w:val="ListParagraph"/>
        <w:numPr>
          <w:ilvl w:val="0"/>
          <w:numId w:val="12"/>
        </w:numPr>
        <w:spacing w:after="120" w:line="276" w:lineRule="auto"/>
      </w:pPr>
      <w:r w:rsidRPr="00DD6F21">
        <w:t xml:space="preserve">Regulation 5 sets out the key criteria which a commissioner must consider when procuring relevant health care services. The </w:t>
      </w:r>
      <w:r w:rsidR="00187A8D">
        <w:t>f</w:t>
      </w:r>
      <w:r w:rsidRPr="00DD6F21">
        <w:t xml:space="preserve">ive key criteria are: (a) quality and innovation; (b) value; (c) integration, collaboration and service sustainability; (d) </w:t>
      </w:r>
      <w:r w:rsidRPr="00DD6F21">
        <w:lastRenderedPageBreak/>
        <w:t>improving access, re</w:t>
      </w:r>
      <w:r w:rsidR="00416C94">
        <w:t>d</w:t>
      </w:r>
      <w:r w:rsidRPr="00DD6F21">
        <w:t>u</w:t>
      </w:r>
      <w:r w:rsidR="00416C94">
        <w:t>c</w:t>
      </w:r>
      <w:r w:rsidRPr="00DD6F21">
        <w:t>ing health inequalities and facilitating choice; and (e) social value.</w:t>
      </w:r>
    </w:p>
    <w:p w14:paraId="0ED2A04B" w14:textId="3A2DFF65" w:rsidR="00E57FF7" w:rsidRPr="003E5F7C" w:rsidRDefault="00E57FF7" w:rsidP="00395A64">
      <w:pPr>
        <w:pStyle w:val="ListParagraph"/>
        <w:numPr>
          <w:ilvl w:val="0"/>
          <w:numId w:val="12"/>
        </w:numPr>
        <w:spacing w:after="120" w:line="276" w:lineRule="auto"/>
      </w:pPr>
      <w:r w:rsidRPr="003E5F7C">
        <w:t xml:space="preserve">Regulation 6 sets out the appropriate process a relevant authority must follow when procuring a </w:t>
      </w:r>
      <w:r w:rsidR="00F16FD3" w:rsidRPr="003E5F7C">
        <w:t>relevant</w:t>
      </w:r>
      <w:r w:rsidRPr="003E5F7C">
        <w:t xml:space="preserve"> health care service to which the PSR regulations apply. This states that “(7) Where (a) the relevant authority is not required to follow Direct Award Process A or Direct Award Process B, and (b) neither paragraph (5) nor (6) applies</w:t>
      </w:r>
      <w:r w:rsidR="00CD465C" w:rsidRPr="003E5F7C">
        <w:t>,</w:t>
      </w:r>
      <w:r w:rsidR="00CD465C" w:rsidRPr="003E5F7C">
        <w:rPr>
          <w:rStyle w:val="FootnoteReference"/>
        </w:rPr>
        <w:footnoteReference w:id="22"/>
      </w:r>
      <w:r w:rsidR="00CD465C" w:rsidRPr="003E5F7C">
        <w:t xml:space="preserve"> the relevant authority must follow the Competitive Process</w:t>
      </w:r>
      <w:r w:rsidR="001B50EF">
        <w:t>”</w:t>
      </w:r>
      <w:r w:rsidR="00350877" w:rsidRPr="003E5F7C">
        <w:t>.</w:t>
      </w:r>
    </w:p>
    <w:p w14:paraId="2778168C" w14:textId="1E22A18F" w:rsidR="00515B85" w:rsidRDefault="004C5957" w:rsidP="00395A64">
      <w:pPr>
        <w:pStyle w:val="ListParagraph"/>
        <w:numPr>
          <w:ilvl w:val="0"/>
          <w:numId w:val="12"/>
        </w:numPr>
        <w:spacing w:after="120" w:line="276" w:lineRule="auto"/>
      </w:pPr>
      <w:r>
        <w:t>Regulation 11 sets out the obligations that apply to commissioners when following the competitive process. It states that “(1) Where the relevant authority follows the Competitive Process, the process is that the relevant authority follows the steps set out in this regulation</w:t>
      </w:r>
      <w:r w:rsidR="00580ADC">
        <w:t>.</w:t>
      </w:r>
      <w:r>
        <w:t xml:space="preserve"> </w:t>
      </w:r>
      <w:r w:rsidR="00FB054C">
        <w:t xml:space="preserve">(2) </w:t>
      </w:r>
      <w:r w:rsidR="00580ADC">
        <w:t xml:space="preserve">Step </w:t>
      </w:r>
      <w:r w:rsidR="00287B75">
        <w:t xml:space="preserve">1 is that </w:t>
      </w:r>
      <w:r w:rsidR="0036193F">
        <w:t>the relevant authority determines</w:t>
      </w:r>
      <w:r w:rsidR="00F823BB">
        <w:t xml:space="preserve"> the contract or framework award criteria</w:t>
      </w:r>
      <w:r w:rsidR="00137DBB">
        <w:t xml:space="preserve">, </w:t>
      </w:r>
      <w:proofErr w:type="gramStart"/>
      <w:r w:rsidR="00137DBB">
        <w:t>taking into account</w:t>
      </w:r>
      <w:proofErr w:type="gramEnd"/>
      <w:r w:rsidR="00646398">
        <w:t xml:space="preserve"> the key criteria</w:t>
      </w:r>
      <w:r w:rsidR="00FC1852">
        <w:t xml:space="preserve"> and applying the basic selection criteria</w:t>
      </w:r>
      <w:r w:rsidR="00145DB0">
        <w:t>…</w:t>
      </w:r>
      <w:r w:rsidR="00145DB0" w:rsidRPr="003F5589" w:rsidDel="00145DB0">
        <w:t xml:space="preserve"> </w:t>
      </w:r>
      <w:r>
        <w:t>(5) Step 3 is that the relevant authority assesses any offers received in accordance with the contract or framework award criteria</w:t>
      </w:r>
      <w:r w:rsidR="00E1629F">
        <w:t>…”</w:t>
      </w:r>
    </w:p>
    <w:p w14:paraId="494EBB40" w14:textId="5B124198" w:rsidR="00E1629F" w:rsidRDefault="00E1629F" w:rsidP="00395A64">
      <w:pPr>
        <w:pStyle w:val="ListParagraph"/>
        <w:numPr>
          <w:ilvl w:val="0"/>
          <w:numId w:val="12"/>
        </w:numPr>
        <w:spacing w:line="276" w:lineRule="auto"/>
      </w:pPr>
      <w:r>
        <w:t>Regulation 12 sets out the requirements on commissioners in relation to the standstill period after a contract award decision. It sta</w:t>
      </w:r>
      <w:r w:rsidR="00F16FD3">
        <w:t>t</w:t>
      </w:r>
      <w:r>
        <w:t xml:space="preserve">es that “(4) Where the relevant authority receives representations [during the standstill period], it must … (b) provide promptly any information requested by an aggrieved provider where the relevant authority has a duty to </w:t>
      </w:r>
      <w:r w:rsidR="00F16FD3">
        <w:t>record that information under regulation 2</w:t>
      </w:r>
      <w:r w:rsidR="78D88DA6">
        <w:t>4</w:t>
      </w:r>
      <w:r w:rsidR="00F16FD3">
        <w:t xml:space="preserve"> (information </w:t>
      </w:r>
      <w:proofErr w:type="gramStart"/>
      <w:r w:rsidR="00F16FD3">
        <w:t>requirements)…</w:t>
      </w:r>
      <w:proofErr w:type="gramEnd"/>
      <w:r w:rsidR="00F16FD3">
        <w:t>”</w:t>
      </w:r>
      <w:r w:rsidR="00126858">
        <w:t>. It also states that “(5) Paragraph (4)(b) does not require the provision of information where provision—(a) would prejudice the legitimate commercial interests of any person, including those of the relevant authority, (b) might prejudice fair competition between providers, or (c) would otherwise be contrary to the public interest</w:t>
      </w:r>
      <w:r w:rsidR="00366C46">
        <w:t>”</w:t>
      </w:r>
      <w:r w:rsidR="00126858">
        <w:t>.</w:t>
      </w:r>
    </w:p>
    <w:p w14:paraId="1FB86D71" w14:textId="7CAE158C" w:rsidR="00B0169F" w:rsidRDefault="00B0169F" w:rsidP="00492E8C">
      <w:pPr>
        <w:pStyle w:val="ListParagraph"/>
        <w:numPr>
          <w:ilvl w:val="0"/>
          <w:numId w:val="12"/>
        </w:numPr>
        <w:spacing w:line="276" w:lineRule="auto"/>
      </w:pPr>
      <w:r>
        <w:t xml:space="preserve">Regulation 19 sets out the </w:t>
      </w:r>
      <w:r w:rsidR="00542944">
        <w:t xml:space="preserve">requirements </w:t>
      </w:r>
      <w:r w:rsidR="00492E8C">
        <w:t xml:space="preserve">on commissioners </w:t>
      </w:r>
      <w:r w:rsidR="00542944">
        <w:t xml:space="preserve">in relation to </w:t>
      </w:r>
      <w:r w:rsidR="00D90F7E">
        <w:t xml:space="preserve">assessing </w:t>
      </w:r>
      <w:r w:rsidR="00C8344B">
        <w:t xml:space="preserve">the </w:t>
      </w:r>
      <w:r w:rsidR="00D90F7E">
        <w:t xml:space="preserve">basic selection criteria. </w:t>
      </w:r>
      <w:r w:rsidR="00282578">
        <w:t xml:space="preserve">It states that </w:t>
      </w:r>
      <w:r w:rsidR="00492E8C">
        <w:t>“</w:t>
      </w:r>
      <w:r w:rsidR="004200C9">
        <w:t>(1) Subject to paragraph (2), a relevant authority must not award a contract to, or conclude a framework agreement with, a provider who does not meet the basic selection criteria</w:t>
      </w:r>
      <w:r w:rsidR="00492E8C">
        <w:t>.” It then goes on to say “</w:t>
      </w:r>
      <w:r w:rsidR="004200C9">
        <w:t>(2) Paragraph (1) does not apply to a contrac</w:t>
      </w:r>
      <w:r w:rsidR="00492E8C">
        <w:t xml:space="preserve">t </w:t>
      </w:r>
      <w:r w:rsidR="00F27339">
        <w:t>…</w:t>
      </w:r>
      <w:r w:rsidR="00492E8C">
        <w:t xml:space="preserve"> </w:t>
      </w:r>
      <w:r w:rsidR="004200C9">
        <w:t>(b)</w:t>
      </w:r>
      <w:r w:rsidR="00265FB7">
        <w:t xml:space="preserve"> </w:t>
      </w:r>
      <w:r w:rsidR="004200C9">
        <w:t>which is a contract based on a framework agreement</w:t>
      </w:r>
      <w:r w:rsidR="00492E8C">
        <w:t>.” Finally, it says “</w:t>
      </w:r>
      <w:r w:rsidR="004200C9">
        <w:t>(3) The relevant authority must determine the basic selection criteria in accordance with Schedule 16.</w:t>
      </w:r>
      <w:r w:rsidR="00492E8C">
        <w:t>”</w:t>
      </w:r>
    </w:p>
    <w:p w14:paraId="173BBE07" w14:textId="623451B8" w:rsidR="00247071" w:rsidRPr="008B410D" w:rsidRDefault="00132C0A" w:rsidP="009034AB">
      <w:pPr>
        <w:pStyle w:val="ListParagraph"/>
        <w:spacing w:line="276" w:lineRule="auto"/>
        <w:ind w:left="567" w:hanging="567"/>
      </w:pPr>
      <w:r w:rsidRPr="00132C0A">
        <w:t>In accordance with s12</w:t>
      </w:r>
      <w:proofErr w:type="gramStart"/>
      <w:r w:rsidRPr="00132C0A">
        <w:t>ZB(</w:t>
      </w:r>
      <w:proofErr w:type="gramEnd"/>
      <w:r w:rsidRPr="00132C0A">
        <w:t>5) of the National Health Service Act 2006, relevant</w:t>
      </w:r>
      <w:r w:rsidR="001647B8">
        <w:t xml:space="preserve"> authorities </w:t>
      </w:r>
      <w:r w:rsidR="001647B8" w:rsidRPr="001647B8">
        <w:t xml:space="preserve">must have regard to </w:t>
      </w:r>
      <w:r w:rsidRPr="00132C0A">
        <w:t>the</w:t>
      </w:r>
      <w:r w:rsidR="00247071">
        <w:t xml:space="preserve"> Provider Selection Regime </w:t>
      </w:r>
      <w:r w:rsidR="00800E55">
        <w:t xml:space="preserve">Statutory Guidance </w:t>
      </w:r>
      <w:r w:rsidR="000F3347" w:rsidRPr="000F3347">
        <w:t>when arranging services in scope of the PSR</w:t>
      </w:r>
      <w:r w:rsidR="00957AC5">
        <w:t xml:space="preserve"> regulations</w:t>
      </w:r>
      <w:r w:rsidR="00800E55">
        <w:t>.</w:t>
      </w:r>
      <w:r w:rsidR="001A2DB4">
        <w:rPr>
          <w:rStyle w:val="FootnoteReference"/>
        </w:rPr>
        <w:footnoteReference w:id="23"/>
      </w:r>
      <w:r w:rsidR="00800E55">
        <w:t xml:space="preserve"> Reference is made to relevant provisions of the Statutory Guidance in the Panel’s assessment of the issues in Section</w:t>
      </w:r>
      <w:r w:rsidR="009034AB">
        <w:t> </w:t>
      </w:r>
      <w:r w:rsidR="00800E55">
        <w:t>7</w:t>
      </w:r>
      <w:r w:rsidR="001A2DB4">
        <w:t>.</w:t>
      </w:r>
    </w:p>
    <w:p w14:paraId="42FD0098" w14:textId="1C5B2080" w:rsidR="00DA200D" w:rsidRDefault="00DA200D" w:rsidP="00366C46">
      <w:pPr>
        <w:pStyle w:val="Heading1"/>
        <w:ind w:left="426"/>
      </w:pPr>
      <w:bookmarkStart w:id="11" w:name="_Toc218602394"/>
      <w:r>
        <w:lastRenderedPageBreak/>
        <w:t>Panel Assessment</w:t>
      </w:r>
      <w:bookmarkEnd w:id="11"/>
    </w:p>
    <w:p w14:paraId="02BABFC7" w14:textId="745ECABC" w:rsidR="00DA200D" w:rsidRDefault="00020FEE" w:rsidP="009034AB">
      <w:pPr>
        <w:pStyle w:val="ListParagraph"/>
        <w:spacing w:line="276" w:lineRule="auto"/>
        <w:ind w:left="567" w:hanging="567"/>
        <w:contextualSpacing/>
      </w:pPr>
      <w:r>
        <w:t xml:space="preserve">This section </w:t>
      </w:r>
      <w:r w:rsidR="00A93CEB">
        <w:t xml:space="preserve">sets out the Panel’s assessment of whether </w:t>
      </w:r>
      <w:r w:rsidR="00146647">
        <w:t>UHL</w:t>
      </w:r>
      <w:r w:rsidR="00A93CEB">
        <w:t xml:space="preserve"> </w:t>
      </w:r>
      <w:r w:rsidR="005673CA">
        <w:t xml:space="preserve">breached </w:t>
      </w:r>
      <w:r w:rsidR="00A93CEB">
        <w:t>the PSR regulations:</w:t>
      </w:r>
    </w:p>
    <w:p w14:paraId="3AF8D225" w14:textId="2370EA2A" w:rsidR="00A93CEB" w:rsidRDefault="00FE012B" w:rsidP="00395A64">
      <w:pPr>
        <w:pStyle w:val="ListParagraph"/>
        <w:numPr>
          <w:ilvl w:val="0"/>
          <w:numId w:val="13"/>
        </w:numPr>
        <w:spacing w:line="276" w:lineRule="auto"/>
        <w:contextualSpacing/>
      </w:pPr>
      <w:r>
        <w:t>f</w:t>
      </w:r>
      <w:r w:rsidR="00A93CEB">
        <w:t xml:space="preserve">irst, </w:t>
      </w:r>
      <w:r w:rsidR="006928DE">
        <w:t xml:space="preserve">in relation to </w:t>
      </w:r>
      <w:r w:rsidR="0081448C">
        <w:t xml:space="preserve">service sustainability </w:t>
      </w:r>
      <w:r w:rsidR="00F5708F">
        <w:t xml:space="preserve">requirements </w:t>
      </w:r>
      <w:r w:rsidR="00A93CEB">
        <w:t>(Section</w:t>
      </w:r>
      <w:r w:rsidR="00997A59">
        <w:t> </w:t>
      </w:r>
      <w:r w:rsidR="00A93CEB">
        <w:t>7.1);</w:t>
      </w:r>
      <w:r w:rsidR="00F5708F">
        <w:t xml:space="preserve"> and</w:t>
      </w:r>
    </w:p>
    <w:p w14:paraId="290E46BD" w14:textId="59FAA30C" w:rsidR="00A93CEB" w:rsidRDefault="00690E2C" w:rsidP="00395A64">
      <w:pPr>
        <w:pStyle w:val="ListParagraph"/>
        <w:numPr>
          <w:ilvl w:val="0"/>
          <w:numId w:val="13"/>
        </w:numPr>
        <w:spacing w:line="276" w:lineRule="auto"/>
      </w:pPr>
      <w:r>
        <w:t>s</w:t>
      </w:r>
      <w:r w:rsidR="00A93CEB">
        <w:t xml:space="preserve">econd, </w:t>
      </w:r>
      <w:r w:rsidR="006928DE">
        <w:t xml:space="preserve">when </w:t>
      </w:r>
      <w:r w:rsidR="003E5851">
        <w:t xml:space="preserve">responding </w:t>
      </w:r>
      <w:r w:rsidR="00505E1F">
        <w:t>to YWR</w:t>
      </w:r>
      <w:r w:rsidR="003E5851">
        <w:t>’s requests for information</w:t>
      </w:r>
      <w:r w:rsidR="00505E1F">
        <w:t xml:space="preserve"> </w:t>
      </w:r>
      <w:r w:rsidR="00964FEF">
        <w:t xml:space="preserve">during </w:t>
      </w:r>
      <w:r w:rsidR="003E5851">
        <w:t xml:space="preserve">its </w:t>
      </w:r>
      <w:r w:rsidR="00964FEF">
        <w:t xml:space="preserve">review of </w:t>
      </w:r>
      <w:r w:rsidR="006B1C89">
        <w:t xml:space="preserve">YWR’s representations </w:t>
      </w:r>
      <w:r w:rsidR="00A93CEB">
        <w:t>(Section 7.2)</w:t>
      </w:r>
      <w:r w:rsidR="00D62846">
        <w:t>.</w:t>
      </w:r>
    </w:p>
    <w:p w14:paraId="016200CB" w14:textId="6D56BE63" w:rsidR="00306A7C" w:rsidRPr="003F65DC" w:rsidRDefault="007E7432" w:rsidP="00395A64">
      <w:pPr>
        <w:pStyle w:val="Heading2"/>
        <w:spacing w:before="240" w:after="120"/>
        <w:ind w:left="578" w:hanging="578"/>
      </w:pPr>
      <w:bookmarkStart w:id="12" w:name="_Toc218602395"/>
      <w:r>
        <w:t>UHL’s c</w:t>
      </w:r>
      <w:r w:rsidR="004D7BE8">
        <w:t>ompliance with s</w:t>
      </w:r>
      <w:r w:rsidR="00653DBA">
        <w:t xml:space="preserve">ervice </w:t>
      </w:r>
      <w:r w:rsidR="00773458">
        <w:t>s</w:t>
      </w:r>
      <w:r w:rsidR="00653DBA">
        <w:t>ustainability</w:t>
      </w:r>
      <w:r w:rsidR="004D7BE8">
        <w:t xml:space="preserve"> requirements</w:t>
      </w:r>
      <w:bookmarkEnd w:id="12"/>
    </w:p>
    <w:p w14:paraId="6F776265" w14:textId="503B739C" w:rsidR="00C229BD" w:rsidRPr="00E1749E" w:rsidRDefault="00C229BD" w:rsidP="009034AB">
      <w:pPr>
        <w:pStyle w:val="ListParagraph"/>
        <w:spacing w:line="276" w:lineRule="auto"/>
        <w:ind w:left="567" w:hanging="567"/>
      </w:pPr>
      <w:bookmarkStart w:id="13" w:name="_Hlk199240393"/>
      <w:r w:rsidRPr="00E1749E">
        <w:t>YWR, in its representations to the Panel, said</w:t>
      </w:r>
      <w:r w:rsidR="007832CE" w:rsidRPr="00E1749E">
        <w:t xml:space="preserve"> that </w:t>
      </w:r>
      <w:r w:rsidR="006B68DB" w:rsidRPr="00E1749E">
        <w:t xml:space="preserve">18 Week Support’s </w:t>
      </w:r>
      <w:r w:rsidR="00AD61B7">
        <w:t>proposal</w:t>
      </w:r>
      <w:r w:rsidR="006B68DB" w:rsidRPr="00E1749E">
        <w:t xml:space="preserve"> </w:t>
      </w:r>
      <w:r w:rsidR="00344805" w:rsidRPr="00E1749E">
        <w:t>presents a significant risk of be</w:t>
      </w:r>
      <w:r w:rsidR="00F61E6D">
        <w:t>ing</w:t>
      </w:r>
      <w:r w:rsidR="00344805" w:rsidRPr="00E1749E">
        <w:t xml:space="preserve"> economically unsustainable due to its excessively low price</w:t>
      </w:r>
      <w:r w:rsidR="0026337E" w:rsidRPr="00E1749E">
        <w:t xml:space="preserve">, and that UHL had not </w:t>
      </w:r>
      <w:proofErr w:type="gramStart"/>
      <w:r w:rsidR="0026337E" w:rsidRPr="00E1749E">
        <w:t>given proper consideration to</w:t>
      </w:r>
      <w:proofErr w:type="gramEnd"/>
      <w:r w:rsidR="0026337E" w:rsidRPr="00E1749E">
        <w:t xml:space="preserve"> the risk to service sustainability </w:t>
      </w:r>
      <w:r w:rsidR="00B507D5" w:rsidRPr="00E1749E">
        <w:t>when evaluating 18 Week Support’s proposal (see paragraph</w:t>
      </w:r>
      <w:r w:rsidR="000C0F89">
        <w:t xml:space="preserve"> 39</w:t>
      </w:r>
      <w:r w:rsidR="000C54DB" w:rsidRPr="00E1749E">
        <w:t>).</w:t>
      </w:r>
    </w:p>
    <w:p w14:paraId="24F08DC5" w14:textId="4DBF12B3" w:rsidR="0088306F" w:rsidRDefault="0088306F" w:rsidP="009034AB">
      <w:pPr>
        <w:pStyle w:val="ListParagraph"/>
        <w:spacing w:line="276" w:lineRule="auto"/>
        <w:ind w:left="567" w:hanging="567"/>
        <w:contextualSpacing/>
      </w:pPr>
      <w:r>
        <w:t>The Panel</w:t>
      </w:r>
      <w:r w:rsidR="00136D76">
        <w:t xml:space="preserve">’s </w:t>
      </w:r>
      <w:r>
        <w:t>assess</w:t>
      </w:r>
      <w:r w:rsidR="00136D76">
        <w:t xml:space="preserve">ment of </w:t>
      </w:r>
      <w:r>
        <w:t xml:space="preserve">whether UHL </w:t>
      </w:r>
      <w:r w:rsidR="003E5851">
        <w:t>breached</w:t>
      </w:r>
      <w:r w:rsidR="00035E3C">
        <w:t xml:space="preserve"> the PSR regulations with respect to its </w:t>
      </w:r>
      <w:r w:rsidR="007867BD">
        <w:t xml:space="preserve">service sustainability </w:t>
      </w:r>
      <w:r w:rsidR="00035E3C">
        <w:t xml:space="preserve">obligations </w:t>
      </w:r>
      <w:r w:rsidR="00136D76">
        <w:t>is set out as follows</w:t>
      </w:r>
      <w:r w:rsidR="00341A37">
        <w:t>:</w:t>
      </w:r>
    </w:p>
    <w:p w14:paraId="5E243A3B" w14:textId="274CEFD5" w:rsidR="00341A37" w:rsidRDefault="00341A37" w:rsidP="00EA4A35">
      <w:pPr>
        <w:pStyle w:val="ListParagraph"/>
        <w:numPr>
          <w:ilvl w:val="0"/>
          <w:numId w:val="13"/>
        </w:numPr>
        <w:spacing w:line="276" w:lineRule="auto"/>
        <w:contextualSpacing/>
      </w:pPr>
      <w:r>
        <w:t xml:space="preserve">first, </w:t>
      </w:r>
      <w:r w:rsidR="005669E3">
        <w:t xml:space="preserve">the </w:t>
      </w:r>
      <w:r w:rsidR="00625113">
        <w:t xml:space="preserve">relevant provisions of the PSR regulations and statutory guidance </w:t>
      </w:r>
      <w:r w:rsidR="00136D76">
        <w:t xml:space="preserve">are </w:t>
      </w:r>
      <w:r w:rsidR="001659BF">
        <w:t>discussed</w:t>
      </w:r>
      <w:r w:rsidR="00136D76">
        <w:t xml:space="preserve"> </w:t>
      </w:r>
      <w:r w:rsidR="00625113">
        <w:t>(Section 7.1.1</w:t>
      </w:r>
      <w:proofErr w:type="gramStart"/>
      <w:r w:rsidR="00625113">
        <w:t>);</w:t>
      </w:r>
      <w:proofErr w:type="gramEnd"/>
    </w:p>
    <w:p w14:paraId="2A0E001B" w14:textId="0DE7F370" w:rsidR="004E440A" w:rsidRDefault="004E440A" w:rsidP="00EA4A35">
      <w:pPr>
        <w:pStyle w:val="ListParagraph"/>
        <w:numPr>
          <w:ilvl w:val="0"/>
          <w:numId w:val="13"/>
        </w:numPr>
        <w:spacing w:line="276" w:lineRule="auto"/>
        <w:contextualSpacing/>
      </w:pPr>
      <w:r>
        <w:t xml:space="preserve">second, </w:t>
      </w:r>
      <w:r w:rsidR="0044589A">
        <w:t>the ways in which UHL took account of service sustainability considerations in the provider selection process are identified (Section 7.1.2</w:t>
      </w:r>
      <w:proofErr w:type="gramStart"/>
      <w:r w:rsidR="0044589A">
        <w:t>);</w:t>
      </w:r>
      <w:proofErr w:type="gramEnd"/>
    </w:p>
    <w:p w14:paraId="6F7B61FE" w14:textId="59AD4722" w:rsidR="00434D0F" w:rsidRDefault="00576F30" w:rsidP="000B12FC">
      <w:pPr>
        <w:pStyle w:val="ListParagraph"/>
        <w:numPr>
          <w:ilvl w:val="0"/>
          <w:numId w:val="13"/>
        </w:numPr>
        <w:spacing w:line="276" w:lineRule="auto"/>
        <w:ind w:left="1077" w:hanging="357"/>
        <w:contextualSpacing/>
      </w:pPr>
      <w:r>
        <w:t xml:space="preserve">third, </w:t>
      </w:r>
      <w:r w:rsidR="00FC00B7">
        <w:t xml:space="preserve">risks to </w:t>
      </w:r>
      <w:r w:rsidR="004A2977">
        <w:t xml:space="preserve">patients of </w:t>
      </w:r>
      <w:r w:rsidR="00FC00B7">
        <w:t xml:space="preserve">service </w:t>
      </w:r>
      <w:r w:rsidR="004A2977">
        <w:t>ins</w:t>
      </w:r>
      <w:r w:rsidR="00FC00B7">
        <w:t xml:space="preserve">tability </w:t>
      </w:r>
      <w:r w:rsidR="004A2977">
        <w:t>or dis</w:t>
      </w:r>
      <w:r w:rsidR="00FC00B7">
        <w:t>continuity</w:t>
      </w:r>
      <w:r w:rsidR="004A2977">
        <w:t xml:space="preserve"> </w:t>
      </w:r>
      <w:r w:rsidR="00035E3C">
        <w:t xml:space="preserve">with respect to the insourcing managed service </w:t>
      </w:r>
      <w:r w:rsidR="00B731DA">
        <w:t>are considered (Section</w:t>
      </w:r>
      <w:r w:rsidR="00482DE3">
        <w:t> </w:t>
      </w:r>
      <w:r w:rsidR="00B731DA">
        <w:t xml:space="preserve">7.1.3); </w:t>
      </w:r>
      <w:r w:rsidR="00BF1FCA">
        <w:t>and</w:t>
      </w:r>
    </w:p>
    <w:p w14:paraId="15E8C866" w14:textId="0210953C" w:rsidR="00BF1FCA" w:rsidRDefault="00BF1FCA" w:rsidP="00341A37">
      <w:pPr>
        <w:pStyle w:val="ListParagraph"/>
        <w:numPr>
          <w:ilvl w:val="0"/>
          <w:numId w:val="13"/>
        </w:numPr>
        <w:spacing w:line="276" w:lineRule="auto"/>
      </w:pPr>
      <w:r>
        <w:t xml:space="preserve">finally, the Panel’s conclusions </w:t>
      </w:r>
      <w:r w:rsidR="000B12FC">
        <w:t xml:space="preserve">are set out </w:t>
      </w:r>
      <w:r>
        <w:t>(Section 7.1.4).</w:t>
      </w:r>
    </w:p>
    <w:p w14:paraId="64179BBF" w14:textId="19424137" w:rsidR="0088306F" w:rsidRPr="00304891" w:rsidRDefault="00EA4A35" w:rsidP="00304891">
      <w:pPr>
        <w:keepNext/>
        <w:spacing w:before="240" w:line="276" w:lineRule="auto"/>
        <w:rPr>
          <w:b/>
          <w:bCs/>
        </w:rPr>
      </w:pPr>
      <w:r w:rsidRPr="00304891">
        <w:rPr>
          <w:b/>
          <w:bCs/>
        </w:rPr>
        <w:t xml:space="preserve">7.1.1 </w:t>
      </w:r>
      <w:r w:rsidR="00304891" w:rsidRPr="00304891">
        <w:rPr>
          <w:b/>
          <w:bCs/>
        </w:rPr>
        <w:t xml:space="preserve">Service sustainability </w:t>
      </w:r>
      <w:r w:rsidR="001B43CD">
        <w:rPr>
          <w:b/>
          <w:bCs/>
        </w:rPr>
        <w:t>requirements of</w:t>
      </w:r>
      <w:r w:rsidR="00304891" w:rsidRPr="00304891">
        <w:rPr>
          <w:b/>
          <w:bCs/>
        </w:rPr>
        <w:t xml:space="preserve"> the PSR regulations</w:t>
      </w:r>
    </w:p>
    <w:p w14:paraId="18A71E61" w14:textId="3A5F1235" w:rsidR="00D66441" w:rsidRDefault="00C40DE5" w:rsidP="007B255B">
      <w:pPr>
        <w:pStyle w:val="ListParagraph"/>
        <w:spacing w:line="276" w:lineRule="auto"/>
        <w:ind w:left="567" w:hanging="567"/>
      </w:pPr>
      <w:r>
        <w:t xml:space="preserve">Service sustainability </w:t>
      </w:r>
      <w:r w:rsidR="006D20DA">
        <w:t xml:space="preserve">is </w:t>
      </w:r>
      <w:r w:rsidR="00253A09">
        <w:t xml:space="preserve">addressed </w:t>
      </w:r>
      <w:r>
        <w:t xml:space="preserve">in </w:t>
      </w:r>
      <w:r w:rsidR="00300322">
        <w:t>the PSR regulations</w:t>
      </w:r>
      <w:r w:rsidR="006D20DA">
        <w:t xml:space="preserve"> in several ways</w:t>
      </w:r>
      <w:r w:rsidR="004D5255">
        <w:t>.</w:t>
      </w:r>
    </w:p>
    <w:p w14:paraId="6E7658F9" w14:textId="2CA366C1" w:rsidR="009C4AE0" w:rsidRDefault="006D20DA" w:rsidP="007B255B">
      <w:pPr>
        <w:pStyle w:val="ListParagraph"/>
        <w:spacing w:line="276" w:lineRule="auto"/>
        <w:ind w:left="567" w:hanging="567"/>
      </w:pPr>
      <w:r>
        <w:t xml:space="preserve">First, </w:t>
      </w:r>
      <w:r w:rsidR="00DD4B90">
        <w:t>R</w:t>
      </w:r>
      <w:r w:rsidR="00725882">
        <w:t>egulation 4</w:t>
      </w:r>
      <w:r w:rsidR="004D5255">
        <w:t xml:space="preserve"> </w:t>
      </w:r>
      <w:r w:rsidR="00725882">
        <w:t>sets out the procurement principles that commissioners must apply when procuring health care services</w:t>
      </w:r>
      <w:r w:rsidR="0048700B">
        <w:t xml:space="preserve">. While not specifically using the term service sustainability, this regulation </w:t>
      </w:r>
      <w:r w:rsidR="00725882">
        <w:t xml:space="preserve">says that </w:t>
      </w:r>
      <w:r w:rsidR="00120B5B">
        <w:t xml:space="preserve">commissioners must act with a view to “securing the needs of the people who use the services” (Regulation </w:t>
      </w:r>
      <w:r w:rsidR="00196B66">
        <w:t>4(1)(a)(</w:t>
      </w:r>
      <w:proofErr w:type="spellStart"/>
      <w:r w:rsidR="00196B66">
        <w:t>i</w:t>
      </w:r>
      <w:proofErr w:type="spellEnd"/>
      <w:r w:rsidR="00196B66">
        <w:t xml:space="preserve">)). </w:t>
      </w:r>
      <w:r w:rsidR="009C4AE0">
        <w:t xml:space="preserve">The Panel’s view is that service sustainability is </w:t>
      </w:r>
      <w:r>
        <w:t>a</w:t>
      </w:r>
      <w:r w:rsidR="009C4AE0">
        <w:t xml:space="preserve"> key </w:t>
      </w:r>
      <w:r>
        <w:t>part</w:t>
      </w:r>
      <w:r w:rsidR="009C4AE0">
        <w:t xml:space="preserve"> of ensuring that </w:t>
      </w:r>
      <w:r w:rsidR="00A21AF8">
        <w:t>the “needs of the people who use the services” have been secured.</w:t>
      </w:r>
    </w:p>
    <w:p w14:paraId="2379E1E4" w14:textId="37BE88D8" w:rsidR="004E7142" w:rsidRDefault="006D20DA" w:rsidP="007B255B">
      <w:pPr>
        <w:pStyle w:val="ListParagraph"/>
        <w:spacing w:line="276" w:lineRule="auto"/>
        <w:ind w:left="567" w:hanging="567"/>
      </w:pPr>
      <w:r>
        <w:t>Second,</w:t>
      </w:r>
      <w:r w:rsidR="004E7142">
        <w:t xml:space="preserve"> Regulation 5 sets out the </w:t>
      </w:r>
      <w:r w:rsidR="00570613">
        <w:t xml:space="preserve">five </w:t>
      </w:r>
      <w:r w:rsidR="004E7142">
        <w:t xml:space="preserve">key criteria that </w:t>
      </w:r>
      <w:r w:rsidR="00B41F41">
        <w:t xml:space="preserve">commissioners must </w:t>
      </w:r>
      <w:proofErr w:type="gramStart"/>
      <w:r w:rsidR="00B41F41">
        <w:t>take into account</w:t>
      </w:r>
      <w:proofErr w:type="gramEnd"/>
      <w:r w:rsidR="00B41F41">
        <w:t xml:space="preserve"> </w:t>
      </w:r>
      <w:r w:rsidR="0026663E">
        <w:t xml:space="preserve">when determining </w:t>
      </w:r>
      <w:r w:rsidR="007079CB">
        <w:t xml:space="preserve">contract </w:t>
      </w:r>
      <w:r w:rsidR="00BE0B17">
        <w:t xml:space="preserve">award criteria </w:t>
      </w:r>
      <w:r w:rsidR="00496E4B">
        <w:t>for a competitive process</w:t>
      </w:r>
      <w:r w:rsidR="00702E59">
        <w:t xml:space="preserve"> under the PSR regulations. </w:t>
      </w:r>
      <w:r w:rsidR="00496E4B">
        <w:t>One of the</w:t>
      </w:r>
      <w:r w:rsidR="00702E59">
        <w:t>se</w:t>
      </w:r>
      <w:r w:rsidR="00496E4B">
        <w:t xml:space="preserve"> five key criteria is Integration, collaboration and service sustainability. According to </w:t>
      </w:r>
      <w:r w:rsidR="00832DC0">
        <w:t>R</w:t>
      </w:r>
      <w:r w:rsidR="00496E4B">
        <w:t>egulation 5(c)(iii), service sustainability refers to the extent that services can be provided in “a sustainable way (which includes the stability of good quality health care services or service continuity of health care services)”.</w:t>
      </w:r>
    </w:p>
    <w:p w14:paraId="01FF41EA" w14:textId="0BA517AF" w:rsidR="0084010C" w:rsidRDefault="0084010C" w:rsidP="007B255B">
      <w:pPr>
        <w:pStyle w:val="ListParagraph"/>
        <w:spacing w:line="276" w:lineRule="auto"/>
        <w:ind w:left="567" w:hanging="567"/>
      </w:pPr>
      <w:r>
        <w:t>When carrying out a competitive process, including a mini-competition</w:t>
      </w:r>
      <w:r w:rsidR="00FE4C49">
        <w:t xml:space="preserve">, commissioners are obliged under Regulation 11(2) </w:t>
      </w:r>
      <w:r w:rsidR="000D23C0">
        <w:t xml:space="preserve">to determine “the contract … award criteria, taking into account the key criteria …” and </w:t>
      </w:r>
      <w:r w:rsidR="001D096F">
        <w:t>under Regulation 11(5) must assess “any offers received in accordance with the contract … award criteria”.</w:t>
      </w:r>
    </w:p>
    <w:p w14:paraId="515E4DCC" w14:textId="25C4F2FB" w:rsidR="003C26C2" w:rsidRDefault="00F0048D" w:rsidP="007B255B">
      <w:pPr>
        <w:pStyle w:val="ListParagraph"/>
        <w:spacing w:after="120" w:line="276" w:lineRule="auto"/>
        <w:ind w:left="567" w:hanging="567"/>
      </w:pPr>
      <w:r>
        <w:t>Third,</w:t>
      </w:r>
      <w:r w:rsidR="00D5555F">
        <w:t xml:space="preserve"> Regulation 19 says that commissioners must determine the basic selection criteria in accordance with Schedule 16 of the PSR regulations</w:t>
      </w:r>
      <w:r w:rsidR="00B400D4">
        <w:t>. T</w:t>
      </w:r>
      <w:r w:rsidR="00D23B34">
        <w:t xml:space="preserve">his schedule </w:t>
      </w:r>
      <w:r w:rsidR="00B400D4">
        <w:t xml:space="preserve">allows commissioners to impose requirements to ensure that </w:t>
      </w:r>
      <w:r w:rsidR="001C09F5">
        <w:t xml:space="preserve">“a provider possesses the </w:t>
      </w:r>
      <w:r w:rsidR="001C09F5">
        <w:lastRenderedPageBreak/>
        <w:t xml:space="preserve">necessary economic and financial capacity to perform the contract” (i.e. it </w:t>
      </w:r>
      <w:r w:rsidR="00D23B34">
        <w:t>addresses the sustainability of a service provider</w:t>
      </w:r>
      <w:r w:rsidR="001C09F5">
        <w:t>)</w:t>
      </w:r>
      <w:r w:rsidR="00D23B34">
        <w:t>.</w:t>
      </w:r>
      <w:r w:rsidR="00664D83">
        <w:rPr>
          <w:rStyle w:val="FootnoteReference"/>
        </w:rPr>
        <w:footnoteReference w:id="24"/>
      </w:r>
      <w:r w:rsidR="00664D83">
        <w:t xml:space="preserve"> This regulation, however, is less relevant to this </w:t>
      </w:r>
      <w:r w:rsidR="00432232">
        <w:t>review as commissioners do not have to apply basic selection criteria where a contract is to be awarded via a framework agreement (as per Regulation 19(2)(b)).</w:t>
      </w:r>
    </w:p>
    <w:p w14:paraId="5A54E2C1" w14:textId="6FFE3C4E" w:rsidR="00C139B6" w:rsidRDefault="00515268" w:rsidP="007B255B">
      <w:pPr>
        <w:pStyle w:val="ListParagraph"/>
        <w:spacing w:after="120" w:line="276" w:lineRule="auto"/>
        <w:ind w:left="567" w:hanging="567"/>
      </w:pPr>
      <w:r>
        <w:t xml:space="preserve">The PSR statutory guidance </w:t>
      </w:r>
      <w:r w:rsidR="009F104A">
        <w:t xml:space="preserve">assists in the interpretation of the PSR </w:t>
      </w:r>
      <w:r w:rsidR="003F4B2C">
        <w:t>r</w:t>
      </w:r>
      <w:r w:rsidR="009F104A">
        <w:t>egulations</w:t>
      </w:r>
      <w:r w:rsidR="00F0048D">
        <w:t xml:space="preserve"> with respect to</w:t>
      </w:r>
      <w:r w:rsidR="00DF114D">
        <w:t xml:space="preserve"> </w:t>
      </w:r>
      <w:r w:rsidR="009F104A">
        <w:t>service sustainability.</w:t>
      </w:r>
      <w:r w:rsidR="000E2C7C">
        <w:t xml:space="preserve"> This</w:t>
      </w:r>
      <w:r w:rsidR="007F4A2D">
        <w:t xml:space="preserve"> says that commissioners</w:t>
      </w:r>
      <w:r w:rsidR="00C139B6">
        <w:t>:</w:t>
      </w:r>
    </w:p>
    <w:p w14:paraId="46AD396A" w14:textId="6FB0EFB4" w:rsidR="00AF4E6A" w:rsidRPr="009E3520" w:rsidRDefault="001E79DA" w:rsidP="009E3520">
      <w:pPr>
        <w:pStyle w:val="ListParagraph"/>
        <w:numPr>
          <w:ilvl w:val="0"/>
          <w:numId w:val="0"/>
        </w:numPr>
        <w:ind w:left="851"/>
        <w:contextualSpacing/>
        <w:rPr>
          <w:sz w:val="21"/>
          <w:szCs w:val="21"/>
        </w:rPr>
      </w:pPr>
      <w:r w:rsidRPr="009E3520">
        <w:rPr>
          <w:sz w:val="21"/>
          <w:szCs w:val="21"/>
        </w:rPr>
        <w:t>“</w:t>
      </w:r>
      <w:proofErr w:type="gramStart"/>
      <w:r w:rsidRPr="009E3520">
        <w:rPr>
          <w:sz w:val="21"/>
          <w:szCs w:val="21"/>
        </w:rPr>
        <w:t>must</w:t>
      </w:r>
      <w:proofErr w:type="gramEnd"/>
      <w:r w:rsidRPr="009E3520">
        <w:rPr>
          <w:sz w:val="21"/>
          <w:szCs w:val="21"/>
        </w:rPr>
        <w:t xml:space="preserve"> consider whether and how the decisions they make about which providers should provide services might impact on the stability and sustainability of the NHS locally</w:t>
      </w:r>
      <w:r w:rsidR="00EF4258" w:rsidRPr="009E3520">
        <w:rPr>
          <w:sz w:val="21"/>
          <w:szCs w:val="21"/>
        </w:rPr>
        <w:t>. W</w:t>
      </w:r>
      <w:r w:rsidR="00F43C28" w:rsidRPr="009E3520">
        <w:rPr>
          <w:sz w:val="21"/>
          <w:szCs w:val="21"/>
        </w:rPr>
        <w:t xml:space="preserve">hen assessing service sustainability commissioners </w:t>
      </w:r>
      <w:r w:rsidR="00597CA8" w:rsidRPr="009E3520">
        <w:rPr>
          <w:sz w:val="21"/>
          <w:szCs w:val="21"/>
        </w:rPr>
        <w:t xml:space="preserve">are expected to consider </w:t>
      </w:r>
      <w:r w:rsidR="00597CA8" w:rsidRPr="009E3520" w:rsidDel="008C25B5">
        <w:rPr>
          <w:sz w:val="21"/>
          <w:szCs w:val="21"/>
        </w:rPr>
        <w:t xml:space="preserve">several </w:t>
      </w:r>
      <w:r w:rsidR="00597CA8" w:rsidRPr="009E3520">
        <w:rPr>
          <w:sz w:val="21"/>
          <w:szCs w:val="21"/>
        </w:rPr>
        <w:t>factors, including but not limited to</w:t>
      </w:r>
      <w:r w:rsidR="006C67EF" w:rsidRPr="009E3520">
        <w:rPr>
          <w:sz w:val="21"/>
          <w:szCs w:val="21"/>
        </w:rPr>
        <w:t xml:space="preserve"> the</w:t>
      </w:r>
      <w:r w:rsidR="00AF4E6A" w:rsidRPr="009E3520">
        <w:rPr>
          <w:sz w:val="21"/>
          <w:szCs w:val="21"/>
        </w:rPr>
        <w:t>:</w:t>
      </w:r>
    </w:p>
    <w:p w14:paraId="13A4F931" w14:textId="0900A0C4" w:rsidR="00AF4E6A" w:rsidRPr="009E3520" w:rsidRDefault="00B67E97" w:rsidP="009E3520">
      <w:pPr>
        <w:pStyle w:val="ListParagraph"/>
        <w:numPr>
          <w:ilvl w:val="0"/>
          <w:numId w:val="13"/>
        </w:numPr>
        <w:ind w:left="1418"/>
        <w:contextualSpacing/>
        <w:rPr>
          <w:sz w:val="21"/>
          <w:szCs w:val="21"/>
        </w:rPr>
      </w:pPr>
      <w:r w:rsidRPr="009E3520">
        <w:rPr>
          <w:sz w:val="21"/>
          <w:szCs w:val="21"/>
        </w:rPr>
        <w:t xml:space="preserve">financial impact on other </w:t>
      </w:r>
      <w:proofErr w:type="gramStart"/>
      <w:r w:rsidRPr="009E3520">
        <w:rPr>
          <w:sz w:val="21"/>
          <w:szCs w:val="21"/>
        </w:rPr>
        <w:t>services</w:t>
      </w:r>
      <w:r w:rsidR="00384A10">
        <w:rPr>
          <w:sz w:val="21"/>
          <w:szCs w:val="21"/>
        </w:rPr>
        <w:t>;</w:t>
      </w:r>
      <w:proofErr w:type="gramEnd"/>
    </w:p>
    <w:p w14:paraId="4BCFC51B" w14:textId="78242304" w:rsidR="00AF4E6A" w:rsidRPr="009E3520" w:rsidRDefault="00B67E97" w:rsidP="009E3520">
      <w:pPr>
        <w:pStyle w:val="ListParagraph"/>
        <w:numPr>
          <w:ilvl w:val="0"/>
          <w:numId w:val="13"/>
        </w:numPr>
        <w:ind w:left="1418"/>
        <w:contextualSpacing/>
        <w:rPr>
          <w:sz w:val="21"/>
          <w:szCs w:val="21"/>
        </w:rPr>
      </w:pPr>
      <w:r w:rsidRPr="009E3520">
        <w:rPr>
          <w:sz w:val="21"/>
          <w:szCs w:val="21"/>
        </w:rPr>
        <w:t xml:space="preserve">impacts on continuity of </w:t>
      </w:r>
      <w:r w:rsidR="006C67EF" w:rsidRPr="009E3520">
        <w:rPr>
          <w:sz w:val="21"/>
          <w:szCs w:val="21"/>
        </w:rPr>
        <w:t xml:space="preserve">other </w:t>
      </w:r>
      <w:r w:rsidRPr="009E3520">
        <w:rPr>
          <w:sz w:val="21"/>
          <w:szCs w:val="21"/>
        </w:rPr>
        <w:t xml:space="preserve">related </w:t>
      </w:r>
      <w:proofErr w:type="gramStart"/>
      <w:r w:rsidRPr="009E3520">
        <w:rPr>
          <w:sz w:val="21"/>
          <w:szCs w:val="21"/>
        </w:rPr>
        <w:t>services</w:t>
      </w:r>
      <w:r w:rsidR="00384A10">
        <w:rPr>
          <w:sz w:val="21"/>
          <w:szCs w:val="21"/>
        </w:rPr>
        <w:t>;</w:t>
      </w:r>
      <w:proofErr w:type="gramEnd"/>
    </w:p>
    <w:p w14:paraId="0F298621" w14:textId="1D6049EA" w:rsidR="00B25E6A" w:rsidRPr="009E3520" w:rsidRDefault="00B67E97" w:rsidP="009E3520">
      <w:pPr>
        <w:pStyle w:val="ListParagraph"/>
        <w:numPr>
          <w:ilvl w:val="0"/>
          <w:numId w:val="13"/>
        </w:numPr>
        <w:ind w:left="1418"/>
        <w:contextualSpacing/>
        <w:rPr>
          <w:sz w:val="21"/>
          <w:szCs w:val="21"/>
        </w:rPr>
      </w:pPr>
      <w:r w:rsidRPr="009E3520">
        <w:rPr>
          <w:sz w:val="21"/>
          <w:szCs w:val="21"/>
        </w:rPr>
        <w:t xml:space="preserve">potential impact on quality of other related </w:t>
      </w:r>
      <w:r w:rsidR="006C67EF" w:rsidRPr="009E3520">
        <w:rPr>
          <w:sz w:val="21"/>
          <w:szCs w:val="21"/>
        </w:rPr>
        <w:t>o</w:t>
      </w:r>
      <w:r w:rsidRPr="009E3520">
        <w:rPr>
          <w:sz w:val="21"/>
          <w:szCs w:val="21"/>
        </w:rPr>
        <w:t>r dependent services (including those arranged by other bodies</w:t>
      </w:r>
      <w:proofErr w:type="gramStart"/>
      <w:r w:rsidR="00BA3AF9" w:rsidRPr="009E3520">
        <w:rPr>
          <w:sz w:val="21"/>
          <w:szCs w:val="21"/>
        </w:rPr>
        <w:t>)</w:t>
      </w:r>
      <w:r w:rsidR="00384A10">
        <w:rPr>
          <w:sz w:val="21"/>
          <w:szCs w:val="21"/>
        </w:rPr>
        <w:t>;</w:t>
      </w:r>
      <w:proofErr w:type="gramEnd"/>
    </w:p>
    <w:p w14:paraId="2FD11E86" w14:textId="579F5253" w:rsidR="00AF4E6A" w:rsidRPr="00DF114D" w:rsidRDefault="00D16A9F" w:rsidP="009E3520">
      <w:pPr>
        <w:pStyle w:val="ListParagraph"/>
        <w:numPr>
          <w:ilvl w:val="0"/>
          <w:numId w:val="13"/>
        </w:numPr>
        <w:ind w:left="1418"/>
        <w:contextualSpacing/>
        <w:rPr>
          <w:sz w:val="21"/>
          <w:szCs w:val="21"/>
        </w:rPr>
      </w:pPr>
      <w:r w:rsidRPr="009E3520">
        <w:rPr>
          <w:rFonts w:cs="Arial"/>
          <w:sz w:val="21"/>
          <w:szCs w:val="21"/>
        </w:rPr>
        <w:t>stability and sustainability of other providers in the short, medium and long term</w:t>
      </w:r>
      <w:r w:rsidR="00384A10">
        <w:rPr>
          <w:rFonts w:cs="Arial"/>
          <w:sz w:val="21"/>
          <w:szCs w:val="21"/>
        </w:rPr>
        <w:t>; and</w:t>
      </w:r>
    </w:p>
    <w:p w14:paraId="022E0B5E" w14:textId="4F4C9843" w:rsidR="00DF114D" w:rsidRPr="009E3520" w:rsidRDefault="00DF114D" w:rsidP="00DF114D">
      <w:pPr>
        <w:pStyle w:val="ListParagraph"/>
        <w:numPr>
          <w:ilvl w:val="0"/>
          <w:numId w:val="13"/>
        </w:numPr>
        <w:ind w:left="1417" w:hanging="357"/>
        <w:rPr>
          <w:sz w:val="21"/>
          <w:szCs w:val="21"/>
        </w:rPr>
      </w:pPr>
      <w:r w:rsidRPr="009E3520">
        <w:rPr>
          <w:rFonts w:cs="Arial"/>
          <w:sz w:val="21"/>
          <w:szCs w:val="21"/>
        </w:rPr>
        <w:t>impact on the ability of the wider market to provide required services in the future”</w:t>
      </w:r>
      <w:r w:rsidR="00384A10">
        <w:rPr>
          <w:rFonts w:cs="Arial"/>
          <w:sz w:val="21"/>
          <w:szCs w:val="21"/>
        </w:rPr>
        <w:t>.</w:t>
      </w:r>
      <w:r w:rsidRPr="009E3520">
        <w:rPr>
          <w:rStyle w:val="FootnoteReference"/>
          <w:rFonts w:cs="Arial"/>
          <w:sz w:val="21"/>
          <w:szCs w:val="21"/>
        </w:rPr>
        <w:footnoteReference w:id="25"/>
      </w:r>
    </w:p>
    <w:p w14:paraId="2A38359D" w14:textId="77777777" w:rsidR="000846DE" w:rsidRDefault="008527D7" w:rsidP="00384A10">
      <w:pPr>
        <w:pStyle w:val="ListParagraph"/>
        <w:spacing w:after="120" w:line="276" w:lineRule="auto"/>
        <w:ind w:left="567" w:hanging="567"/>
      </w:pPr>
      <w:r w:rsidRPr="00E04624">
        <w:t xml:space="preserve">The </w:t>
      </w:r>
      <w:r w:rsidR="000846DE">
        <w:t xml:space="preserve">PSR </w:t>
      </w:r>
      <w:r w:rsidRPr="00E04624">
        <w:t>statutory guidance goes on to say that</w:t>
      </w:r>
      <w:r w:rsidR="000846DE">
        <w:t>:</w:t>
      </w:r>
    </w:p>
    <w:p w14:paraId="5E5CAF7A" w14:textId="7C809AC4" w:rsidR="008527D7" w:rsidRPr="000846DE" w:rsidDel="002370A6" w:rsidRDefault="008527D7" w:rsidP="000846DE">
      <w:pPr>
        <w:pStyle w:val="ListParagraph"/>
        <w:numPr>
          <w:ilvl w:val="0"/>
          <w:numId w:val="0"/>
        </w:numPr>
        <w:ind w:left="851"/>
        <w:rPr>
          <w:sz w:val="21"/>
          <w:szCs w:val="21"/>
        </w:rPr>
      </w:pPr>
      <w:r w:rsidRPr="000846DE">
        <w:rPr>
          <w:sz w:val="21"/>
          <w:szCs w:val="21"/>
        </w:rPr>
        <w:t>“Relevant authorities are expected to avoid destabilising providers through their decision</w:t>
      </w:r>
      <w:r w:rsidR="00D7382A">
        <w:rPr>
          <w:sz w:val="21"/>
          <w:szCs w:val="21"/>
        </w:rPr>
        <w:t>-</w:t>
      </w:r>
      <w:r w:rsidRPr="000846DE">
        <w:rPr>
          <w:sz w:val="21"/>
          <w:szCs w:val="21"/>
        </w:rPr>
        <w:t>making. If the proposals are likely to have a negative impact on the stability, viability or quality of other good quality services immediately or over time, relevant authorities are advised to consider whether this is justified by the wider benefits of the proposal”.</w:t>
      </w:r>
      <w:r w:rsidRPr="000846DE">
        <w:rPr>
          <w:rStyle w:val="FootnoteReference"/>
          <w:rFonts w:cs="Arial"/>
          <w:sz w:val="21"/>
          <w:szCs w:val="21"/>
        </w:rPr>
        <w:footnoteReference w:id="26"/>
      </w:r>
    </w:p>
    <w:p w14:paraId="56FEE0E5" w14:textId="6E1F505F" w:rsidR="00DE6DD5" w:rsidRDefault="00E4314F" w:rsidP="00384A10">
      <w:pPr>
        <w:pStyle w:val="ListParagraph"/>
        <w:spacing w:line="276" w:lineRule="auto"/>
        <w:ind w:left="567" w:hanging="567"/>
      </w:pPr>
      <w:r>
        <w:t xml:space="preserve">The </w:t>
      </w:r>
      <w:r w:rsidR="00B04BD4">
        <w:t xml:space="preserve">Panel notes that the statutory </w:t>
      </w:r>
      <w:r>
        <w:t>guidance</w:t>
      </w:r>
      <w:r w:rsidR="00213A60">
        <w:t xml:space="preserve"> </w:t>
      </w:r>
      <w:r w:rsidR="00B04BD4">
        <w:t>focuses</w:t>
      </w:r>
      <w:r w:rsidR="007B32B6">
        <w:t>, in large part,</w:t>
      </w:r>
      <w:r w:rsidR="00B04BD4">
        <w:t xml:space="preserve"> on considerations that arise </w:t>
      </w:r>
      <w:r w:rsidR="00B911F6">
        <w:t xml:space="preserve">in relation to </w:t>
      </w:r>
      <w:r w:rsidR="007904C5">
        <w:t xml:space="preserve">the sustainability of </w:t>
      </w:r>
      <w:r w:rsidR="00B911F6">
        <w:t>“other</w:t>
      </w:r>
      <w:r w:rsidR="006578BC">
        <w:t>”</w:t>
      </w:r>
      <w:r w:rsidR="00B911F6">
        <w:t xml:space="preserve"> services</w:t>
      </w:r>
      <w:r w:rsidR="006578BC">
        <w:t xml:space="preserve"> or providers</w:t>
      </w:r>
      <w:r w:rsidR="00735047">
        <w:t xml:space="preserve">. </w:t>
      </w:r>
      <w:r w:rsidR="007904C5">
        <w:t>For</w:t>
      </w:r>
      <w:r w:rsidR="00735047">
        <w:t xml:space="preserve"> example</w:t>
      </w:r>
      <w:r w:rsidR="007904C5">
        <w:t>,</w:t>
      </w:r>
      <w:r w:rsidR="00735047">
        <w:t xml:space="preserve"> situation</w:t>
      </w:r>
      <w:r w:rsidR="007904C5">
        <w:t>s</w:t>
      </w:r>
      <w:r w:rsidR="00735047">
        <w:t xml:space="preserve"> </w:t>
      </w:r>
      <w:r w:rsidR="00B04BD4">
        <w:t>whe</w:t>
      </w:r>
      <w:r w:rsidR="00E24F4E">
        <w:t>re</w:t>
      </w:r>
      <w:r w:rsidR="00B04BD4">
        <w:t xml:space="preserve"> </w:t>
      </w:r>
      <w:r w:rsidR="00737A47">
        <w:t xml:space="preserve">an incumbent provider </w:t>
      </w:r>
      <w:r w:rsidR="001757B6">
        <w:t xml:space="preserve">is not awarded </w:t>
      </w:r>
      <w:r w:rsidR="00737A47">
        <w:t xml:space="preserve">a contract and </w:t>
      </w:r>
      <w:r w:rsidR="00E72C0E">
        <w:t>this</w:t>
      </w:r>
      <w:r w:rsidR="00737A47">
        <w:t xml:space="preserve"> potentially </w:t>
      </w:r>
      <w:r w:rsidR="00E72C0E">
        <w:t>a</w:t>
      </w:r>
      <w:r w:rsidR="00737A47">
        <w:t xml:space="preserve">ffects </w:t>
      </w:r>
      <w:r w:rsidR="009C391D">
        <w:t>other services</w:t>
      </w:r>
      <w:r w:rsidR="00300581">
        <w:t xml:space="preserve"> supplied by that provider</w:t>
      </w:r>
      <w:r w:rsidR="003C421F">
        <w:t>.</w:t>
      </w:r>
      <w:r w:rsidR="00F52645">
        <w:t xml:space="preserve"> </w:t>
      </w:r>
      <w:r w:rsidR="00300581">
        <w:t>Th</w:t>
      </w:r>
      <w:r w:rsidR="0070509A">
        <w:t>ese</w:t>
      </w:r>
      <w:r w:rsidR="00300581">
        <w:t xml:space="preserve"> </w:t>
      </w:r>
      <w:r w:rsidR="00DE47B6">
        <w:t>situations</w:t>
      </w:r>
      <w:r w:rsidR="00E72C0E">
        <w:t xml:space="preserve">, however, </w:t>
      </w:r>
      <w:r w:rsidR="00EC3A81">
        <w:t>are</w:t>
      </w:r>
      <w:r w:rsidR="00077049">
        <w:t xml:space="preserve"> not </w:t>
      </w:r>
      <w:r w:rsidR="00DE47B6">
        <w:t xml:space="preserve">relevant to </w:t>
      </w:r>
      <w:r w:rsidR="00077049">
        <w:t xml:space="preserve">this </w:t>
      </w:r>
      <w:proofErr w:type="gramStart"/>
      <w:r w:rsidR="00077049">
        <w:t>particular review</w:t>
      </w:r>
      <w:proofErr w:type="gramEnd"/>
      <w:r w:rsidR="008D62A2">
        <w:t xml:space="preserve"> given that </w:t>
      </w:r>
      <w:r w:rsidR="00990ED7">
        <w:t xml:space="preserve">there is no suggestion of </w:t>
      </w:r>
      <w:r w:rsidR="00DE47B6">
        <w:t xml:space="preserve">effects on other </w:t>
      </w:r>
      <w:r w:rsidR="00990ED7">
        <w:t>service</w:t>
      </w:r>
      <w:r w:rsidR="00DE47B6">
        <w:t xml:space="preserve">s </w:t>
      </w:r>
      <w:proofErr w:type="gramStart"/>
      <w:r w:rsidR="00DE47B6">
        <w:t>as a result of</w:t>
      </w:r>
      <w:proofErr w:type="gramEnd"/>
      <w:r w:rsidR="00DE47B6">
        <w:t xml:space="preserve"> the provider selection process for the insourcing managed service</w:t>
      </w:r>
      <w:r w:rsidR="00077049">
        <w:t>.</w:t>
      </w:r>
      <w:r w:rsidR="0069141E">
        <w:t xml:space="preserve"> </w:t>
      </w:r>
      <w:r w:rsidR="00DB6F3F">
        <w:t>YWR</w:t>
      </w:r>
      <w:r w:rsidR="00077049">
        <w:t xml:space="preserve"> </w:t>
      </w:r>
      <w:r w:rsidR="00194AFD">
        <w:t>also</w:t>
      </w:r>
      <w:r w:rsidR="00077049">
        <w:t xml:space="preserve"> </w:t>
      </w:r>
      <w:r w:rsidR="00516D2D">
        <w:t>told the Panel that</w:t>
      </w:r>
      <w:r w:rsidR="00077049">
        <w:t xml:space="preserve"> </w:t>
      </w:r>
      <w:r w:rsidR="0069141E">
        <w:t xml:space="preserve">the relevant consideration in this review was the </w:t>
      </w:r>
      <w:r w:rsidR="00A5426F">
        <w:t xml:space="preserve">sustainability of </w:t>
      </w:r>
      <w:r w:rsidR="00384611">
        <w:t xml:space="preserve">the </w:t>
      </w:r>
      <w:r w:rsidR="0069141E">
        <w:t xml:space="preserve">insourcing managed </w:t>
      </w:r>
      <w:r w:rsidR="00384611">
        <w:t>service that is being procured.</w:t>
      </w:r>
      <w:r w:rsidR="00E51D5F">
        <w:rPr>
          <w:rStyle w:val="FootnoteReference"/>
        </w:rPr>
        <w:footnoteReference w:id="27"/>
      </w:r>
    </w:p>
    <w:p w14:paraId="2A592AF6" w14:textId="30BD9FD8" w:rsidR="00DE25D0" w:rsidRDefault="003D5605" w:rsidP="00384A10">
      <w:pPr>
        <w:pStyle w:val="ListParagraph"/>
        <w:spacing w:line="276" w:lineRule="auto"/>
        <w:ind w:left="567" w:hanging="567"/>
      </w:pPr>
      <w:r>
        <w:t xml:space="preserve">Given YWR’s concerns about the price offered by 18 Week Support, it is also relevant to note that </w:t>
      </w:r>
      <w:r w:rsidR="0069141E">
        <w:t xml:space="preserve">the </w:t>
      </w:r>
      <w:r w:rsidR="00DE25D0">
        <w:t>PSR regulations do not contain any provision direct</w:t>
      </w:r>
      <w:r w:rsidR="00BE1FCF">
        <w:t>ly</w:t>
      </w:r>
      <w:r w:rsidR="00DE25D0">
        <w:t xml:space="preserve"> equivalent to those in the PCR or Procurement Act 2023 </w:t>
      </w:r>
      <w:r w:rsidR="00BE1FCF">
        <w:t>in relation to</w:t>
      </w:r>
      <w:r w:rsidR="005333E0">
        <w:t xml:space="preserve"> </w:t>
      </w:r>
      <w:r w:rsidR="00DE25D0">
        <w:t>abnormally low prices.</w:t>
      </w:r>
      <w:r w:rsidR="009449AA">
        <w:rPr>
          <w:rStyle w:val="FootnoteReference"/>
        </w:rPr>
        <w:footnoteReference w:id="28"/>
      </w:r>
    </w:p>
    <w:p w14:paraId="64F69327" w14:textId="64BBF637" w:rsidR="009449AA" w:rsidRDefault="007D2785" w:rsidP="00384A10">
      <w:pPr>
        <w:pStyle w:val="ListParagraph"/>
        <w:spacing w:after="120" w:line="276" w:lineRule="auto"/>
        <w:ind w:left="567" w:hanging="567"/>
      </w:pPr>
      <w:r>
        <w:t xml:space="preserve">As a result, </w:t>
      </w:r>
      <w:r w:rsidR="00BE1FCF">
        <w:t>in</w:t>
      </w:r>
      <w:r>
        <w:t xml:space="preserve"> assessing </w:t>
      </w:r>
      <w:r w:rsidR="00BE1FCF">
        <w:t xml:space="preserve">whether </w:t>
      </w:r>
      <w:r>
        <w:t>UHL</w:t>
      </w:r>
      <w:r w:rsidR="00BE1FCF">
        <w:t xml:space="preserve"> breached </w:t>
      </w:r>
      <w:r>
        <w:t xml:space="preserve">the </w:t>
      </w:r>
      <w:r w:rsidR="00D645BA">
        <w:t xml:space="preserve">service sustainability requirements of the </w:t>
      </w:r>
      <w:r>
        <w:t xml:space="preserve">PSR regulations, the Panel </w:t>
      </w:r>
      <w:r w:rsidR="00C1799F">
        <w:t>h</w:t>
      </w:r>
      <w:r>
        <w:t>as focused on whether</w:t>
      </w:r>
      <w:r w:rsidR="000E60CD">
        <w:t>, during the provider selection process,</w:t>
      </w:r>
      <w:r>
        <w:t xml:space="preserve"> UHL met its obligations under</w:t>
      </w:r>
      <w:r w:rsidR="072765D0">
        <w:t>:</w:t>
      </w:r>
    </w:p>
    <w:p w14:paraId="2CB6DE35" w14:textId="35A985C2" w:rsidR="009449AA" w:rsidRDefault="007D2785" w:rsidP="001E15C1">
      <w:pPr>
        <w:pStyle w:val="ListParagraph"/>
        <w:numPr>
          <w:ilvl w:val="0"/>
          <w:numId w:val="13"/>
        </w:numPr>
        <w:spacing w:after="120" w:line="276" w:lineRule="auto"/>
        <w:ind w:hanging="357"/>
      </w:pPr>
      <w:r>
        <w:lastRenderedPageBreak/>
        <w:t>Regulation 4(1)(a)(</w:t>
      </w:r>
      <w:proofErr w:type="spellStart"/>
      <w:r>
        <w:t>i</w:t>
      </w:r>
      <w:proofErr w:type="spellEnd"/>
      <w:r>
        <w:t>)</w:t>
      </w:r>
      <w:r w:rsidR="004C6B38">
        <w:t xml:space="preserve">, </w:t>
      </w:r>
      <w:r w:rsidR="001B60F8">
        <w:t>which requires commissioners to</w:t>
      </w:r>
      <w:r w:rsidR="00A5755F">
        <w:t xml:space="preserve"> </w:t>
      </w:r>
      <w:r w:rsidR="004C6B38">
        <w:t xml:space="preserve">act with a view to securing the needs of the people who use the </w:t>
      </w:r>
      <w:proofErr w:type="gramStart"/>
      <w:r w:rsidR="004C6B38">
        <w:t>service</w:t>
      </w:r>
      <w:r w:rsidR="3750A3FF">
        <w:t>;</w:t>
      </w:r>
      <w:proofErr w:type="gramEnd"/>
    </w:p>
    <w:p w14:paraId="35A54ADD" w14:textId="3BF2D2AB" w:rsidR="009449AA" w:rsidRDefault="6A1D1703" w:rsidP="001E15C1">
      <w:pPr>
        <w:pStyle w:val="ListParagraph"/>
        <w:numPr>
          <w:ilvl w:val="0"/>
          <w:numId w:val="13"/>
        </w:numPr>
        <w:spacing w:after="120" w:line="276" w:lineRule="auto"/>
        <w:ind w:hanging="357"/>
      </w:pPr>
      <w:r>
        <w:t>Regulation 11(2)</w:t>
      </w:r>
      <w:r w:rsidR="6138C9AC">
        <w:t>,</w:t>
      </w:r>
      <w:r>
        <w:t xml:space="preserve"> </w:t>
      </w:r>
      <w:r w:rsidR="6138C9AC">
        <w:t>which</w:t>
      </w:r>
      <w:r>
        <w:t xml:space="preserve"> requir</w:t>
      </w:r>
      <w:r w:rsidR="7F002881">
        <w:t>es</w:t>
      </w:r>
      <w:r>
        <w:t xml:space="preserve"> </w:t>
      </w:r>
      <w:r w:rsidR="007F19E8">
        <w:t>commissioners</w:t>
      </w:r>
      <w:r>
        <w:t xml:space="preserve"> to </w:t>
      </w:r>
      <w:r w:rsidR="77B4FC8D">
        <w:t xml:space="preserve">determine the contract award criteria </w:t>
      </w:r>
      <w:proofErr w:type="gramStart"/>
      <w:r w:rsidR="77B4FC8D">
        <w:t>taking into account</w:t>
      </w:r>
      <w:proofErr w:type="gramEnd"/>
      <w:r w:rsidR="77B4FC8D">
        <w:t xml:space="preserve"> the key criteria includ</w:t>
      </w:r>
      <w:r w:rsidR="00A935F8">
        <w:t xml:space="preserve">ing, as set out in </w:t>
      </w:r>
      <w:r w:rsidR="004C6B38">
        <w:t>Regulation 5(c)(iii)</w:t>
      </w:r>
      <w:r w:rsidR="00A5755F">
        <w:t xml:space="preserve">, i.e. </w:t>
      </w:r>
      <w:r w:rsidR="2069CEF9">
        <w:t xml:space="preserve">the extent to which services can be provided in a sustainable </w:t>
      </w:r>
      <w:proofErr w:type="gramStart"/>
      <w:r w:rsidR="2069CEF9">
        <w:t>way</w:t>
      </w:r>
      <w:r w:rsidR="0A0DFE82">
        <w:t>;</w:t>
      </w:r>
      <w:proofErr w:type="gramEnd"/>
    </w:p>
    <w:p w14:paraId="612D6C83" w14:textId="40CA4431" w:rsidR="00F113EC" w:rsidRDefault="00F113EC" w:rsidP="00F113EC">
      <w:pPr>
        <w:pStyle w:val="ListParagraph"/>
        <w:numPr>
          <w:ilvl w:val="0"/>
          <w:numId w:val="13"/>
        </w:numPr>
        <w:spacing w:line="276" w:lineRule="auto"/>
      </w:pPr>
      <w:r>
        <w:t xml:space="preserve">Regulation 11(5), </w:t>
      </w:r>
      <w:r w:rsidR="00322BBB">
        <w:t xml:space="preserve">which requires </w:t>
      </w:r>
      <w:r w:rsidR="007F19E8">
        <w:t>commissioners</w:t>
      </w:r>
      <w:r w:rsidR="00322BBB">
        <w:t xml:space="preserve"> </w:t>
      </w:r>
      <w:r>
        <w:t>to assess any offers received in accordance with the contract award criteria.</w:t>
      </w:r>
    </w:p>
    <w:p w14:paraId="376000CC" w14:textId="339B7BE5" w:rsidR="006468BD" w:rsidRPr="00A715B7" w:rsidRDefault="00EC0DB4" w:rsidP="00A715B7">
      <w:pPr>
        <w:keepNext/>
        <w:spacing w:before="240" w:line="276" w:lineRule="auto"/>
        <w:rPr>
          <w:b/>
          <w:bCs/>
        </w:rPr>
      </w:pPr>
      <w:r w:rsidRPr="00A715B7">
        <w:rPr>
          <w:b/>
          <w:bCs/>
        </w:rPr>
        <w:t>7.1.</w:t>
      </w:r>
      <w:r w:rsidR="00BD10B0">
        <w:rPr>
          <w:b/>
          <w:bCs/>
        </w:rPr>
        <w:t>2</w:t>
      </w:r>
      <w:r w:rsidRPr="00A715B7">
        <w:rPr>
          <w:b/>
          <w:bCs/>
        </w:rPr>
        <w:t xml:space="preserve"> </w:t>
      </w:r>
      <w:r w:rsidR="004A4BAB">
        <w:rPr>
          <w:b/>
          <w:bCs/>
        </w:rPr>
        <w:t xml:space="preserve">UHL’s </w:t>
      </w:r>
      <w:r w:rsidR="000E60CD">
        <w:rPr>
          <w:b/>
          <w:bCs/>
        </w:rPr>
        <w:t xml:space="preserve">reference to </w:t>
      </w:r>
      <w:r w:rsidR="00BE61B7">
        <w:rPr>
          <w:b/>
          <w:bCs/>
        </w:rPr>
        <w:t xml:space="preserve">service sustainability considerations </w:t>
      </w:r>
      <w:r w:rsidR="000E60CD">
        <w:rPr>
          <w:b/>
          <w:bCs/>
        </w:rPr>
        <w:t>in the provider selection process</w:t>
      </w:r>
    </w:p>
    <w:p w14:paraId="5C079641" w14:textId="3E9CA167" w:rsidR="004E1A3A" w:rsidRDefault="004E1A3A" w:rsidP="001E15C1">
      <w:pPr>
        <w:pStyle w:val="ListParagraph"/>
        <w:spacing w:line="276" w:lineRule="auto"/>
        <w:ind w:left="567" w:hanging="567"/>
        <w:contextualSpacing/>
      </w:pPr>
      <w:r>
        <w:t>Th</w:t>
      </w:r>
      <w:r w:rsidR="0008421A">
        <w:t xml:space="preserve">is section </w:t>
      </w:r>
      <w:r w:rsidR="00EC7044">
        <w:t>discusses</w:t>
      </w:r>
      <w:r w:rsidR="00B16EC4">
        <w:t xml:space="preserve"> how </w:t>
      </w:r>
      <w:r>
        <w:t xml:space="preserve">service sustainability considerations </w:t>
      </w:r>
      <w:r w:rsidR="009F16B7">
        <w:t xml:space="preserve">were </w:t>
      </w:r>
      <w:proofErr w:type="gramStart"/>
      <w:r w:rsidR="009F16B7">
        <w:t xml:space="preserve">taken </w:t>
      </w:r>
      <w:r>
        <w:t>into account</w:t>
      </w:r>
      <w:proofErr w:type="gramEnd"/>
      <w:r w:rsidR="00713BB5">
        <w:t xml:space="preserve">, or could have been </w:t>
      </w:r>
      <w:proofErr w:type="gramStart"/>
      <w:r w:rsidR="00713BB5">
        <w:t>taken into account</w:t>
      </w:r>
      <w:proofErr w:type="gramEnd"/>
      <w:r w:rsidR="008F635F">
        <w:t>,</w:t>
      </w:r>
      <w:r w:rsidR="00B16EC4">
        <w:t xml:space="preserve"> </w:t>
      </w:r>
      <w:r w:rsidR="0008421A">
        <w:t xml:space="preserve">during the provider selection process for </w:t>
      </w:r>
      <w:r w:rsidR="00BA4CA4">
        <w:t>UHL’s</w:t>
      </w:r>
      <w:r w:rsidR="0008421A">
        <w:t xml:space="preserve"> insourc</w:t>
      </w:r>
      <w:r w:rsidR="005067CD">
        <w:t>ing</w:t>
      </w:r>
      <w:r w:rsidR="0008421A">
        <w:t xml:space="preserve"> managed service</w:t>
      </w:r>
      <w:r w:rsidR="009D16CD">
        <w:t>.</w:t>
      </w:r>
      <w:r w:rsidR="00FC5529">
        <w:t xml:space="preserve"> </w:t>
      </w:r>
      <w:r w:rsidR="00BA4CA4">
        <w:t>F</w:t>
      </w:r>
      <w:r w:rsidR="00FD5236">
        <w:t>ive</w:t>
      </w:r>
      <w:r w:rsidR="00E118C0">
        <w:t xml:space="preserve"> areas</w:t>
      </w:r>
      <w:r w:rsidR="00BA4CA4">
        <w:t xml:space="preserve"> are discussed</w:t>
      </w:r>
      <w:r w:rsidR="00E118C0">
        <w:t>:</w:t>
      </w:r>
    </w:p>
    <w:p w14:paraId="53B66944" w14:textId="6E2ACED8" w:rsidR="00FD6894" w:rsidRDefault="00D7383A" w:rsidP="00CB39CD">
      <w:pPr>
        <w:pStyle w:val="ListParagraph"/>
        <w:numPr>
          <w:ilvl w:val="0"/>
          <w:numId w:val="13"/>
        </w:numPr>
        <w:spacing w:line="276" w:lineRule="auto"/>
        <w:contextualSpacing/>
      </w:pPr>
      <w:r>
        <w:t xml:space="preserve">first, </w:t>
      </w:r>
      <w:r w:rsidR="00BA4CA4">
        <w:t>UHL’s</w:t>
      </w:r>
      <w:r w:rsidR="00FD6894">
        <w:t xml:space="preserve"> design </w:t>
      </w:r>
      <w:r w:rsidR="00E6182D">
        <w:t xml:space="preserve">and adoption </w:t>
      </w:r>
      <w:r w:rsidR="00C957FD">
        <w:t xml:space="preserve">of </w:t>
      </w:r>
      <w:r w:rsidR="00BA4CA4">
        <w:t>its new insourcing</w:t>
      </w:r>
      <w:r w:rsidR="00FD6894">
        <w:t xml:space="preserve"> </w:t>
      </w:r>
      <w:r w:rsidR="00A970E5">
        <w:t xml:space="preserve">managed </w:t>
      </w:r>
      <w:proofErr w:type="gramStart"/>
      <w:r w:rsidR="00A970E5">
        <w:t>service;</w:t>
      </w:r>
      <w:proofErr w:type="gramEnd"/>
    </w:p>
    <w:p w14:paraId="4B4D280C" w14:textId="7E1593F0" w:rsidR="00D7383A" w:rsidRDefault="005C711F" w:rsidP="007B2B61">
      <w:pPr>
        <w:pStyle w:val="ListParagraph"/>
        <w:numPr>
          <w:ilvl w:val="0"/>
          <w:numId w:val="13"/>
        </w:numPr>
        <w:spacing w:line="276" w:lineRule="auto"/>
        <w:contextualSpacing/>
      </w:pPr>
      <w:r>
        <w:t>second</w:t>
      </w:r>
      <w:r w:rsidR="00D7383A">
        <w:t xml:space="preserve">, </w:t>
      </w:r>
      <w:r w:rsidR="00666FAB">
        <w:t>UHL’s</w:t>
      </w:r>
      <w:r w:rsidR="002535CC">
        <w:t xml:space="preserve"> evaluati</w:t>
      </w:r>
      <w:r w:rsidR="00E6182D">
        <w:t xml:space="preserve">on of </w:t>
      </w:r>
      <w:r w:rsidR="00D040D7">
        <w:t xml:space="preserve">the prices offered by </w:t>
      </w:r>
      <w:proofErr w:type="gramStart"/>
      <w:r w:rsidR="00E6182D">
        <w:t>bidders</w:t>
      </w:r>
      <w:r w:rsidR="002535CC">
        <w:t>;</w:t>
      </w:r>
      <w:proofErr w:type="gramEnd"/>
    </w:p>
    <w:p w14:paraId="5364EFDF" w14:textId="6E4C2745" w:rsidR="005C711F" w:rsidRDefault="005C711F" w:rsidP="00F01452">
      <w:pPr>
        <w:pStyle w:val="ListParagraph"/>
        <w:numPr>
          <w:ilvl w:val="0"/>
          <w:numId w:val="13"/>
        </w:numPr>
        <w:spacing w:line="276" w:lineRule="auto"/>
        <w:ind w:left="1077" w:hanging="357"/>
        <w:contextualSpacing/>
      </w:pPr>
      <w:r>
        <w:t>third</w:t>
      </w:r>
      <w:r w:rsidR="002535CC">
        <w:t xml:space="preserve">, </w:t>
      </w:r>
      <w:r w:rsidR="00666FAB">
        <w:t>UHL’s</w:t>
      </w:r>
      <w:r w:rsidR="002535CC">
        <w:t xml:space="preserve"> </w:t>
      </w:r>
      <w:r w:rsidR="00CB39CD">
        <w:t>evaluati</w:t>
      </w:r>
      <w:r w:rsidR="00F01452">
        <w:t xml:space="preserve">on of the winning </w:t>
      </w:r>
      <w:r w:rsidR="00632FD5">
        <w:t>bidder</w:t>
      </w:r>
      <w:r w:rsidR="0053454D">
        <w:t>’</w:t>
      </w:r>
      <w:r w:rsidR="00632FD5">
        <w:t xml:space="preserve">s </w:t>
      </w:r>
      <w:r w:rsidR="00CB39CD">
        <w:t xml:space="preserve">financial </w:t>
      </w:r>
      <w:proofErr w:type="gramStart"/>
      <w:r w:rsidR="00F01452">
        <w:t>sustainability</w:t>
      </w:r>
      <w:r w:rsidR="00921572">
        <w:t>;</w:t>
      </w:r>
      <w:proofErr w:type="gramEnd"/>
    </w:p>
    <w:p w14:paraId="2FBFDCD3" w14:textId="030F3442" w:rsidR="005B2367" w:rsidRDefault="005B2367" w:rsidP="00F01452">
      <w:pPr>
        <w:pStyle w:val="ListParagraph"/>
        <w:numPr>
          <w:ilvl w:val="0"/>
          <w:numId w:val="13"/>
        </w:numPr>
        <w:spacing w:line="276" w:lineRule="auto"/>
        <w:ind w:left="1077" w:hanging="357"/>
        <w:contextualSpacing/>
      </w:pPr>
      <w:r>
        <w:t xml:space="preserve">fourth, </w:t>
      </w:r>
      <w:r w:rsidR="00FD5236">
        <w:t>measures taken by UHL to address potential risks arising from the new contracting model for insourcing services; and</w:t>
      </w:r>
    </w:p>
    <w:p w14:paraId="0C9C489B" w14:textId="35CCA025" w:rsidR="00921572" w:rsidRDefault="00921572" w:rsidP="007B2B61">
      <w:pPr>
        <w:pStyle w:val="ListParagraph"/>
        <w:numPr>
          <w:ilvl w:val="0"/>
          <w:numId w:val="13"/>
        </w:numPr>
        <w:spacing w:line="276" w:lineRule="auto"/>
      </w:pPr>
      <w:r>
        <w:t xml:space="preserve">finally, </w:t>
      </w:r>
      <w:r w:rsidR="00F01452">
        <w:t xml:space="preserve">other </w:t>
      </w:r>
      <w:r w:rsidR="00D25A43">
        <w:t>aspects of bidders’ proposals</w:t>
      </w:r>
      <w:r>
        <w:t>.</w:t>
      </w:r>
    </w:p>
    <w:p w14:paraId="77ADAF3D" w14:textId="440809B3" w:rsidR="00A970E5" w:rsidRPr="004A1993" w:rsidRDefault="00A970E5" w:rsidP="00A970E5">
      <w:pPr>
        <w:keepNext/>
        <w:spacing w:before="240" w:line="276" w:lineRule="auto"/>
        <w:rPr>
          <w:b/>
          <w:bCs/>
        </w:rPr>
      </w:pPr>
      <w:r>
        <w:rPr>
          <w:b/>
          <w:bCs/>
        </w:rPr>
        <w:t xml:space="preserve">Design </w:t>
      </w:r>
      <w:r w:rsidR="00D25A43">
        <w:rPr>
          <w:b/>
          <w:bCs/>
        </w:rPr>
        <w:t xml:space="preserve">and adoption </w:t>
      </w:r>
      <w:r>
        <w:rPr>
          <w:b/>
          <w:bCs/>
        </w:rPr>
        <w:t xml:space="preserve">of the </w:t>
      </w:r>
      <w:r w:rsidR="00666FAB">
        <w:rPr>
          <w:b/>
          <w:bCs/>
        </w:rPr>
        <w:t xml:space="preserve">insourcing </w:t>
      </w:r>
      <w:r>
        <w:rPr>
          <w:b/>
          <w:bCs/>
        </w:rPr>
        <w:t>managed service</w:t>
      </w:r>
    </w:p>
    <w:p w14:paraId="14125DE2" w14:textId="361C5182" w:rsidR="00AD1FC3" w:rsidRDefault="00C45B1D" w:rsidP="001E15C1">
      <w:pPr>
        <w:pStyle w:val="ListParagraph"/>
        <w:spacing w:line="276" w:lineRule="auto"/>
        <w:ind w:left="567" w:hanging="567"/>
      </w:pPr>
      <w:bookmarkStart w:id="14" w:name="_Ref218599986"/>
      <w:r>
        <w:t xml:space="preserve">UHL told the Panel that </w:t>
      </w:r>
      <w:r w:rsidR="00666FAB">
        <w:t xml:space="preserve">service </w:t>
      </w:r>
      <w:r w:rsidR="004021E1">
        <w:t>sustainability informed the development of its new managed service model for insourcing services</w:t>
      </w:r>
      <w:r w:rsidR="00AD1FC3">
        <w:t xml:space="preserve">, saying that </w:t>
      </w:r>
      <w:r>
        <w:t xml:space="preserve">the existing pricing model and </w:t>
      </w:r>
      <w:r w:rsidR="005C5B76">
        <w:t>number</w:t>
      </w:r>
      <w:r>
        <w:t xml:space="preserve"> of insourcing contracts “highlighted a need for a more sustainable and efficient approach to service delivery”.</w:t>
      </w:r>
      <w:r w:rsidR="00155EB3">
        <w:rPr>
          <w:rStyle w:val="FootnoteReference"/>
        </w:rPr>
        <w:footnoteReference w:id="29"/>
      </w:r>
      <w:bookmarkEnd w:id="14"/>
    </w:p>
    <w:p w14:paraId="1DCA8DB6" w14:textId="1C7F4C48" w:rsidR="0012509E" w:rsidRPr="002721D2" w:rsidRDefault="00DB4D63" w:rsidP="001E15C1">
      <w:pPr>
        <w:pStyle w:val="ListParagraph"/>
        <w:spacing w:after="120"/>
        <w:ind w:left="567" w:hanging="567"/>
      </w:pPr>
      <w:r w:rsidRPr="002721D2">
        <w:t xml:space="preserve">UHL’s analysis of its existing </w:t>
      </w:r>
      <w:r w:rsidR="002721D2" w:rsidRPr="002721D2">
        <w:t>insourcing contracts</w:t>
      </w:r>
      <w:r w:rsidR="00281C63">
        <w:t xml:space="preserve"> </w:t>
      </w:r>
      <w:r w:rsidR="005C5B76">
        <w:t>concluded</w:t>
      </w:r>
      <w:r w:rsidR="00281C63">
        <w:t xml:space="preserve"> that these contracts</w:t>
      </w:r>
      <w:r w:rsidR="0012509E" w:rsidRPr="002721D2">
        <w:t>:</w:t>
      </w:r>
    </w:p>
    <w:p w14:paraId="6516BBFF" w14:textId="382FBE89" w:rsidR="00DB4D63" w:rsidRPr="0012509E" w:rsidRDefault="00884123" w:rsidP="0012509E">
      <w:pPr>
        <w:pStyle w:val="ListParagraph"/>
        <w:numPr>
          <w:ilvl w:val="0"/>
          <w:numId w:val="0"/>
        </w:numPr>
        <w:ind w:left="851"/>
        <w:rPr>
          <w:sz w:val="21"/>
          <w:szCs w:val="21"/>
        </w:rPr>
      </w:pPr>
      <w:r w:rsidRPr="0012509E">
        <w:rPr>
          <w:sz w:val="21"/>
          <w:szCs w:val="21"/>
        </w:rPr>
        <w:t>“</w:t>
      </w:r>
      <w:proofErr w:type="gramStart"/>
      <w:r w:rsidRPr="0012509E">
        <w:rPr>
          <w:sz w:val="21"/>
          <w:szCs w:val="21"/>
        </w:rPr>
        <w:t>were</w:t>
      </w:r>
      <w:proofErr w:type="gramEnd"/>
      <w:r w:rsidRPr="0012509E">
        <w:rPr>
          <w:sz w:val="21"/>
          <w:szCs w:val="21"/>
        </w:rPr>
        <w:t xml:space="preserve"> not being managed robustly in most cases. This led to some issues in performance, with no firm monitoring of any Key Performance Indicators (KPIs) within the existing contracts. Similarly, it was found that while </w:t>
      </w:r>
      <w:proofErr w:type="gramStart"/>
      <w:r w:rsidRPr="0012509E">
        <w:rPr>
          <w:sz w:val="21"/>
          <w:szCs w:val="21"/>
        </w:rPr>
        <w:t>the majority of</w:t>
      </w:r>
      <w:proofErr w:type="gramEnd"/>
      <w:r w:rsidRPr="0012509E">
        <w:rPr>
          <w:sz w:val="21"/>
          <w:szCs w:val="21"/>
        </w:rPr>
        <w:t xml:space="preserve"> services were priced on a ‘cost per session’ basis, many lists were not being filled either due to under booking and/or the number of on the day cancellations, leading to the Trust paying for clinician’s time which was not fully utilised”</w:t>
      </w:r>
      <w:r w:rsidR="00875052">
        <w:rPr>
          <w:sz w:val="21"/>
          <w:szCs w:val="21"/>
        </w:rPr>
        <w:t>.</w:t>
      </w:r>
      <w:r w:rsidR="00875052">
        <w:rPr>
          <w:rStyle w:val="FootnoteReference"/>
          <w:sz w:val="21"/>
          <w:szCs w:val="21"/>
        </w:rPr>
        <w:footnoteReference w:id="30"/>
      </w:r>
    </w:p>
    <w:p w14:paraId="1D840A4F" w14:textId="5B46F1E0" w:rsidR="008A052F" w:rsidRDefault="00511A01" w:rsidP="001E15C1">
      <w:pPr>
        <w:pStyle w:val="ListParagraph"/>
        <w:spacing w:line="276" w:lineRule="auto"/>
        <w:ind w:left="567" w:hanging="567"/>
        <w:contextualSpacing/>
      </w:pPr>
      <w:r>
        <w:t xml:space="preserve">UHL told the Panel that </w:t>
      </w:r>
      <w:r w:rsidR="005C5B76">
        <w:t xml:space="preserve">two key innovations </w:t>
      </w:r>
      <w:r w:rsidR="00134320">
        <w:t xml:space="preserve">in </w:t>
      </w:r>
      <w:r w:rsidR="008579E2">
        <w:t xml:space="preserve">the new </w:t>
      </w:r>
      <w:r w:rsidR="00134320">
        <w:t xml:space="preserve">insourcing </w:t>
      </w:r>
      <w:r w:rsidR="008579E2">
        <w:t xml:space="preserve">managed service </w:t>
      </w:r>
      <w:r w:rsidR="00134320">
        <w:t xml:space="preserve">would address </w:t>
      </w:r>
      <w:proofErr w:type="gramStart"/>
      <w:r w:rsidR="00F37717">
        <w:t>a number of</w:t>
      </w:r>
      <w:proofErr w:type="gramEnd"/>
      <w:r w:rsidR="00F37717">
        <w:t xml:space="preserve"> the issues set out above</w:t>
      </w:r>
      <w:r w:rsidR="0070115C">
        <w:t>. In particular</w:t>
      </w:r>
      <w:r w:rsidR="00EA1569">
        <w:t>:</w:t>
      </w:r>
    </w:p>
    <w:p w14:paraId="5A36632D" w14:textId="4C8B17DD" w:rsidR="008A052F" w:rsidRDefault="00CA6A8E" w:rsidP="003C3A88">
      <w:pPr>
        <w:pStyle w:val="ListParagraph"/>
        <w:numPr>
          <w:ilvl w:val="0"/>
          <w:numId w:val="31"/>
        </w:numPr>
        <w:spacing w:line="276" w:lineRule="auto"/>
        <w:ind w:hanging="578"/>
        <w:contextualSpacing/>
      </w:pPr>
      <w:r>
        <w:t xml:space="preserve">the provider of the insourcing managed service </w:t>
      </w:r>
      <w:r w:rsidR="00F37717">
        <w:t xml:space="preserve">would </w:t>
      </w:r>
      <w:r>
        <w:t xml:space="preserve">be </w:t>
      </w:r>
      <w:r w:rsidR="000E2488">
        <w:t xml:space="preserve">paid </w:t>
      </w:r>
      <w:r w:rsidR="000A4FCD">
        <w:t>per patient treated</w:t>
      </w:r>
      <w:r w:rsidR="00F37717">
        <w:t xml:space="preserve"> so that UHL was not paying for </w:t>
      </w:r>
      <w:r w:rsidR="0070115C">
        <w:t>clinicians’ time which was not fully utilised</w:t>
      </w:r>
      <w:r w:rsidR="000A4FCD">
        <w:t>; and</w:t>
      </w:r>
    </w:p>
    <w:p w14:paraId="51BCEF14" w14:textId="116A3196" w:rsidR="00F378EB" w:rsidRDefault="001953AB" w:rsidP="003819DA">
      <w:pPr>
        <w:pStyle w:val="ListParagraph"/>
        <w:numPr>
          <w:ilvl w:val="0"/>
          <w:numId w:val="31"/>
        </w:numPr>
        <w:spacing w:line="276" w:lineRule="auto"/>
        <w:ind w:hanging="578"/>
      </w:pPr>
      <w:r>
        <w:t xml:space="preserve">replacing </w:t>
      </w:r>
      <w:r w:rsidR="002D6B8E">
        <w:t xml:space="preserve">ten separate insourcing contracts </w:t>
      </w:r>
      <w:r>
        <w:t xml:space="preserve">with a single </w:t>
      </w:r>
      <w:r w:rsidR="008A052F">
        <w:t>contract</w:t>
      </w:r>
      <w:r w:rsidR="0070115C">
        <w:t xml:space="preserve"> would </w:t>
      </w:r>
      <w:r w:rsidR="00AF49BB">
        <w:t>reduc</w:t>
      </w:r>
      <w:r w:rsidR="0070115C">
        <w:t>e contract</w:t>
      </w:r>
      <w:r w:rsidR="00AF49BB">
        <w:t xml:space="preserve"> monitoring costs</w:t>
      </w:r>
      <w:r w:rsidR="004B522A">
        <w:t xml:space="preserve"> for UHL</w:t>
      </w:r>
      <w:r w:rsidR="008664CB">
        <w:t>,</w:t>
      </w:r>
      <w:r w:rsidR="004B522A">
        <w:t xml:space="preserve"> </w:t>
      </w:r>
      <w:r w:rsidR="00A004C6">
        <w:t>with</w:t>
      </w:r>
      <w:r w:rsidR="004B522A">
        <w:t xml:space="preserve"> the managed service provider taking responsibility for monitoring each service line</w:t>
      </w:r>
      <w:r w:rsidR="008A052F">
        <w:t>.</w:t>
      </w:r>
    </w:p>
    <w:p w14:paraId="2123E752" w14:textId="4CA2B38D" w:rsidR="00E45E51" w:rsidRDefault="008A052F" w:rsidP="001E15C1">
      <w:pPr>
        <w:pStyle w:val="ListParagraph"/>
        <w:spacing w:line="276" w:lineRule="auto"/>
        <w:ind w:left="567" w:hanging="567"/>
      </w:pPr>
      <w:r>
        <w:t xml:space="preserve">The Panel </w:t>
      </w:r>
      <w:r w:rsidR="00A34BF7">
        <w:t xml:space="preserve">appreciates that there may be arguments </w:t>
      </w:r>
      <w:r w:rsidR="00EA1142">
        <w:t xml:space="preserve">why </w:t>
      </w:r>
      <w:r w:rsidR="000B2600">
        <w:t xml:space="preserve">these changes </w:t>
      </w:r>
      <w:r w:rsidR="00EA1142">
        <w:t xml:space="preserve">might not necessarily </w:t>
      </w:r>
      <w:r w:rsidR="000B2600">
        <w:t xml:space="preserve">deliver lower costs </w:t>
      </w:r>
      <w:r w:rsidR="00EA1142">
        <w:t xml:space="preserve">in the long term. </w:t>
      </w:r>
      <w:r w:rsidR="00594790">
        <w:t xml:space="preserve">However, </w:t>
      </w:r>
      <w:r w:rsidR="00606FDF">
        <w:t xml:space="preserve">the Panel </w:t>
      </w:r>
      <w:r w:rsidR="00EF56C0">
        <w:t xml:space="preserve">also accepts </w:t>
      </w:r>
      <w:r w:rsidR="00606FDF">
        <w:t xml:space="preserve">that </w:t>
      </w:r>
      <w:r w:rsidR="004D1D69">
        <w:lastRenderedPageBreak/>
        <w:t>UHL, in design</w:t>
      </w:r>
      <w:r w:rsidR="00541A6E">
        <w:t>ing</w:t>
      </w:r>
      <w:r w:rsidR="004D1D69">
        <w:t xml:space="preserve"> and adoptin</w:t>
      </w:r>
      <w:r w:rsidR="00541A6E">
        <w:t>g</w:t>
      </w:r>
      <w:r w:rsidR="004D1D69">
        <w:t xml:space="preserve"> the new </w:t>
      </w:r>
      <w:r w:rsidR="007610DE">
        <w:t xml:space="preserve">insourcing </w:t>
      </w:r>
      <w:r w:rsidR="004D1D69">
        <w:t xml:space="preserve">managed service was motivated by the need to improve service </w:t>
      </w:r>
      <w:r w:rsidR="00EF56C0">
        <w:t>efficiency and</w:t>
      </w:r>
      <w:r w:rsidR="007610DE">
        <w:t>,</w:t>
      </w:r>
      <w:r w:rsidR="00EF56C0">
        <w:t xml:space="preserve"> therefore</w:t>
      </w:r>
      <w:r w:rsidR="007610DE">
        <w:t>,</w:t>
      </w:r>
      <w:r w:rsidR="00EF56C0">
        <w:t xml:space="preserve"> service sustainability.</w:t>
      </w:r>
      <w:r w:rsidR="0090534B">
        <w:t xml:space="preserve"> The Panel further notes </w:t>
      </w:r>
      <w:r w:rsidR="00811EA8">
        <w:t xml:space="preserve">that </w:t>
      </w:r>
      <w:r w:rsidR="006F48B0">
        <w:t xml:space="preserve">UHL expects </w:t>
      </w:r>
      <w:r w:rsidR="00811EA8">
        <w:t xml:space="preserve">the price offered by the successful bidder </w:t>
      </w:r>
      <w:r w:rsidR="00E472DE">
        <w:t>to</w:t>
      </w:r>
      <w:r w:rsidR="000162D3">
        <w:t xml:space="preserve"> result in a</w:t>
      </w:r>
      <w:r w:rsidR="00D67BF7">
        <w:t>n immediate and</w:t>
      </w:r>
      <w:r w:rsidR="000162D3">
        <w:t xml:space="preserve"> substantial </w:t>
      </w:r>
      <w:r w:rsidR="00811EA8">
        <w:t xml:space="preserve">reduction in </w:t>
      </w:r>
      <w:r w:rsidR="00D67BF7">
        <w:t>UHL’s insourcing</w:t>
      </w:r>
      <w:r w:rsidR="000162D3">
        <w:t xml:space="preserve"> cost</w:t>
      </w:r>
      <w:r w:rsidR="00D67BF7">
        <w:t>s</w:t>
      </w:r>
      <w:r w:rsidR="00464B26">
        <w:t xml:space="preserve"> (</w:t>
      </w:r>
      <w:r w:rsidR="00464B26" w:rsidRPr="00BC315A">
        <w:t xml:space="preserve">by </w:t>
      </w:r>
      <w:r w:rsidR="00464B26" w:rsidRPr="009E03BD">
        <w:t xml:space="preserve">approximately </w:t>
      </w:r>
      <w:r w:rsidR="00BC315A" w:rsidRPr="009E03BD">
        <w:t>[</w:t>
      </w:r>
      <w:r w:rsidR="00AE45EC" w:rsidRPr="009E03BD">
        <w:sym w:font="Wingdings" w:char="F022"/>
      </w:r>
      <w:r w:rsidR="00BC315A" w:rsidRPr="009E03BD">
        <w:t>]</w:t>
      </w:r>
      <w:r w:rsidR="00464B26" w:rsidRPr="009E03BD">
        <w:t>%</w:t>
      </w:r>
      <w:r w:rsidR="00C60A81" w:rsidRPr="009E03BD">
        <w:rPr>
          <w:rStyle w:val="FootnoteReference"/>
        </w:rPr>
        <w:footnoteReference w:id="31"/>
      </w:r>
      <w:r w:rsidR="00464B26" w:rsidRPr="009E03BD">
        <w:t>)</w:t>
      </w:r>
      <w:r w:rsidR="00F05E68" w:rsidRPr="009E03BD">
        <w:t>.</w:t>
      </w:r>
    </w:p>
    <w:p w14:paraId="755D6ADE" w14:textId="3BD8871C" w:rsidR="003819DA" w:rsidRDefault="00C253D3" w:rsidP="001E15C1">
      <w:pPr>
        <w:pStyle w:val="ListParagraph"/>
        <w:spacing w:line="276" w:lineRule="auto"/>
        <w:ind w:left="567" w:hanging="567"/>
      </w:pPr>
      <w:r>
        <w:t xml:space="preserve">The Panel </w:t>
      </w:r>
      <w:r w:rsidR="00DB387D">
        <w:t xml:space="preserve">previously found in Case </w:t>
      </w:r>
      <w:r w:rsidR="00E74191">
        <w:t>CR</w:t>
      </w:r>
      <w:r w:rsidR="00DB387D">
        <w:t xml:space="preserve">0008-24 </w:t>
      </w:r>
      <w:r w:rsidR="003059F7">
        <w:t>(</w:t>
      </w:r>
      <w:r w:rsidR="00AE65E7">
        <w:t>Drug and Alcohol Services in Bath and North East Somerset</w:t>
      </w:r>
      <w:r w:rsidR="003059F7">
        <w:t>)</w:t>
      </w:r>
      <w:r w:rsidR="00AE65E7">
        <w:t xml:space="preserve"> that </w:t>
      </w:r>
      <w:r w:rsidR="00D64431">
        <w:t xml:space="preserve">the Council’s </w:t>
      </w:r>
      <w:r w:rsidR="00AE65E7">
        <w:t xml:space="preserve">consideration of service sustainability issues </w:t>
      </w:r>
      <w:r w:rsidR="00450A27">
        <w:t xml:space="preserve">in its outline business case </w:t>
      </w:r>
      <w:r w:rsidR="00BA52B5">
        <w:t xml:space="preserve">showed that these issues were taken into account when determining the </w:t>
      </w:r>
      <w:r w:rsidR="00BF64E7">
        <w:t xml:space="preserve">contract </w:t>
      </w:r>
      <w:r w:rsidR="00BA52B5">
        <w:t>award criteria.</w:t>
      </w:r>
      <w:r w:rsidR="00551D1F">
        <w:rPr>
          <w:rStyle w:val="FootnoteReference"/>
        </w:rPr>
        <w:footnoteReference w:id="32"/>
      </w:r>
      <w:r w:rsidR="00D677DF">
        <w:t xml:space="preserve"> </w:t>
      </w:r>
      <w:r w:rsidR="00413196">
        <w:t xml:space="preserve">Consistent with the Panel’s </w:t>
      </w:r>
      <w:r w:rsidR="00915455">
        <w:t>reasoning</w:t>
      </w:r>
      <w:r w:rsidR="00413196">
        <w:t xml:space="preserve"> in </w:t>
      </w:r>
      <w:r w:rsidR="00820065">
        <w:t>that</w:t>
      </w:r>
      <w:r w:rsidR="00413196">
        <w:t xml:space="preserve"> case, the Panel’s view is that </w:t>
      </w:r>
      <w:r w:rsidR="006F2ABA">
        <w:t xml:space="preserve">UHL’s </w:t>
      </w:r>
      <w:r w:rsidR="007225ED">
        <w:t xml:space="preserve">consideration of service sustainability in the design and adoption of the </w:t>
      </w:r>
      <w:r w:rsidR="00915455">
        <w:t xml:space="preserve">insourcing </w:t>
      </w:r>
      <w:r w:rsidR="007225ED">
        <w:t xml:space="preserve">managed service shows that </w:t>
      </w:r>
      <w:r w:rsidR="00915455">
        <w:t xml:space="preserve">service sustainability was </w:t>
      </w:r>
      <w:r w:rsidR="007225ED">
        <w:t xml:space="preserve">taken into account when determining the award criteria for </w:t>
      </w:r>
      <w:r w:rsidR="005557C5">
        <w:t>the insourcing managed service</w:t>
      </w:r>
      <w:r w:rsidR="007225ED">
        <w:t xml:space="preserve"> contract.</w:t>
      </w:r>
    </w:p>
    <w:p w14:paraId="2AA628E7" w14:textId="770594AA" w:rsidR="008858B0" w:rsidRPr="008858B0" w:rsidRDefault="00CC125A" w:rsidP="008858B0">
      <w:pPr>
        <w:keepNext/>
        <w:spacing w:before="240" w:line="276" w:lineRule="auto"/>
        <w:rPr>
          <w:b/>
          <w:bCs/>
        </w:rPr>
      </w:pPr>
      <w:r>
        <w:rPr>
          <w:b/>
          <w:bCs/>
        </w:rPr>
        <w:t>Evaluating</w:t>
      </w:r>
      <w:r w:rsidR="008858B0" w:rsidRPr="008858B0">
        <w:rPr>
          <w:b/>
          <w:bCs/>
        </w:rPr>
        <w:t xml:space="preserve"> bidders</w:t>
      </w:r>
      <w:r w:rsidR="00C57024">
        <w:rPr>
          <w:b/>
          <w:bCs/>
        </w:rPr>
        <w:t>’ prices</w:t>
      </w:r>
    </w:p>
    <w:p w14:paraId="4F7D77DE" w14:textId="06EABFD7" w:rsidR="00936C40" w:rsidRDefault="00850A36" w:rsidP="001E15C1">
      <w:pPr>
        <w:pStyle w:val="ListParagraph"/>
        <w:spacing w:after="120" w:line="276" w:lineRule="auto"/>
        <w:ind w:left="567" w:hanging="567"/>
        <w:contextualSpacing/>
      </w:pPr>
      <w:r>
        <w:t>UHL told the Panel that it took service sustainability into account when evaluating bidders’ prices</w:t>
      </w:r>
      <w:r w:rsidR="00757A7D">
        <w:t xml:space="preserve">. UHL </w:t>
      </w:r>
      <w:r w:rsidR="00FE77DC">
        <w:t>said this happened in two ways</w:t>
      </w:r>
      <w:r w:rsidR="00116C42">
        <w:t>:</w:t>
      </w:r>
    </w:p>
    <w:p w14:paraId="246ABA48" w14:textId="5DD06A19" w:rsidR="00C13A3A" w:rsidRPr="00C13A3A" w:rsidRDefault="00C13A3A" w:rsidP="00277BB7">
      <w:pPr>
        <w:pStyle w:val="ListParagraph"/>
        <w:numPr>
          <w:ilvl w:val="0"/>
          <w:numId w:val="13"/>
        </w:numPr>
        <w:ind w:left="1077" w:hanging="357"/>
        <w:contextualSpacing/>
      </w:pPr>
      <w:r w:rsidRPr="00C13A3A">
        <w:t>first, when UHL asked bidders to reconfirm their prices after it observed a significant pricing outlier in one of the bids; and</w:t>
      </w:r>
    </w:p>
    <w:p w14:paraId="32E1D0C2" w14:textId="45CB95EF" w:rsidR="00116C42" w:rsidRDefault="00FE77DC" w:rsidP="004C2B1F">
      <w:pPr>
        <w:pStyle w:val="ListParagraph"/>
        <w:numPr>
          <w:ilvl w:val="0"/>
          <w:numId w:val="13"/>
        </w:numPr>
        <w:spacing w:line="276" w:lineRule="auto"/>
        <w:ind w:left="1077" w:hanging="357"/>
      </w:pPr>
      <w:r>
        <w:t xml:space="preserve">second, when </w:t>
      </w:r>
      <w:r w:rsidR="004855CC">
        <w:t xml:space="preserve">comparing </w:t>
      </w:r>
      <w:r w:rsidR="00B57FC5">
        <w:t>18 Week Support’s pricing proposal to other bidders’ prices.</w:t>
      </w:r>
    </w:p>
    <w:p w14:paraId="09FEB7E7" w14:textId="205EEAC1" w:rsidR="00724538" w:rsidRDefault="00D5551F" w:rsidP="00614391">
      <w:pPr>
        <w:pStyle w:val="ListParagraph"/>
        <w:spacing w:line="276" w:lineRule="auto"/>
        <w:ind w:left="567" w:hanging="567"/>
      </w:pPr>
      <w:r>
        <w:t xml:space="preserve">In relation to the pricing </w:t>
      </w:r>
      <w:r w:rsidR="00C35EE8">
        <w:t>outlier</w:t>
      </w:r>
      <w:r>
        <w:t xml:space="preserve">, </w:t>
      </w:r>
      <w:r w:rsidR="00724538">
        <w:t xml:space="preserve">UHL told the Panel that one bidder offered a 79% discount to the tariff, which </w:t>
      </w:r>
      <w:r w:rsidR="00254F4D">
        <w:t xml:space="preserve">UHL regarded as both very </w:t>
      </w:r>
      <w:r w:rsidR="00DB15A6">
        <w:t>large</w:t>
      </w:r>
      <w:r w:rsidR="00724538">
        <w:t xml:space="preserve"> and </w:t>
      </w:r>
      <w:r w:rsidR="00254F4D">
        <w:t xml:space="preserve">significantly greater than the </w:t>
      </w:r>
      <w:r w:rsidR="00DB15A6">
        <w:t>discount</w:t>
      </w:r>
      <w:r w:rsidR="00254F4D">
        <w:t>s offered by other bidders. A</w:t>
      </w:r>
      <w:r w:rsidR="00724538">
        <w:t>s a result</w:t>
      </w:r>
      <w:r w:rsidR="00254F4D">
        <w:t>,</w:t>
      </w:r>
      <w:r w:rsidR="00724538">
        <w:t xml:space="preserve"> </w:t>
      </w:r>
      <w:r w:rsidR="0030172B">
        <w:t>UHL</w:t>
      </w:r>
      <w:r w:rsidR="00724538">
        <w:t xml:space="preserve"> asked all bidders to confirm their understanding of how pricing proposals should be formulated. This resulted in th</w:t>
      </w:r>
      <w:r w:rsidR="008E5B13">
        <w:t>e</w:t>
      </w:r>
      <w:r w:rsidR="00724538">
        <w:t xml:space="preserve"> bidder clarifying that they were offering a 2</w:t>
      </w:r>
      <w:r w:rsidR="00D867A4">
        <w:t>1</w:t>
      </w:r>
      <w:r w:rsidR="00724538">
        <w:t>%, not 79%, discount</w:t>
      </w:r>
      <w:r w:rsidR="00F97955">
        <w:t xml:space="preserve"> to the NHS tariff</w:t>
      </w:r>
      <w:r w:rsidR="00724538">
        <w:t>.</w:t>
      </w:r>
      <w:r w:rsidR="00F56519">
        <w:rPr>
          <w:rStyle w:val="FootnoteReference"/>
        </w:rPr>
        <w:footnoteReference w:id="33"/>
      </w:r>
    </w:p>
    <w:p w14:paraId="3F62442A" w14:textId="06478368" w:rsidR="007E7804" w:rsidRDefault="00B519F2" w:rsidP="00614391">
      <w:pPr>
        <w:pStyle w:val="ListParagraph"/>
        <w:spacing w:line="276" w:lineRule="auto"/>
        <w:ind w:left="567" w:hanging="567"/>
      </w:pPr>
      <w:r>
        <w:t xml:space="preserve">In </w:t>
      </w:r>
      <w:r w:rsidR="008F49C8">
        <w:t>assessing the sustainability of</w:t>
      </w:r>
      <w:r>
        <w:t xml:space="preserve"> 18 Week Support’s pricing proposal, UHL </w:t>
      </w:r>
      <w:r w:rsidR="008E3B7E">
        <w:t xml:space="preserve">said that, </w:t>
      </w:r>
      <w:r w:rsidR="001C11DE">
        <w:t xml:space="preserve">following </w:t>
      </w:r>
      <w:r w:rsidR="006B5FAC">
        <w:t xml:space="preserve">the rectification of the outlying pricing proposal, </w:t>
      </w:r>
      <w:r w:rsidR="00C85D49">
        <w:t>“the bids submitted provided a range of commercial values that did not deviate drastically from the market norm,</w:t>
      </w:r>
      <w:r w:rsidR="00652540">
        <w:t xml:space="preserve"> </w:t>
      </w:r>
      <w:r w:rsidR="00C85D49">
        <w:t>and this included the successful bid</w:t>
      </w:r>
      <w:r w:rsidR="005E48C9">
        <w:t xml:space="preserve">. </w:t>
      </w:r>
      <w:proofErr w:type="gramStart"/>
      <w:r w:rsidR="005E48C9">
        <w:t>Therefore</w:t>
      </w:r>
      <w:proofErr w:type="gramEnd"/>
      <w:r w:rsidR="005E48C9">
        <w:t xml:space="preserve"> the successful bid was deemed sustainable for the value and nature of the contract”.</w:t>
      </w:r>
      <w:r w:rsidR="00927B24">
        <w:t xml:space="preserve"> UHL also said that “the sustainability of the successful bid was evaluated on the basis of the view of market value which was provided by the submission of bids from the suppliers within the marketplace”.</w:t>
      </w:r>
      <w:r w:rsidR="00DC4834">
        <w:rPr>
          <w:rStyle w:val="FootnoteReference"/>
        </w:rPr>
        <w:footnoteReference w:id="34"/>
      </w:r>
    </w:p>
    <w:p w14:paraId="1DA0BDAD" w14:textId="04BD29D0" w:rsidR="003A56A0" w:rsidRPr="00063C99" w:rsidRDefault="003A56A0" w:rsidP="00614391">
      <w:pPr>
        <w:pStyle w:val="ListParagraph"/>
        <w:spacing w:line="276" w:lineRule="auto"/>
        <w:ind w:left="567" w:hanging="567"/>
      </w:pPr>
      <w:r>
        <w:t xml:space="preserve">UHL further told the Panel that </w:t>
      </w:r>
      <w:r w:rsidRPr="00063C99">
        <w:t>“</w:t>
      </w:r>
      <w:r w:rsidRPr="002625C2">
        <w:t xml:space="preserve">the lowest bidder (who turned out to be the successful bidder in the process) were not seen to be ‘abnormally low’ given the bids of the other </w:t>
      </w:r>
      <w:r w:rsidRPr="002625C2">
        <w:lastRenderedPageBreak/>
        <w:t xml:space="preserve">providers who took </w:t>
      </w:r>
      <w:proofErr w:type="gramStart"/>
      <w:r w:rsidRPr="002625C2">
        <w:t>part,</w:t>
      </w:r>
      <w:proofErr w:type="gramEnd"/>
      <w:r w:rsidRPr="002625C2">
        <w:t xml:space="preserve"> therefore it was felt that the bid received was sustainable within that market value”.</w:t>
      </w:r>
      <w:r w:rsidRPr="002625C2">
        <w:rPr>
          <w:rStyle w:val="FootnoteReference"/>
        </w:rPr>
        <w:footnoteReference w:id="35"/>
      </w:r>
    </w:p>
    <w:p w14:paraId="639ECDEF" w14:textId="097D2EEE" w:rsidR="00B519F2" w:rsidRDefault="00D17B61" w:rsidP="00614391">
      <w:pPr>
        <w:pStyle w:val="ListParagraph"/>
        <w:spacing w:line="276" w:lineRule="auto"/>
        <w:ind w:left="567" w:hanging="567"/>
      </w:pPr>
      <w:r>
        <w:t xml:space="preserve">The Panel notes that </w:t>
      </w:r>
      <w:r w:rsidR="00107066">
        <w:t>UHL</w:t>
      </w:r>
      <w:r w:rsidR="00E10CC5">
        <w:t xml:space="preserve">’s assessment of whether the price offered by a bidder </w:t>
      </w:r>
      <w:r w:rsidR="008B3209">
        <w:t xml:space="preserve">raised </w:t>
      </w:r>
      <w:r w:rsidR="00C7670A">
        <w:t xml:space="preserve">sustainability </w:t>
      </w:r>
      <w:r w:rsidR="008B3209">
        <w:t xml:space="preserve">issues </w:t>
      </w:r>
      <w:r w:rsidR="00C7670A">
        <w:t>was</w:t>
      </w:r>
      <w:r w:rsidR="008B3209">
        <w:t xml:space="preserve"> based on the relationship between that bidder</w:t>
      </w:r>
      <w:r w:rsidR="00005644">
        <w:t>’</w:t>
      </w:r>
      <w:r w:rsidR="008B3209">
        <w:t xml:space="preserve">s price and the prices </w:t>
      </w:r>
      <w:r w:rsidR="00AE1466">
        <w:t xml:space="preserve">submitted </w:t>
      </w:r>
      <w:r w:rsidR="008B3209">
        <w:t xml:space="preserve">by other bidders during </w:t>
      </w:r>
      <w:r w:rsidR="00AE1466">
        <w:t>the provider selection process</w:t>
      </w:r>
      <w:r w:rsidR="008B3209">
        <w:t xml:space="preserve">. </w:t>
      </w:r>
      <w:r w:rsidR="00793EF8">
        <w:t xml:space="preserve">UHL </w:t>
      </w:r>
      <w:r w:rsidR="00B519F2">
        <w:t xml:space="preserve">told the Panel that it was not possible to </w:t>
      </w:r>
      <w:r w:rsidR="0077326B">
        <w:t xml:space="preserve">more </w:t>
      </w:r>
      <w:r w:rsidR="00EB4567">
        <w:t>broad</w:t>
      </w:r>
      <w:r w:rsidR="0077326B">
        <w:t>ly</w:t>
      </w:r>
      <w:r w:rsidR="00EB4567">
        <w:t xml:space="preserve"> benchmark the prices offered by suppliers</w:t>
      </w:r>
      <w:r w:rsidR="00247575">
        <w:t xml:space="preserve"> (e.g. against other contracts</w:t>
      </w:r>
      <w:r w:rsidR="00EB4567">
        <w:t>)</w:t>
      </w:r>
      <w:r w:rsidR="0047493D">
        <w:t xml:space="preserve"> </w:t>
      </w:r>
      <w:r w:rsidR="00247575">
        <w:t xml:space="preserve">because </w:t>
      </w:r>
      <w:r w:rsidR="0047493D">
        <w:t>UHL’s</w:t>
      </w:r>
      <w:r w:rsidR="00247575">
        <w:t xml:space="preserve"> insourcing managed </w:t>
      </w:r>
      <w:r w:rsidR="00F55A92">
        <w:t xml:space="preserve">service </w:t>
      </w:r>
      <w:r w:rsidR="00247575">
        <w:t>contract is the first of its kind</w:t>
      </w:r>
      <w:r w:rsidR="0047493D">
        <w:t>, and</w:t>
      </w:r>
      <w:r w:rsidR="00296768">
        <w:t xml:space="preserve"> there are no comparable arrangements </w:t>
      </w:r>
      <w:r w:rsidR="00F54F2D">
        <w:t>elsewhere</w:t>
      </w:r>
      <w:r w:rsidR="00296768">
        <w:t>.</w:t>
      </w:r>
      <w:r w:rsidR="00E80BD6">
        <w:rPr>
          <w:rStyle w:val="FootnoteReference"/>
        </w:rPr>
        <w:footnoteReference w:id="36"/>
      </w:r>
    </w:p>
    <w:p w14:paraId="5FEE67F3" w14:textId="49107A3E" w:rsidR="00773744" w:rsidRDefault="00773744" w:rsidP="00DE1D05">
      <w:pPr>
        <w:pStyle w:val="ListParagraph"/>
        <w:spacing w:line="276" w:lineRule="auto"/>
        <w:ind w:left="567" w:hanging="567"/>
      </w:pPr>
      <w:r>
        <w:t xml:space="preserve">The Panel </w:t>
      </w:r>
      <w:r w:rsidR="00A43BFE">
        <w:t>also</w:t>
      </w:r>
      <w:r>
        <w:t xml:space="preserve"> notes that the </w:t>
      </w:r>
      <w:r w:rsidR="00EC2AFA">
        <w:t>discount to the NHS tariff</w:t>
      </w:r>
      <w:r>
        <w:t xml:space="preserve"> offered by </w:t>
      </w:r>
      <w:r w:rsidR="00EC2AFA">
        <w:t xml:space="preserve">18 Week Support was </w:t>
      </w:r>
      <w:r w:rsidR="00EC2AFA" w:rsidRPr="009E03BD">
        <w:t>around [</w:t>
      </w:r>
      <w:r w:rsidR="00A60116" w:rsidRPr="009E03BD">
        <w:sym w:font="Wingdings" w:char="F022"/>
      </w:r>
      <w:r w:rsidR="00B24A7D" w:rsidRPr="009E03BD">
        <w:t>]</w:t>
      </w:r>
      <w:r w:rsidR="00E97E88" w:rsidRPr="009E03BD">
        <w:rPr>
          <w:rStyle w:val="FootnoteReference"/>
        </w:rPr>
        <w:footnoteReference w:id="37"/>
      </w:r>
      <w:r w:rsidR="00783E4A" w:rsidRPr="009E03BD">
        <w:t xml:space="preserve"> percentage</w:t>
      </w:r>
      <w:r w:rsidR="00783E4A" w:rsidRPr="00B24A7D">
        <w:t xml:space="preserve"> points</w:t>
      </w:r>
      <w:r w:rsidR="00783E4A" w:rsidRPr="00E016E3">
        <w:t xml:space="preserve"> </w:t>
      </w:r>
      <w:r w:rsidR="00A43BFE">
        <w:t>greater</w:t>
      </w:r>
      <w:r w:rsidR="00EC2AFA">
        <w:t xml:space="preserve"> than the next lowest discount </w:t>
      </w:r>
      <w:r w:rsidR="00527304">
        <w:t xml:space="preserve">offered by a bidder. The Panel’s view is that </w:t>
      </w:r>
      <w:r w:rsidR="004C442D">
        <w:t xml:space="preserve">this raises questions </w:t>
      </w:r>
      <w:r w:rsidR="00B4473E">
        <w:t>about UHL’s judgement that this price “did not deviate drastically</w:t>
      </w:r>
      <w:r w:rsidR="00297DE2">
        <w:t>”</w:t>
      </w:r>
      <w:r w:rsidR="00B4473E">
        <w:t xml:space="preserve"> from </w:t>
      </w:r>
      <w:r w:rsidR="00297DE2">
        <w:t>those offered by other bidders</w:t>
      </w:r>
      <w:r w:rsidR="00B4473E">
        <w:t>.</w:t>
      </w:r>
    </w:p>
    <w:p w14:paraId="3504C034" w14:textId="79EF4FF3" w:rsidR="00600C93" w:rsidRDefault="00383A5C" w:rsidP="00DE1D05">
      <w:pPr>
        <w:pStyle w:val="ListParagraph"/>
        <w:spacing w:line="276" w:lineRule="auto"/>
        <w:ind w:left="567" w:hanging="567"/>
      </w:pPr>
      <w:r>
        <w:t xml:space="preserve">The Panel asked UHL whether </w:t>
      </w:r>
      <w:r w:rsidR="00600C93">
        <w:t xml:space="preserve">the discounts offered by bidders were sufficient </w:t>
      </w:r>
      <w:r w:rsidR="003D3F5B">
        <w:t>for UHL to cover its own costs (e.g. overheads, consumables)</w:t>
      </w:r>
      <w:r w:rsidR="005719C9">
        <w:t xml:space="preserve"> for the delivery of patient care. </w:t>
      </w:r>
      <w:r w:rsidR="00BA260D">
        <w:t xml:space="preserve">In response, UHL told the Panel that it works </w:t>
      </w:r>
      <w:r w:rsidR="00E929D0">
        <w:t xml:space="preserve">on a minimum discount </w:t>
      </w:r>
      <w:r w:rsidR="00E929D0" w:rsidRPr="009E03BD">
        <w:t>of [</w:t>
      </w:r>
      <w:r w:rsidR="00A60116" w:rsidRPr="009E03BD">
        <w:sym w:font="Wingdings" w:char="F022"/>
      </w:r>
      <w:r w:rsidR="00B24A7D" w:rsidRPr="009E03BD">
        <w:t>]</w:t>
      </w:r>
      <w:r w:rsidR="00E929D0" w:rsidRPr="009E03BD">
        <w:t>%</w:t>
      </w:r>
      <w:r w:rsidR="00C865E6" w:rsidRPr="009E03BD">
        <w:rPr>
          <w:rStyle w:val="FootnoteReference"/>
        </w:rPr>
        <w:footnoteReference w:id="38"/>
      </w:r>
      <w:r w:rsidR="00C865E6" w:rsidRPr="009E03BD">
        <w:t xml:space="preserve"> </w:t>
      </w:r>
      <w:r w:rsidR="00E929D0" w:rsidRPr="009E03BD">
        <w:t>for overheads to cover its costs</w:t>
      </w:r>
      <w:r w:rsidR="005963FB" w:rsidRPr="009E03BD">
        <w:t xml:space="preserve"> including consumables</w:t>
      </w:r>
      <w:r w:rsidR="00EC5F67" w:rsidRPr="009E03BD">
        <w:t>, but where consumables are</w:t>
      </w:r>
      <w:r w:rsidR="00EC5F67">
        <w:t xml:space="preserve"> not </w:t>
      </w:r>
      <w:r w:rsidR="00783E4A">
        <w:t>provided by UHL</w:t>
      </w:r>
      <w:r w:rsidR="00EC5F67">
        <w:t xml:space="preserve"> the </w:t>
      </w:r>
      <w:r w:rsidR="00886AB8">
        <w:t xml:space="preserve">required </w:t>
      </w:r>
      <w:r w:rsidR="00EC5F67">
        <w:t>discount is much lower</w:t>
      </w:r>
      <w:r w:rsidR="00197C32">
        <w:t>. UHL said that this “was taken into consideration when scoring bids, but was not dwelt upon because the majority of bids received were above this discount level”.</w:t>
      </w:r>
      <w:r w:rsidR="003D4F11">
        <w:rPr>
          <w:rStyle w:val="FootnoteReference"/>
        </w:rPr>
        <w:footnoteReference w:id="39"/>
      </w:r>
    </w:p>
    <w:p w14:paraId="17243AFA" w14:textId="0088E2CF" w:rsidR="00383A5C" w:rsidRDefault="00DA712F" w:rsidP="00DE1D05">
      <w:pPr>
        <w:pStyle w:val="ListParagraph"/>
        <w:spacing w:line="276" w:lineRule="auto"/>
        <w:ind w:left="567" w:hanging="567"/>
      </w:pPr>
      <w:r>
        <w:t xml:space="preserve">The Panel also asked UHL whether </w:t>
      </w:r>
      <w:r w:rsidR="00383A5C">
        <w:t xml:space="preserve">it had analysed the likely cost of service provision </w:t>
      </w:r>
      <w:r>
        <w:t xml:space="preserve">for suppliers </w:t>
      </w:r>
      <w:r w:rsidR="00383A5C">
        <w:t xml:space="preserve">to allow it to assess whether </w:t>
      </w:r>
      <w:r w:rsidR="00481320">
        <w:t>the price offered by 18 Week</w:t>
      </w:r>
      <w:r w:rsidR="00AA3F74">
        <w:t xml:space="preserve"> Support</w:t>
      </w:r>
      <w:r w:rsidR="00481320">
        <w:t xml:space="preserve"> would be </w:t>
      </w:r>
      <w:r w:rsidR="00083BD5">
        <w:t>sufficient</w:t>
      </w:r>
      <w:r w:rsidR="00481320">
        <w:t xml:space="preserve"> </w:t>
      </w:r>
      <w:r w:rsidR="7FBA9374">
        <w:t xml:space="preserve">for the supplier </w:t>
      </w:r>
      <w:r w:rsidR="00481320">
        <w:t xml:space="preserve">to cover its </w:t>
      </w:r>
      <w:r w:rsidR="006FFEB8">
        <w:t xml:space="preserve">own </w:t>
      </w:r>
      <w:r w:rsidR="00481320">
        <w:t xml:space="preserve">costs. UHL told the Panel that </w:t>
      </w:r>
      <w:r w:rsidR="00F6328B">
        <w:t xml:space="preserve">it had not carried out such </w:t>
      </w:r>
      <w:r w:rsidR="00081F0C">
        <w:t xml:space="preserve">an </w:t>
      </w:r>
      <w:r w:rsidR="00F6328B">
        <w:t>analysis</w:t>
      </w:r>
      <w:r w:rsidR="004D22AF">
        <w:t xml:space="preserve"> and noted the difficulty of such an exercise </w:t>
      </w:r>
      <w:r w:rsidR="00726CC8">
        <w:t>without a working knowledge of 18 Week</w:t>
      </w:r>
      <w:r w:rsidR="006F0CE8">
        <w:t xml:space="preserve"> </w:t>
      </w:r>
      <w:r w:rsidR="00726CC8">
        <w:t>Support’s overheads and full business model</w:t>
      </w:r>
      <w:r w:rsidR="00F6328B">
        <w:t>.</w:t>
      </w:r>
      <w:r w:rsidR="00726CC8">
        <w:rPr>
          <w:rStyle w:val="FootnoteReference"/>
        </w:rPr>
        <w:footnoteReference w:id="40"/>
      </w:r>
    </w:p>
    <w:p w14:paraId="1C79F26B" w14:textId="5EA3C946" w:rsidR="00A77389" w:rsidRDefault="00A77389" w:rsidP="00DE1D05">
      <w:pPr>
        <w:pStyle w:val="ListParagraph"/>
        <w:spacing w:line="276" w:lineRule="auto"/>
        <w:ind w:left="567" w:hanging="567"/>
      </w:pPr>
      <w:r w:rsidRPr="00A77389">
        <w:t xml:space="preserve">The Panel further notes that UHL did not ask bidders </w:t>
      </w:r>
      <w:r w:rsidR="00E02B1C">
        <w:t>to provide costing</w:t>
      </w:r>
      <w:r w:rsidR="00F8518C">
        <w:t xml:space="preserve"> information in support of their pricing proposals</w:t>
      </w:r>
      <w:r w:rsidRPr="00A77389">
        <w:t>, and in doing so deprived itself of the ability to assess whether the prices offered by suppliers were consistent with the resourcing levels that suppliers were proposing.</w:t>
      </w:r>
    </w:p>
    <w:p w14:paraId="6CDB65B8" w14:textId="3A88AD4E" w:rsidR="000B437F" w:rsidRDefault="000B437F" w:rsidP="000B437F">
      <w:pPr>
        <w:pStyle w:val="ListParagraph"/>
        <w:spacing w:line="276" w:lineRule="auto"/>
        <w:ind w:left="567" w:hanging="567"/>
      </w:pPr>
      <w:r>
        <w:t xml:space="preserve">The Panel finally notes that 18 Week Support, in confirming its pricing proposal, said that </w:t>
      </w:r>
      <w:r w:rsidRPr="009E03BD">
        <w:t>“</w:t>
      </w:r>
      <w:r w:rsidR="00A60116" w:rsidRPr="009E03BD">
        <w:t>[</w:t>
      </w:r>
      <w:r w:rsidR="00A60116" w:rsidRPr="009E03BD">
        <w:sym w:font="Wingdings" w:char="F022"/>
      </w:r>
      <w:r w:rsidR="00A60116" w:rsidRPr="009E03BD">
        <w:t>]</w:t>
      </w:r>
      <w:r w:rsidRPr="009E03BD">
        <w:t>”</w:t>
      </w:r>
      <w:r w:rsidR="00EC4D57" w:rsidRPr="009E03BD">
        <w:rPr>
          <w:rStyle w:val="FootnoteReference"/>
        </w:rPr>
        <w:footnoteReference w:id="41"/>
      </w:r>
      <w:r w:rsidRPr="009E03BD">
        <w:t>.</w:t>
      </w:r>
      <w:r>
        <w:rPr>
          <w:rStyle w:val="FootnoteReference"/>
        </w:rPr>
        <w:footnoteReference w:id="42"/>
      </w:r>
      <w:r w:rsidR="00583F52">
        <w:t xml:space="preserve"> There is no evidence, however, that this statement was </w:t>
      </w:r>
      <w:proofErr w:type="gramStart"/>
      <w:r w:rsidR="00583F52">
        <w:t>taken into account</w:t>
      </w:r>
      <w:proofErr w:type="gramEnd"/>
      <w:r w:rsidR="00583F52">
        <w:t xml:space="preserve"> by UHL when assessing bids.</w:t>
      </w:r>
    </w:p>
    <w:p w14:paraId="4A436413" w14:textId="2642F9F4" w:rsidR="00DD79D7" w:rsidRDefault="00C07A44" w:rsidP="00DE1D05">
      <w:pPr>
        <w:pStyle w:val="ListParagraph"/>
        <w:spacing w:line="276" w:lineRule="auto"/>
        <w:ind w:left="567" w:hanging="567"/>
      </w:pPr>
      <w:r>
        <w:t>In summary, the Panel</w:t>
      </w:r>
      <w:r w:rsidR="00B73F8E">
        <w:t xml:space="preserve"> has concerns that the discount offered by </w:t>
      </w:r>
      <w:r w:rsidR="00ED71C5">
        <w:t>18 Week Support</w:t>
      </w:r>
      <w:r w:rsidR="00B73F8E">
        <w:t xml:space="preserve"> was </w:t>
      </w:r>
      <w:r w:rsidR="009D6570">
        <w:t>markedly</w:t>
      </w:r>
      <w:r w:rsidR="00B73F8E">
        <w:t xml:space="preserve"> greater than other bidders</w:t>
      </w:r>
      <w:r w:rsidR="00F560C5">
        <w:t xml:space="preserve"> and UHL had no effective means of assessing whether this had implications for the sustainability of the </w:t>
      </w:r>
      <w:r w:rsidR="00ED71C5">
        <w:t xml:space="preserve">service </w:t>
      </w:r>
      <w:r w:rsidR="00F560C5">
        <w:t>offered by 18 Week Support</w:t>
      </w:r>
      <w:r w:rsidR="00ED71C5">
        <w:t xml:space="preserve"> over the term of the contract.</w:t>
      </w:r>
    </w:p>
    <w:p w14:paraId="773E29CC" w14:textId="3E062E4F" w:rsidR="005224F5" w:rsidRPr="009A7815" w:rsidRDefault="00F01452" w:rsidP="009A7815">
      <w:pPr>
        <w:keepNext/>
        <w:spacing w:before="240" w:line="276" w:lineRule="auto"/>
        <w:rPr>
          <w:b/>
          <w:bCs/>
        </w:rPr>
      </w:pPr>
      <w:r>
        <w:rPr>
          <w:b/>
          <w:bCs/>
        </w:rPr>
        <w:lastRenderedPageBreak/>
        <w:t>Evaluation</w:t>
      </w:r>
      <w:r w:rsidR="00230027">
        <w:rPr>
          <w:b/>
          <w:bCs/>
        </w:rPr>
        <w:t xml:space="preserve"> of 18 Week Support’s </w:t>
      </w:r>
      <w:r w:rsidR="00A662D6">
        <w:rPr>
          <w:b/>
          <w:bCs/>
        </w:rPr>
        <w:t xml:space="preserve">financial </w:t>
      </w:r>
      <w:r w:rsidR="006B4110">
        <w:rPr>
          <w:b/>
          <w:bCs/>
        </w:rPr>
        <w:t>sustainability</w:t>
      </w:r>
    </w:p>
    <w:p w14:paraId="72F02EDD" w14:textId="3DAF6CB7" w:rsidR="00B1156A" w:rsidRDefault="005D4C82" w:rsidP="00DA0A3A">
      <w:pPr>
        <w:pStyle w:val="ListParagraph"/>
        <w:spacing w:line="276" w:lineRule="auto"/>
        <w:ind w:left="567" w:hanging="567"/>
      </w:pPr>
      <w:r>
        <w:t xml:space="preserve">As part of the procurement process, </w:t>
      </w:r>
      <w:r w:rsidR="006B4110">
        <w:t xml:space="preserve">UHL reviewed </w:t>
      </w:r>
      <w:r w:rsidR="00782956">
        <w:t xml:space="preserve">18 Week Support’s financial position </w:t>
      </w:r>
      <w:r w:rsidR="00624CD9">
        <w:t xml:space="preserve">and risk of financial failure </w:t>
      </w:r>
      <w:r w:rsidR="00782956">
        <w:t xml:space="preserve">via </w:t>
      </w:r>
      <w:r w:rsidR="006B4110">
        <w:t xml:space="preserve">a </w:t>
      </w:r>
      <w:r w:rsidR="006B4110" w:rsidRPr="00E1749E">
        <w:t>Credit</w:t>
      </w:r>
      <w:r w:rsidR="006B4110">
        <w:t xml:space="preserve"> S</w:t>
      </w:r>
      <w:r w:rsidR="006B4110" w:rsidRPr="00E1749E">
        <w:t>afe report</w:t>
      </w:r>
      <w:r w:rsidR="00DA0A3A">
        <w:t xml:space="preserve">. This </w:t>
      </w:r>
      <w:r w:rsidR="006B4110">
        <w:t>report included five years of financial information for 18 Week Support, including turnover, pre-tax profit, shareholder funds and number of employees. The report describes 18</w:t>
      </w:r>
      <w:r w:rsidR="00E44695">
        <w:t> </w:t>
      </w:r>
      <w:r w:rsidR="006B4110">
        <w:t>Week Support as ‘very low risk’ in terms of the risk of financial failure.</w:t>
      </w:r>
      <w:r w:rsidR="00DA0A3A">
        <w:t xml:space="preserve"> A copy of this report was appended to UHL’s procurement tender report with a recommendation to award the contract to 18 Week Support.</w:t>
      </w:r>
      <w:r w:rsidR="00DA0A3A">
        <w:rPr>
          <w:rStyle w:val="FootnoteReference"/>
        </w:rPr>
        <w:footnoteReference w:id="43"/>
      </w:r>
    </w:p>
    <w:p w14:paraId="34A93188" w14:textId="1C005A69" w:rsidR="00291E33" w:rsidRDefault="00291E33" w:rsidP="00BC315A">
      <w:pPr>
        <w:pStyle w:val="ListParagraph"/>
        <w:spacing w:line="276" w:lineRule="auto"/>
        <w:ind w:left="567" w:hanging="567"/>
      </w:pPr>
      <w:r>
        <w:t>UHL told the Panel that given the size of 18 Week Support, with a turnover of £66.5m and pre-tax profit of £10.1m in 2024, “the assumption was made that they would not take a decision which would jeopardise their standing as a company by taking on a contract which would not be profitable to them”.</w:t>
      </w:r>
      <w:r>
        <w:rPr>
          <w:rStyle w:val="FootnoteReference"/>
        </w:rPr>
        <w:footnoteReference w:id="44"/>
      </w:r>
    </w:p>
    <w:p w14:paraId="683A70E1" w14:textId="577C0F03" w:rsidR="00027B64" w:rsidRDefault="00027B64" w:rsidP="00BC315A">
      <w:pPr>
        <w:pStyle w:val="ListParagraph"/>
        <w:spacing w:line="276" w:lineRule="auto"/>
        <w:ind w:left="567" w:hanging="567"/>
      </w:pPr>
      <w:r>
        <w:t xml:space="preserve">The Panel’s view is that UHL’s review </w:t>
      </w:r>
      <w:r w:rsidR="00624CD9">
        <w:t xml:space="preserve">of </w:t>
      </w:r>
      <w:r w:rsidR="000165A3">
        <w:t xml:space="preserve">18 Week Support’s financial </w:t>
      </w:r>
      <w:r w:rsidR="00624CD9">
        <w:t>position and risk of financial failure</w:t>
      </w:r>
      <w:r w:rsidR="000165A3">
        <w:t xml:space="preserve"> is further evidence of it acting with a view to securing the needs of </w:t>
      </w:r>
      <w:r w:rsidR="00ED648F">
        <w:t>the people who would be using its service.</w:t>
      </w:r>
    </w:p>
    <w:p w14:paraId="5C951479" w14:textId="3EA1B765" w:rsidR="00EC0F72" w:rsidRPr="00EE6E45" w:rsidRDefault="00231975" w:rsidP="00EC0F72">
      <w:pPr>
        <w:keepNext/>
        <w:spacing w:before="240" w:line="276" w:lineRule="auto"/>
        <w:rPr>
          <w:b/>
          <w:bCs/>
        </w:rPr>
      </w:pPr>
      <w:r>
        <w:rPr>
          <w:b/>
          <w:bCs/>
        </w:rPr>
        <w:t xml:space="preserve">Performance and risk management plans </w:t>
      </w:r>
      <w:r w:rsidR="00E64A30">
        <w:rPr>
          <w:b/>
          <w:bCs/>
        </w:rPr>
        <w:t>for</w:t>
      </w:r>
      <w:r>
        <w:rPr>
          <w:b/>
          <w:bCs/>
        </w:rPr>
        <w:t xml:space="preserve"> the </w:t>
      </w:r>
      <w:r w:rsidR="00E64A30">
        <w:rPr>
          <w:b/>
          <w:bCs/>
        </w:rPr>
        <w:t>managed insourcing services contract</w:t>
      </w:r>
    </w:p>
    <w:p w14:paraId="798B536F" w14:textId="56A6FDDC" w:rsidR="00D11249" w:rsidRDefault="00D11249" w:rsidP="00BC315A">
      <w:pPr>
        <w:pStyle w:val="ListParagraph"/>
        <w:spacing w:line="276" w:lineRule="auto"/>
        <w:ind w:left="567" w:hanging="567"/>
      </w:pPr>
      <w:bookmarkStart w:id="15" w:name="_Ref218592301"/>
      <w:r>
        <w:t xml:space="preserve">UHL’s internal </w:t>
      </w:r>
      <w:r w:rsidR="008E5E17">
        <w:t>approval process for award</w:t>
      </w:r>
      <w:r w:rsidR="005E68F5">
        <w:t xml:space="preserve">ing </w:t>
      </w:r>
      <w:r w:rsidR="008E5E17">
        <w:t>the contract to 18 Week Support</w:t>
      </w:r>
      <w:r w:rsidR="00A82C6C">
        <w:t xml:space="preserve"> included discussions at meetings of UHL’s leadership team, the Finance and Investment Committee of UHL’s Board, and at the Board itself</w:t>
      </w:r>
      <w:r w:rsidR="00602B14">
        <w:t xml:space="preserve">. These discussions </w:t>
      </w:r>
      <w:r>
        <w:t>show that</w:t>
      </w:r>
      <w:r w:rsidR="003B1A85">
        <w:t xml:space="preserve"> </w:t>
      </w:r>
      <w:r w:rsidR="00602B14">
        <w:t xml:space="preserve">UHL </w:t>
      </w:r>
      <w:r>
        <w:t xml:space="preserve">recognised </w:t>
      </w:r>
      <w:r w:rsidR="00B16018">
        <w:t xml:space="preserve">that </w:t>
      </w:r>
      <w:r w:rsidR="00B63A72">
        <w:t xml:space="preserve">the </w:t>
      </w:r>
      <w:r w:rsidR="003B1A85">
        <w:t xml:space="preserve">new managed insourcing services contract gave rise to </w:t>
      </w:r>
      <w:r w:rsidR="00B16018">
        <w:t xml:space="preserve">risks to service sustainability, and </w:t>
      </w:r>
      <w:r w:rsidR="00B32124">
        <w:t xml:space="preserve">the </w:t>
      </w:r>
      <w:r w:rsidR="00B16018">
        <w:t>need to take steps to mitigate these risks.</w:t>
      </w:r>
      <w:bookmarkEnd w:id="15"/>
    </w:p>
    <w:p w14:paraId="0E5177E6" w14:textId="226373BF" w:rsidR="00AD7D0E" w:rsidRDefault="00BB40B3" w:rsidP="00BC315A">
      <w:pPr>
        <w:pStyle w:val="ListParagraph"/>
        <w:spacing w:after="120" w:line="276" w:lineRule="auto"/>
        <w:ind w:left="567" w:hanging="567"/>
      </w:pPr>
      <w:r>
        <w:t>A</w:t>
      </w:r>
      <w:r w:rsidR="00AD7D0E">
        <w:t xml:space="preserve"> </w:t>
      </w:r>
      <w:r>
        <w:t>paper</w:t>
      </w:r>
      <w:r w:rsidR="00AD7D0E">
        <w:t xml:space="preserve"> </w:t>
      </w:r>
      <w:r w:rsidR="00403C31">
        <w:t xml:space="preserve">taken </w:t>
      </w:r>
      <w:r w:rsidR="00AD7D0E">
        <w:t>to UHL’s leadership team</w:t>
      </w:r>
      <w:r>
        <w:t xml:space="preserve"> on 22 July 2025</w:t>
      </w:r>
      <w:r w:rsidR="00403C31">
        <w:t xml:space="preserve">, recommending </w:t>
      </w:r>
      <w:r w:rsidR="00AD7D0E">
        <w:t xml:space="preserve">the contract award </w:t>
      </w:r>
      <w:r w:rsidR="00403C31">
        <w:t>to</w:t>
      </w:r>
      <w:r w:rsidR="00AD7D0E">
        <w:t xml:space="preserve"> 18 Week Support</w:t>
      </w:r>
      <w:r w:rsidR="00403C31">
        <w:t>,</w:t>
      </w:r>
      <w:r w:rsidR="00AD7D0E">
        <w:t xml:space="preserve"> said that:</w:t>
      </w:r>
    </w:p>
    <w:p w14:paraId="66715E89" w14:textId="77777777" w:rsidR="00AD7D0E" w:rsidRPr="006A2569" w:rsidRDefault="00AD7D0E" w:rsidP="0017668F">
      <w:pPr>
        <w:pStyle w:val="ListParagraph"/>
        <w:numPr>
          <w:ilvl w:val="0"/>
          <w:numId w:val="0"/>
        </w:numPr>
        <w:spacing w:line="276" w:lineRule="auto"/>
        <w:ind w:left="851"/>
        <w:rPr>
          <w:sz w:val="21"/>
          <w:szCs w:val="21"/>
        </w:rPr>
      </w:pPr>
      <w:r w:rsidRPr="006A2569">
        <w:rPr>
          <w:sz w:val="21"/>
          <w:szCs w:val="21"/>
        </w:rPr>
        <w:t>“a stringent set of Key Performance Indicators (KPIs) will be in place to ensure that the service is delivered to a high standard … It is anticipated that this contract, due to its size and nature will require close contract management, which will need to be led through the various services using the contract”.</w:t>
      </w:r>
      <w:r w:rsidRPr="006A2569">
        <w:rPr>
          <w:rStyle w:val="FootnoteReference"/>
          <w:sz w:val="21"/>
          <w:szCs w:val="21"/>
        </w:rPr>
        <w:footnoteReference w:id="45"/>
      </w:r>
    </w:p>
    <w:p w14:paraId="31A83417" w14:textId="256167E0" w:rsidR="00AD7D0E" w:rsidRDefault="00DA3453" w:rsidP="00BC315A">
      <w:pPr>
        <w:pStyle w:val="ListParagraph"/>
        <w:spacing w:after="120" w:line="276" w:lineRule="auto"/>
        <w:ind w:left="567" w:hanging="567"/>
      </w:pPr>
      <w:bookmarkStart w:id="16" w:name="_Ref218592202"/>
      <w:r>
        <w:t>The paper also laid out o</w:t>
      </w:r>
      <w:r w:rsidR="00AD7D0E">
        <w:t xml:space="preserve">ptions for managing poor performance, </w:t>
      </w:r>
      <w:r w:rsidR="008020BF">
        <w:t xml:space="preserve">noting that it would be </w:t>
      </w:r>
      <w:r w:rsidR="00B77D93">
        <w:t xml:space="preserve">relatively </w:t>
      </w:r>
      <w:r w:rsidR="00E276FE">
        <w:t>easy to switch to a similar service from another provider (following a re-tender of the Workforce Alliance framework as to include a managed service lot)</w:t>
      </w:r>
      <w:r w:rsidR="00414296">
        <w:t>,</w:t>
      </w:r>
      <w:r w:rsidR="00E276FE">
        <w:t xml:space="preserve"> </w:t>
      </w:r>
      <w:r w:rsidR="00AD7D0E">
        <w:t>saying that:</w:t>
      </w:r>
      <w:bookmarkEnd w:id="16"/>
    </w:p>
    <w:p w14:paraId="1CE3257B" w14:textId="77777777" w:rsidR="00471360" w:rsidRDefault="00471360" w:rsidP="00AD7D0E">
      <w:pPr>
        <w:pStyle w:val="ListParagraph"/>
        <w:numPr>
          <w:ilvl w:val="0"/>
          <w:numId w:val="0"/>
        </w:numPr>
        <w:ind w:left="851"/>
        <w:rPr>
          <w:sz w:val="21"/>
          <w:szCs w:val="21"/>
        </w:rPr>
      </w:pPr>
      <w:r w:rsidRPr="00D11C56">
        <w:rPr>
          <w:sz w:val="21"/>
          <w:szCs w:val="21"/>
        </w:rPr>
        <w:t>“The nature of the contract makes it very easy for the Trust to remove services from the supplier if they do not perform to a high standard, and with the Workforce Alliance framework currently being retendered to include a Managed Service lot, we will have access to other providers with pre-agreed Tariff discounts, which will allow us to move quickly to another provider if this is deemed necessary.”</w:t>
      </w:r>
      <w:r w:rsidR="00CC782F">
        <w:rPr>
          <w:rStyle w:val="FootnoteReference"/>
          <w:sz w:val="21"/>
          <w:szCs w:val="21"/>
        </w:rPr>
        <w:footnoteReference w:id="46"/>
      </w:r>
    </w:p>
    <w:p w14:paraId="5121B254" w14:textId="36DE5985" w:rsidR="00AD7D0E" w:rsidRDefault="00AD7D0E" w:rsidP="00BC315A">
      <w:pPr>
        <w:pStyle w:val="ListParagraph"/>
        <w:spacing w:line="276" w:lineRule="auto"/>
        <w:ind w:left="567" w:hanging="567"/>
      </w:pPr>
      <w:r>
        <w:lastRenderedPageBreak/>
        <w:t xml:space="preserve">The action log from </w:t>
      </w:r>
      <w:r w:rsidR="00524A1F">
        <w:t>UHL’s l</w:t>
      </w:r>
      <w:r>
        <w:t xml:space="preserve">eadership </w:t>
      </w:r>
      <w:r w:rsidR="00524A1F">
        <w:t>t</w:t>
      </w:r>
      <w:r>
        <w:t xml:space="preserve">eam meeting noted that </w:t>
      </w:r>
      <w:r w:rsidR="00524A1F">
        <w:t xml:space="preserve">the Trust’s leadership </w:t>
      </w:r>
      <w:r>
        <w:t>“are supportive of the recommendations within the paper for onward approval [by the Trust’s Finance and Investment Committee] with two actions below: provide clear contract leads …; clear KPIs and appropriate exit route if the provider is not deliver</w:t>
      </w:r>
      <w:r w:rsidR="00BB40B3">
        <w:t>ing</w:t>
      </w:r>
      <w:r>
        <w:t>”.</w:t>
      </w:r>
      <w:r>
        <w:rPr>
          <w:rStyle w:val="FootnoteReference"/>
        </w:rPr>
        <w:footnoteReference w:id="47"/>
      </w:r>
    </w:p>
    <w:p w14:paraId="14C327C5" w14:textId="35E0EC94" w:rsidR="00AD7D0E" w:rsidRDefault="00BB40B3" w:rsidP="00BC315A">
      <w:pPr>
        <w:pStyle w:val="ListParagraph"/>
        <w:spacing w:after="120" w:line="276" w:lineRule="auto"/>
        <w:ind w:left="567" w:hanging="567"/>
      </w:pPr>
      <w:r>
        <w:t xml:space="preserve">On 30 July 2025, the same paper was considered at </w:t>
      </w:r>
      <w:r w:rsidR="00AD7D0E">
        <w:t>a meeting of UHL’s Finance and Investment Committee (a sub-committee of UHL</w:t>
      </w:r>
      <w:r>
        <w:t>’s</w:t>
      </w:r>
      <w:r w:rsidR="00AD7D0E">
        <w:t xml:space="preserve"> Board), </w:t>
      </w:r>
      <w:r>
        <w:t xml:space="preserve">with </w:t>
      </w:r>
      <w:r w:rsidR="00AD7D0E">
        <w:t xml:space="preserve">the Trust’s Chief Operating Officer </w:t>
      </w:r>
      <w:r w:rsidR="00A61CBA">
        <w:t xml:space="preserve">noting the risks associated with the new contracting model and saying </w:t>
      </w:r>
      <w:r w:rsidR="00AD7D0E">
        <w:t>that:</w:t>
      </w:r>
    </w:p>
    <w:p w14:paraId="1DD96F95" w14:textId="77777777" w:rsidR="00AD7D0E" w:rsidRPr="00C84C3C" w:rsidRDefault="00AD7D0E" w:rsidP="00AC6ACA">
      <w:pPr>
        <w:pStyle w:val="ListParagraph"/>
        <w:numPr>
          <w:ilvl w:val="0"/>
          <w:numId w:val="0"/>
        </w:numPr>
        <w:ind w:left="851"/>
        <w:rPr>
          <w:sz w:val="21"/>
          <w:szCs w:val="21"/>
        </w:rPr>
      </w:pPr>
      <w:r w:rsidRPr="00C84C3C">
        <w:rPr>
          <w:sz w:val="21"/>
          <w:szCs w:val="21"/>
        </w:rPr>
        <w:t>“</w:t>
      </w:r>
      <w:proofErr w:type="gramStart"/>
      <w:r w:rsidRPr="00C84C3C">
        <w:rPr>
          <w:sz w:val="21"/>
          <w:szCs w:val="21"/>
        </w:rPr>
        <w:t>the</w:t>
      </w:r>
      <w:proofErr w:type="gramEnd"/>
      <w:r w:rsidRPr="00C84C3C">
        <w:rPr>
          <w:sz w:val="21"/>
          <w:szCs w:val="21"/>
        </w:rPr>
        <w:t xml:space="preserve"> contract would provide a better pricing structure than previous insourcing arrangements and insourcing would continue to be required in the Trust. The approach was not without risk and UHL were the first to be trying this approach, but a review would be undertaken if there was evidence it was not working”.</w:t>
      </w:r>
      <w:r>
        <w:rPr>
          <w:rStyle w:val="FootnoteReference"/>
          <w:sz w:val="21"/>
          <w:szCs w:val="21"/>
        </w:rPr>
        <w:footnoteReference w:id="48"/>
      </w:r>
    </w:p>
    <w:p w14:paraId="48227EF3" w14:textId="13305A35" w:rsidR="00AC6ACA" w:rsidRDefault="002E5943" w:rsidP="00BC315A">
      <w:pPr>
        <w:pStyle w:val="ListParagraph"/>
        <w:spacing w:after="120" w:line="276" w:lineRule="auto"/>
        <w:ind w:left="567" w:hanging="567"/>
      </w:pPr>
      <w:r>
        <w:t xml:space="preserve">According to the reported </w:t>
      </w:r>
      <w:r w:rsidR="00AD7D0E">
        <w:t>discussion</w:t>
      </w:r>
      <w:r w:rsidR="00542D2B">
        <w:t xml:space="preserve"> at this meeting</w:t>
      </w:r>
      <w:r w:rsidR="00AC6ACA">
        <w:t>:</w:t>
      </w:r>
    </w:p>
    <w:p w14:paraId="5655B696" w14:textId="7EA1033E" w:rsidR="00AC6ACA" w:rsidRPr="00AC6ACA" w:rsidRDefault="0020508E" w:rsidP="00AC6ACA">
      <w:pPr>
        <w:pStyle w:val="ListParagraph"/>
        <w:numPr>
          <w:ilvl w:val="0"/>
          <w:numId w:val="0"/>
        </w:numPr>
        <w:ind w:left="851"/>
        <w:rPr>
          <w:sz w:val="21"/>
          <w:szCs w:val="21"/>
        </w:rPr>
      </w:pPr>
      <w:r>
        <w:t>“[T</w:t>
      </w:r>
      <w:r w:rsidR="00AD7D0E">
        <w:t xml:space="preserve">he </w:t>
      </w:r>
      <w:r w:rsidR="00AD7D0E" w:rsidRPr="00AC6ACA">
        <w:rPr>
          <w:sz w:val="21"/>
          <w:szCs w:val="21"/>
        </w:rPr>
        <w:t>Committee’s chair</w:t>
      </w:r>
      <w:r>
        <w:rPr>
          <w:sz w:val="21"/>
          <w:szCs w:val="21"/>
        </w:rPr>
        <w:t>]</w:t>
      </w:r>
      <w:r w:rsidR="00AD7D0E" w:rsidRPr="00AC6ACA">
        <w:rPr>
          <w:sz w:val="21"/>
          <w:szCs w:val="21"/>
        </w:rPr>
        <w:t xml:space="preserve"> noted some concern that the focus of the contract was purely value for money rather than patient care. The Deputy Chief Operating Officer acknowledged there were risks with the proposed approach …, but there were also good savings opportunities. The importance of actively managing the contract through clear KPIs. [The chair] stressed the importance of rigorous, active contract management”.</w:t>
      </w:r>
    </w:p>
    <w:p w14:paraId="13C58DE0" w14:textId="44300051" w:rsidR="00AC6ACA" w:rsidRDefault="00AC6ACA" w:rsidP="00BC315A">
      <w:pPr>
        <w:pStyle w:val="ListParagraph"/>
        <w:spacing w:line="276" w:lineRule="auto"/>
        <w:ind w:left="567" w:hanging="567"/>
      </w:pPr>
      <w:r>
        <w:t xml:space="preserve">Following this discussion, the </w:t>
      </w:r>
      <w:r w:rsidR="00D3342A">
        <w:t xml:space="preserve">Finance and Investment </w:t>
      </w:r>
      <w:r>
        <w:t>Committee supported the award of the contract for onward submission to UHL’s Board.</w:t>
      </w:r>
      <w:r>
        <w:rPr>
          <w:rStyle w:val="FootnoteReference"/>
          <w:sz w:val="21"/>
          <w:szCs w:val="21"/>
        </w:rPr>
        <w:footnoteReference w:id="49"/>
      </w:r>
    </w:p>
    <w:p w14:paraId="4965D0DE" w14:textId="77777777" w:rsidR="001868CD" w:rsidRDefault="0020508E" w:rsidP="001868CD">
      <w:pPr>
        <w:pStyle w:val="ListParagraph"/>
        <w:spacing w:after="120" w:line="276" w:lineRule="auto"/>
        <w:ind w:left="567" w:hanging="567"/>
      </w:pPr>
      <w:bookmarkStart w:id="17" w:name="_Ref218592306"/>
      <w:r>
        <w:t xml:space="preserve">On 14 August 2025, </w:t>
      </w:r>
      <w:r w:rsidR="00866073">
        <w:t xml:space="preserve">the contract award recommendation was considered by </w:t>
      </w:r>
      <w:r w:rsidR="00183C16">
        <w:t>UHL</w:t>
      </w:r>
      <w:r w:rsidR="00866073">
        <w:t>’s Board. According to the minutes of this meeting</w:t>
      </w:r>
      <w:r w:rsidR="00183C16">
        <w:t xml:space="preserve">, </w:t>
      </w:r>
      <w:r w:rsidR="00866073">
        <w:t xml:space="preserve">UHL’s </w:t>
      </w:r>
      <w:r w:rsidR="00183C16">
        <w:t xml:space="preserve">Chief Financial Officer </w:t>
      </w:r>
      <w:r w:rsidR="00866073">
        <w:t>said</w:t>
      </w:r>
      <w:r w:rsidR="00183C16">
        <w:t xml:space="preserve"> that</w:t>
      </w:r>
      <w:r w:rsidR="001868CD">
        <w:t>:</w:t>
      </w:r>
    </w:p>
    <w:p w14:paraId="23B853C8" w14:textId="061E09AC" w:rsidR="001868CD" w:rsidRPr="001868CD" w:rsidRDefault="00183C16" w:rsidP="001868CD">
      <w:pPr>
        <w:pStyle w:val="ListParagraph"/>
        <w:numPr>
          <w:ilvl w:val="0"/>
          <w:numId w:val="0"/>
        </w:numPr>
        <w:ind w:left="851"/>
        <w:rPr>
          <w:sz w:val="21"/>
          <w:szCs w:val="21"/>
        </w:rPr>
      </w:pPr>
      <w:r w:rsidRPr="001868CD">
        <w:rPr>
          <w:sz w:val="21"/>
          <w:szCs w:val="21"/>
        </w:rPr>
        <w:t>“</w:t>
      </w:r>
      <w:proofErr w:type="gramStart"/>
      <w:r w:rsidRPr="001868CD">
        <w:rPr>
          <w:sz w:val="21"/>
          <w:szCs w:val="21"/>
        </w:rPr>
        <w:t>the</w:t>
      </w:r>
      <w:proofErr w:type="gramEnd"/>
      <w:r w:rsidRPr="001868CD">
        <w:rPr>
          <w:sz w:val="21"/>
          <w:szCs w:val="21"/>
        </w:rPr>
        <w:t xml:space="preserve"> proposed contract was a new method of operation, bringing all insourcing activity under one contract in order to deliver better value, but it was acknowledged there was some risk as the approach had been untried elsewhere, but he provided assurance that there were clauses in the contract to manage the business relationship”.</w:t>
      </w:r>
      <w:r w:rsidRPr="001868CD">
        <w:rPr>
          <w:rStyle w:val="FootnoteReference"/>
          <w:sz w:val="21"/>
          <w:szCs w:val="21"/>
        </w:rPr>
        <w:footnoteReference w:id="50"/>
      </w:r>
    </w:p>
    <w:p w14:paraId="4CE06CFE" w14:textId="2F95DFD2" w:rsidR="00183C16" w:rsidRDefault="00B32124" w:rsidP="00BC315A">
      <w:pPr>
        <w:pStyle w:val="ListParagraph"/>
        <w:spacing w:line="276" w:lineRule="auto"/>
        <w:ind w:left="567" w:hanging="567"/>
      </w:pPr>
      <w:r>
        <w:t xml:space="preserve">UHL’s Board approved the award of the contract to </w:t>
      </w:r>
      <w:bookmarkEnd w:id="17"/>
      <w:r w:rsidR="00566CC3">
        <w:t>18 Week Support</w:t>
      </w:r>
      <w:r>
        <w:t>.</w:t>
      </w:r>
      <w:r w:rsidR="003C4C80">
        <w:t xml:space="preserve"> </w:t>
      </w:r>
      <w:proofErr w:type="gramStart"/>
      <w:r w:rsidR="003C4C80">
        <w:t>The Panel,</w:t>
      </w:r>
      <w:proofErr w:type="gramEnd"/>
      <w:r w:rsidR="003C4C80">
        <w:t xml:space="preserve"> </w:t>
      </w:r>
      <w:r w:rsidR="003E361E">
        <w:t xml:space="preserve">notes that UHL’s </w:t>
      </w:r>
      <w:r w:rsidR="00292E34">
        <w:t>B</w:t>
      </w:r>
      <w:r w:rsidR="003E361E">
        <w:t>oard insisted on the introduction of strong KPIs</w:t>
      </w:r>
      <w:r w:rsidR="00CA340E">
        <w:t xml:space="preserve"> with the aim of managing the contract effectively.</w:t>
      </w:r>
    </w:p>
    <w:p w14:paraId="0922D7AE" w14:textId="6A630102" w:rsidR="002B4018" w:rsidRPr="00EE6E45" w:rsidRDefault="0060194B" w:rsidP="002B4018">
      <w:pPr>
        <w:keepNext/>
        <w:spacing w:before="240" w:line="276" w:lineRule="auto"/>
        <w:rPr>
          <w:b/>
          <w:bCs/>
        </w:rPr>
      </w:pPr>
      <w:r>
        <w:rPr>
          <w:b/>
          <w:bCs/>
        </w:rPr>
        <w:t xml:space="preserve">Other aspects of </w:t>
      </w:r>
      <w:r w:rsidR="00A71E02">
        <w:rPr>
          <w:b/>
          <w:bCs/>
        </w:rPr>
        <w:t>bidders’</w:t>
      </w:r>
      <w:r w:rsidR="00BA6B54">
        <w:rPr>
          <w:b/>
          <w:bCs/>
        </w:rPr>
        <w:t xml:space="preserve"> proposal</w:t>
      </w:r>
      <w:r w:rsidR="00A71E02">
        <w:rPr>
          <w:b/>
          <w:bCs/>
        </w:rPr>
        <w:t>s</w:t>
      </w:r>
      <w:r w:rsidR="00BA6B54">
        <w:rPr>
          <w:b/>
          <w:bCs/>
        </w:rPr>
        <w:t xml:space="preserve"> </w:t>
      </w:r>
      <w:r w:rsidR="00A71E02">
        <w:rPr>
          <w:b/>
          <w:bCs/>
        </w:rPr>
        <w:t>related</w:t>
      </w:r>
      <w:r>
        <w:rPr>
          <w:b/>
          <w:bCs/>
        </w:rPr>
        <w:t xml:space="preserve"> to service sustainability</w:t>
      </w:r>
    </w:p>
    <w:p w14:paraId="18B8D0C1" w14:textId="6AAB54A6" w:rsidR="002B4018" w:rsidRDefault="00E64747" w:rsidP="00943104">
      <w:pPr>
        <w:pStyle w:val="ListParagraph"/>
        <w:spacing w:line="276" w:lineRule="auto"/>
        <w:ind w:left="567" w:hanging="567"/>
      </w:pPr>
      <w:r>
        <w:t xml:space="preserve">The Panel assessed whether </w:t>
      </w:r>
      <w:r w:rsidR="00B10AFB">
        <w:t xml:space="preserve">other aspects of </w:t>
      </w:r>
      <w:r w:rsidR="00730265">
        <w:t>18 Week Support’s</w:t>
      </w:r>
      <w:r w:rsidR="00B10AFB">
        <w:t xml:space="preserve"> proposal</w:t>
      </w:r>
      <w:r w:rsidR="00730265">
        <w:t xml:space="preserve"> </w:t>
      </w:r>
      <w:r w:rsidR="001B0E6B">
        <w:t xml:space="preserve">gave UHL further reassurance </w:t>
      </w:r>
      <w:r w:rsidR="001E385E">
        <w:t xml:space="preserve">that </w:t>
      </w:r>
      <w:r w:rsidR="000D49C2">
        <w:t>18 Week Support</w:t>
      </w:r>
      <w:r w:rsidR="001E385E">
        <w:t xml:space="preserve"> was able to deliver a </w:t>
      </w:r>
      <w:r w:rsidR="00707021">
        <w:t>sustainable service at the price it was offering</w:t>
      </w:r>
      <w:r w:rsidR="001B0E6B">
        <w:t>.</w:t>
      </w:r>
    </w:p>
    <w:p w14:paraId="4F01E5D8" w14:textId="49DB59B8" w:rsidR="001B0E6B" w:rsidRDefault="003C5951" w:rsidP="00943104">
      <w:pPr>
        <w:pStyle w:val="ListParagraph"/>
        <w:spacing w:line="276" w:lineRule="auto"/>
        <w:ind w:left="567" w:hanging="567"/>
        <w:contextualSpacing/>
      </w:pPr>
      <w:r>
        <w:t>By way of background, bidders were asked five scored questions</w:t>
      </w:r>
      <w:r w:rsidR="00603D1F">
        <w:t xml:space="preserve"> (other than pricing). These questions</w:t>
      </w:r>
      <w:r>
        <w:t xml:space="preserve"> </w:t>
      </w:r>
      <w:r w:rsidR="00D0553B">
        <w:t>address</w:t>
      </w:r>
      <w:r w:rsidR="00603D1F">
        <w:t>ed</w:t>
      </w:r>
      <w:r w:rsidR="00D0553B">
        <w:t>:</w:t>
      </w:r>
    </w:p>
    <w:p w14:paraId="58B88B02" w14:textId="45CED3C1" w:rsidR="00D0553B" w:rsidRDefault="00405BDF" w:rsidP="00603D1F">
      <w:pPr>
        <w:pStyle w:val="ListParagraph"/>
        <w:numPr>
          <w:ilvl w:val="0"/>
          <w:numId w:val="13"/>
        </w:numPr>
        <w:spacing w:line="276" w:lineRule="auto"/>
        <w:contextualSpacing/>
      </w:pPr>
      <w:r>
        <w:t>Service delivery plans</w:t>
      </w:r>
      <w:r w:rsidR="00D0553B">
        <w:t xml:space="preserve"> (Question 1</w:t>
      </w:r>
      <w:proofErr w:type="gramStart"/>
      <w:r w:rsidR="00D0553B">
        <w:t>)</w:t>
      </w:r>
      <w:r w:rsidR="00603D1F">
        <w:t>;</w:t>
      </w:r>
      <w:proofErr w:type="gramEnd"/>
    </w:p>
    <w:p w14:paraId="198E5E26" w14:textId="2A9E6DC7" w:rsidR="00D0553B" w:rsidRDefault="009E5275" w:rsidP="00603D1F">
      <w:pPr>
        <w:pStyle w:val="ListParagraph"/>
        <w:numPr>
          <w:ilvl w:val="0"/>
          <w:numId w:val="13"/>
        </w:numPr>
        <w:spacing w:line="276" w:lineRule="auto"/>
        <w:contextualSpacing/>
      </w:pPr>
      <w:r>
        <w:lastRenderedPageBreak/>
        <w:t>A case study of providing a clinical insourced service (Question 2</w:t>
      </w:r>
      <w:proofErr w:type="gramStart"/>
      <w:r>
        <w:t>)</w:t>
      </w:r>
      <w:r w:rsidR="00603D1F">
        <w:t>;</w:t>
      </w:r>
      <w:proofErr w:type="gramEnd"/>
    </w:p>
    <w:p w14:paraId="6B26BB48" w14:textId="4BC8D44B" w:rsidR="009E5275" w:rsidRDefault="00C04A80" w:rsidP="00603D1F">
      <w:pPr>
        <w:pStyle w:val="ListParagraph"/>
        <w:numPr>
          <w:ilvl w:val="0"/>
          <w:numId w:val="13"/>
        </w:numPr>
        <w:spacing w:line="276" w:lineRule="auto"/>
        <w:contextualSpacing/>
      </w:pPr>
      <w:r>
        <w:t>Mobilisation plans (Question 3</w:t>
      </w:r>
      <w:proofErr w:type="gramStart"/>
      <w:r>
        <w:t>);</w:t>
      </w:r>
      <w:proofErr w:type="gramEnd"/>
    </w:p>
    <w:p w14:paraId="756D43AE" w14:textId="37A8D4D6" w:rsidR="00C04A80" w:rsidRDefault="00C04A80" w:rsidP="00603D1F">
      <w:pPr>
        <w:pStyle w:val="ListParagraph"/>
        <w:numPr>
          <w:ilvl w:val="0"/>
          <w:numId w:val="13"/>
        </w:numPr>
        <w:spacing w:line="276" w:lineRule="auto"/>
        <w:contextualSpacing/>
      </w:pPr>
      <w:r>
        <w:t>Improved patient access (Question 4); and</w:t>
      </w:r>
    </w:p>
    <w:p w14:paraId="27E4EA43" w14:textId="1AE63CE4" w:rsidR="00C04A80" w:rsidRDefault="00603D1F" w:rsidP="00DF65FE">
      <w:pPr>
        <w:pStyle w:val="ListParagraph"/>
        <w:numPr>
          <w:ilvl w:val="0"/>
          <w:numId w:val="13"/>
        </w:numPr>
        <w:spacing w:line="276" w:lineRule="auto"/>
        <w:ind w:left="1077" w:hanging="357"/>
      </w:pPr>
      <w:r>
        <w:t>Social value (Question 5).</w:t>
      </w:r>
    </w:p>
    <w:p w14:paraId="46847621" w14:textId="42DC8467" w:rsidR="00DF65FE" w:rsidRDefault="00DF65FE" w:rsidP="00943104">
      <w:pPr>
        <w:pStyle w:val="ListParagraph"/>
        <w:spacing w:line="276" w:lineRule="auto"/>
        <w:ind w:left="567" w:hanging="567"/>
      </w:pPr>
      <w:bookmarkStart w:id="18" w:name="_Ref218599991"/>
      <w:r>
        <w:t xml:space="preserve">The Panel </w:t>
      </w:r>
      <w:r w:rsidR="000008D4" w:rsidRPr="000008D4">
        <w:t>reviewed</w:t>
      </w:r>
      <w:r w:rsidR="008D109D">
        <w:t xml:space="preserve"> 18 Week Support’s responses </w:t>
      </w:r>
      <w:r w:rsidR="008D787D">
        <w:t xml:space="preserve">to these questions </w:t>
      </w:r>
      <w:r w:rsidR="000008D4" w:rsidRPr="000008D4">
        <w:t xml:space="preserve">and </w:t>
      </w:r>
      <w:r w:rsidR="008D109D">
        <w:t xml:space="preserve">did not identify anything that </w:t>
      </w:r>
      <w:r w:rsidR="006D4C9E">
        <w:t xml:space="preserve">further </w:t>
      </w:r>
      <w:r w:rsidR="000008D4" w:rsidRPr="000008D4">
        <w:t>provided a direct correlation between</w:t>
      </w:r>
      <w:r w:rsidR="006D4C9E">
        <w:t xml:space="preserve"> its abilities to deliver services </w:t>
      </w:r>
      <w:r w:rsidR="000008D4" w:rsidRPr="000008D4">
        <w:t>and its</w:t>
      </w:r>
      <w:r w:rsidR="006D4C9E">
        <w:t xml:space="preserve"> quoted price.</w:t>
      </w:r>
      <w:bookmarkEnd w:id="18"/>
    </w:p>
    <w:p w14:paraId="1C6FF8B1" w14:textId="50FBF25A" w:rsidR="004C5EA5" w:rsidRPr="00A715B7" w:rsidRDefault="005B2367" w:rsidP="005B2367">
      <w:pPr>
        <w:keepNext/>
        <w:spacing w:before="240" w:line="276" w:lineRule="auto"/>
        <w:rPr>
          <w:b/>
          <w:bCs/>
        </w:rPr>
      </w:pPr>
      <w:r>
        <w:rPr>
          <w:b/>
          <w:bCs/>
        </w:rPr>
        <w:t>Summary</w:t>
      </w:r>
      <w:r w:rsidR="00B15122">
        <w:rPr>
          <w:b/>
          <w:bCs/>
        </w:rPr>
        <w:t xml:space="preserve"> of areas where service sustainability concerns were considered during the provider selection process</w:t>
      </w:r>
    </w:p>
    <w:p w14:paraId="7ED3D42B" w14:textId="77777777" w:rsidR="00345537" w:rsidRDefault="00B15122" w:rsidP="00943104">
      <w:pPr>
        <w:pStyle w:val="ListParagraph"/>
        <w:spacing w:line="276" w:lineRule="auto"/>
        <w:ind w:left="567" w:hanging="567"/>
      </w:pPr>
      <w:r>
        <w:t xml:space="preserve">In summary, </w:t>
      </w:r>
      <w:r w:rsidR="00792F57">
        <w:t xml:space="preserve">UHL took account of service sustainability concerns in various ways during the provider selection process. </w:t>
      </w:r>
      <w:r w:rsidR="00D64D80">
        <w:t>In designing and adopting the new contracting model, UHL sought to shift to a more efficient and sustainable set of arrangements than it currently has in place for insourcing services.</w:t>
      </w:r>
    </w:p>
    <w:p w14:paraId="15B4E8F8" w14:textId="148A9D42" w:rsidR="00F4505D" w:rsidRDefault="009C61DF" w:rsidP="00943104">
      <w:pPr>
        <w:pStyle w:val="ListParagraph"/>
        <w:spacing w:line="276" w:lineRule="auto"/>
        <w:ind w:left="567" w:hanging="567"/>
      </w:pPr>
      <w:r>
        <w:t xml:space="preserve">UHL recognised the risks associated with </w:t>
      </w:r>
      <w:r w:rsidR="00FB1979">
        <w:t xml:space="preserve">adopting this new model, given its untested nature, and measures for mitigating this risk, including </w:t>
      </w:r>
      <w:r w:rsidR="000E22F7">
        <w:t xml:space="preserve">the aim of </w:t>
      </w:r>
      <w:r w:rsidR="00FB1979">
        <w:t>close</w:t>
      </w:r>
      <w:r w:rsidR="00887526">
        <w:t>ly</w:t>
      </w:r>
      <w:r w:rsidR="00FB1979">
        <w:t xml:space="preserve"> monitoring KPIs and </w:t>
      </w:r>
      <w:r w:rsidR="00345537">
        <w:t>the potential to switch between providers, were clearly given attention during the contract approvals process.</w:t>
      </w:r>
      <w:r w:rsidR="000A1175">
        <w:t xml:space="preserve"> </w:t>
      </w:r>
      <w:r w:rsidR="0090030D">
        <w:t>The financial sustainability of the successful bidder, 18 Wee</w:t>
      </w:r>
      <w:r w:rsidR="00DB31AF">
        <w:t>k</w:t>
      </w:r>
      <w:r w:rsidR="0090030D">
        <w:t xml:space="preserve"> Support, was also assessed as part of the contract approval process.</w:t>
      </w:r>
    </w:p>
    <w:p w14:paraId="754B6EAE" w14:textId="731C926D" w:rsidR="00345537" w:rsidRDefault="0090030D" w:rsidP="00943104">
      <w:pPr>
        <w:pStyle w:val="ListParagraph"/>
        <w:spacing w:line="276" w:lineRule="auto"/>
        <w:ind w:left="567" w:hanging="567"/>
      </w:pPr>
      <w:r>
        <w:t xml:space="preserve">More concerning, however, </w:t>
      </w:r>
      <w:r w:rsidR="006E2232">
        <w:t xml:space="preserve">was </w:t>
      </w:r>
      <w:r>
        <w:t xml:space="preserve">the </w:t>
      </w:r>
      <w:r w:rsidR="005017D9">
        <w:t xml:space="preserve">commercial aspect of the provider selection process, where </w:t>
      </w:r>
      <w:r w:rsidR="00C86E0B">
        <w:t xml:space="preserve">providers competed on the size of the discount to the NHS tariff they were offering to UHL, without </w:t>
      </w:r>
      <w:r w:rsidR="00B15302">
        <w:t xml:space="preserve">having to provide </w:t>
      </w:r>
      <w:r w:rsidR="00C86E0B">
        <w:t xml:space="preserve">any supporting </w:t>
      </w:r>
      <w:r w:rsidR="00B15302">
        <w:t xml:space="preserve">information </w:t>
      </w:r>
      <w:r w:rsidR="006E2232">
        <w:t xml:space="preserve">as to how the </w:t>
      </w:r>
      <w:r w:rsidR="00B15302">
        <w:t xml:space="preserve">level of discount on offer could be sustained. </w:t>
      </w:r>
      <w:r w:rsidR="00E22051">
        <w:t xml:space="preserve">Moreover, with respect to the successful bidder, which offered a discount </w:t>
      </w:r>
      <w:r w:rsidR="000E322D">
        <w:t>marked</w:t>
      </w:r>
      <w:r w:rsidR="00E22051">
        <w:t xml:space="preserve">ly larger than other bidders, there </w:t>
      </w:r>
      <w:r w:rsidR="00244504">
        <w:t>were limited</w:t>
      </w:r>
      <w:r w:rsidR="00BE3B8A">
        <w:t xml:space="preserve"> means of </w:t>
      </w:r>
      <w:r w:rsidR="00862CA5">
        <w:t xml:space="preserve">understanding why it was able to offer this </w:t>
      </w:r>
      <w:r w:rsidR="00A22599">
        <w:t xml:space="preserve">higher level of </w:t>
      </w:r>
      <w:r w:rsidR="00862CA5">
        <w:t>discount.</w:t>
      </w:r>
    </w:p>
    <w:p w14:paraId="214EAA83" w14:textId="47AB0E17" w:rsidR="00A277A5" w:rsidRPr="00A715B7" w:rsidRDefault="00A277A5" w:rsidP="00A277A5">
      <w:pPr>
        <w:keepNext/>
        <w:spacing w:before="240" w:line="276" w:lineRule="auto"/>
        <w:rPr>
          <w:b/>
          <w:bCs/>
        </w:rPr>
      </w:pPr>
      <w:r w:rsidRPr="00A715B7">
        <w:rPr>
          <w:b/>
          <w:bCs/>
        </w:rPr>
        <w:t>7.1.</w:t>
      </w:r>
      <w:r w:rsidR="00AD7D0E">
        <w:rPr>
          <w:b/>
          <w:bCs/>
        </w:rPr>
        <w:t>3</w:t>
      </w:r>
      <w:r w:rsidRPr="00A715B7">
        <w:rPr>
          <w:b/>
          <w:bCs/>
        </w:rPr>
        <w:t xml:space="preserve"> </w:t>
      </w:r>
      <w:r w:rsidR="00950DCC">
        <w:rPr>
          <w:b/>
          <w:bCs/>
        </w:rPr>
        <w:t xml:space="preserve">Risks to patients </w:t>
      </w:r>
      <w:r>
        <w:rPr>
          <w:b/>
          <w:bCs/>
        </w:rPr>
        <w:t xml:space="preserve">of service </w:t>
      </w:r>
      <w:r w:rsidR="008E56C0">
        <w:rPr>
          <w:b/>
          <w:bCs/>
        </w:rPr>
        <w:t xml:space="preserve">instability or discontinuity </w:t>
      </w:r>
      <w:r>
        <w:rPr>
          <w:b/>
          <w:bCs/>
        </w:rPr>
        <w:t xml:space="preserve">in </w:t>
      </w:r>
      <w:r w:rsidR="00327AC8">
        <w:rPr>
          <w:b/>
          <w:bCs/>
        </w:rPr>
        <w:t xml:space="preserve">the </w:t>
      </w:r>
      <w:r>
        <w:rPr>
          <w:b/>
          <w:bCs/>
        </w:rPr>
        <w:t xml:space="preserve">insourcing </w:t>
      </w:r>
      <w:r w:rsidR="00327AC8">
        <w:rPr>
          <w:b/>
          <w:bCs/>
        </w:rPr>
        <w:t xml:space="preserve">managed </w:t>
      </w:r>
      <w:r>
        <w:rPr>
          <w:b/>
          <w:bCs/>
        </w:rPr>
        <w:t>service</w:t>
      </w:r>
    </w:p>
    <w:p w14:paraId="5CAEFF7E" w14:textId="6C2E573C" w:rsidR="00BB667E" w:rsidRDefault="0002387E" w:rsidP="00840193">
      <w:pPr>
        <w:pStyle w:val="ListParagraph"/>
        <w:spacing w:line="276" w:lineRule="auto"/>
        <w:ind w:left="567" w:hanging="567"/>
      </w:pPr>
      <w:r>
        <w:t>T</w:t>
      </w:r>
      <w:r w:rsidR="00EF5F4F">
        <w:t xml:space="preserve">his section </w:t>
      </w:r>
      <w:r w:rsidR="00BB667E">
        <w:t>review</w:t>
      </w:r>
      <w:r w:rsidR="00EF5F4F">
        <w:t xml:space="preserve">s </w:t>
      </w:r>
      <w:r w:rsidR="00BB667E">
        <w:t>the potential risks to patients of service instability and discontinuity for the managed insourcing service</w:t>
      </w:r>
      <w:r w:rsidR="008D6CE1">
        <w:t>.</w:t>
      </w:r>
      <w:r>
        <w:t xml:space="preserve"> </w:t>
      </w:r>
      <w:r w:rsidR="008D6CE1">
        <w:t xml:space="preserve">The purpose of </w:t>
      </w:r>
      <w:r w:rsidR="00FE581B">
        <w:t xml:space="preserve">reviewing these risks is to understand </w:t>
      </w:r>
      <w:r w:rsidR="00BB667E">
        <w:t xml:space="preserve">whether UHL’s actions </w:t>
      </w:r>
      <w:r w:rsidR="00FE581B">
        <w:t xml:space="preserve">with respect to service sustainability </w:t>
      </w:r>
      <w:r w:rsidR="00BB667E">
        <w:t>were proportionate</w:t>
      </w:r>
      <w:r w:rsidR="00E008E6">
        <w:t>,</w:t>
      </w:r>
      <w:r w:rsidR="00BB667E">
        <w:t xml:space="preserve"> </w:t>
      </w:r>
      <w:r w:rsidR="00E008E6">
        <w:t xml:space="preserve">as per </w:t>
      </w:r>
      <w:r w:rsidR="00BB667E">
        <w:t>its obligations under Regulation 4(1)(b)</w:t>
      </w:r>
      <w:r w:rsidR="00BB667E" w:rsidRPr="00E03EC6">
        <w:t>.</w:t>
      </w:r>
    </w:p>
    <w:p w14:paraId="16D7876C" w14:textId="2D5404BC" w:rsidR="00B96A42" w:rsidRDefault="00BC4A74" w:rsidP="00840193">
      <w:pPr>
        <w:pStyle w:val="ListParagraph"/>
        <w:spacing w:line="276" w:lineRule="auto"/>
        <w:ind w:left="567" w:hanging="567"/>
      </w:pPr>
      <w:r>
        <w:t xml:space="preserve">The </w:t>
      </w:r>
      <w:r w:rsidR="00674AE3">
        <w:t xml:space="preserve">way in which the </w:t>
      </w:r>
      <w:r w:rsidR="00501506">
        <w:t>insourcing managed service interact</w:t>
      </w:r>
      <w:r w:rsidR="00674AE3">
        <w:t>s</w:t>
      </w:r>
      <w:r w:rsidR="00501506">
        <w:t xml:space="preserve"> with UHL’s in-house routine elective care services</w:t>
      </w:r>
      <w:r w:rsidR="00C90A65">
        <w:t xml:space="preserve"> may result in different risks for patients in terms of service instability and discontinuity. For example:</w:t>
      </w:r>
    </w:p>
    <w:p w14:paraId="64970592" w14:textId="44351E97" w:rsidR="00B96A42" w:rsidRDefault="00C90A65" w:rsidP="00840193">
      <w:pPr>
        <w:pStyle w:val="ListParagraph"/>
        <w:numPr>
          <w:ilvl w:val="0"/>
          <w:numId w:val="34"/>
        </w:numPr>
        <w:spacing w:line="276" w:lineRule="auto"/>
        <w:ind w:left="993"/>
      </w:pPr>
      <w:r>
        <w:t>F</w:t>
      </w:r>
      <w:r w:rsidR="00BA6A4A">
        <w:t>or some services</w:t>
      </w:r>
      <w:r w:rsidR="005A14EA">
        <w:t xml:space="preserve"> (e.g. gastroenterology clinics)</w:t>
      </w:r>
      <w:r w:rsidR="00BA6A4A">
        <w:t xml:space="preserve">, </w:t>
      </w:r>
      <w:r w:rsidR="00884109">
        <w:t>18 Week Support</w:t>
      </w:r>
      <w:r w:rsidR="00BA6A4A">
        <w:t xml:space="preserve"> will supply a</w:t>
      </w:r>
      <w:r w:rsidR="000A3B4F">
        <w:t>dditional patient treatment capacity that is, in effect, independent of UHL’s own routine elective care services.</w:t>
      </w:r>
      <w:r>
        <w:t xml:space="preserve"> Any interruption in th</w:t>
      </w:r>
      <w:r w:rsidR="00BE1C44">
        <w:t>ese</w:t>
      </w:r>
      <w:r>
        <w:t xml:space="preserve"> service</w:t>
      </w:r>
      <w:r w:rsidR="00BE1C44">
        <w:t>s</w:t>
      </w:r>
      <w:r>
        <w:t xml:space="preserve"> </w:t>
      </w:r>
      <w:proofErr w:type="gramStart"/>
      <w:r>
        <w:t>would  impact</w:t>
      </w:r>
      <w:proofErr w:type="gramEnd"/>
      <w:r>
        <w:t xml:space="preserve"> on </w:t>
      </w:r>
      <w:r w:rsidR="00491FE1">
        <w:t xml:space="preserve">the additional treatment capacity being supplied by </w:t>
      </w:r>
      <w:r w:rsidR="00884109">
        <w:t xml:space="preserve">18 Week Support </w:t>
      </w:r>
      <w:r w:rsidR="00BE1C44">
        <w:t>and on the patients receiving care through this additional capacity</w:t>
      </w:r>
      <w:r w:rsidR="00491FE1">
        <w:t>.</w:t>
      </w:r>
    </w:p>
    <w:p w14:paraId="67B441F7" w14:textId="3EBB5E02" w:rsidR="00840193" w:rsidRDefault="00840193" w:rsidP="00840193">
      <w:pPr>
        <w:pStyle w:val="ListParagraph"/>
        <w:numPr>
          <w:ilvl w:val="0"/>
          <w:numId w:val="34"/>
        </w:numPr>
        <w:spacing w:line="276" w:lineRule="auto"/>
        <w:ind w:left="993"/>
      </w:pPr>
      <w:r>
        <w:t xml:space="preserve">For other services (e.g. theatre support services for maxillo-facial and ENT specialties), </w:t>
      </w:r>
      <w:r w:rsidR="00884109">
        <w:t xml:space="preserve">18 Week Support </w:t>
      </w:r>
      <w:r>
        <w:t xml:space="preserve">will supply clinical services where patient treatment </w:t>
      </w:r>
      <w:r>
        <w:lastRenderedPageBreak/>
        <w:t xml:space="preserve">is jointly delivered by UHL and </w:t>
      </w:r>
      <w:r w:rsidR="00884109">
        <w:t>18 Week Support</w:t>
      </w:r>
      <w:r>
        <w:t>. Any interruption in these services would impact on UHL’s own service delivery, and could potentially impact on more patients, depending on the ease with which any service interruption could be remedied.</w:t>
      </w:r>
    </w:p>
    <w:p w14:paraId="4A7F0C8B" w14:textId="6B299D52" w:rsidR="00937908" w:rsidRDefault="00C31816" w:rsidP="00840193">
      <w:pPr>
        <w:pStyle w:val="ListParagraph"/>
        <w:spacing w:line="276" w:lineRule="auto"/>
        <w:ind w:left="567" w:hanging="567"/>
      </w:pPr>
      <w:r>
        <w:t xml:space="preserve">The Panel notes that 18 Week Support </w:t>
      </w:r>
      <w:r w:rsidR="00FA37AE">
        <w:t xml:space="preserve">intends to provide </w:t>
      </w:r>
      <w:proofErr w:type="gramStart"/>
      <w:r w:rsidR="00150816">
        <w:t xml:space="preserve">all </w:t>
      </w:r>
      <w:r w:rsidR="00EF5980">
        <w:t>of</w:t>
      </w:r>
      <w:proofErr w:type="gramEnd"/>
      <w:r w:rsidR="00EF5980">
        <w:t xml:space="preserve"> the clinical services covered by the contract</w:t>
      </w:r>
      <w:r w:rsidR="00F32BE6">
        <w:t>.</w:t>
      </w:r>
      <w:r w:rsidR="005E01A0">
        <w:t xml:space="preserve"> However, UHL has stated that the winning bidder may </w:t>
      </w:r>
      <w:r w:rsidR="00E606DB">
        <w:t xml:space="preserve">sub-contract </w:t>
      </w:r>
      <w:r w:rsidR="00CA42C6">
        <w:t xml:space="preserve">services if UHL gives its approval. </w:t>
      </w:r>
      <w:r w:rsidR="00A62DDA">
        <w:t>The ability to sub-contract</w:t>
      </w:r>
      <w:r w:rsidR="00577DEF">
        <w:t xml:space="preserve">, in part, addresses the </w:t>
      </w:r>
      <w:r w:rsidR="00081A8E">
        <w:t xml:space="preserve">risk of a poorly performing service, in that </w:t>
      </w:r>
      <w:r w:rsidR="00FB4ADE">
        <w:t xml:space="preserve">it </w:t>
      </w:r>
      <w:proofErr w:type="gramStart"/>
      <w:r w:rsidR="00FB4ADE">
        <w:t>would</w:t>
      </w:r>
      <w:proofErr w:type="gramEnd"/>
      <w:r w:rsidR="00FB4ADE">
        <w:t xml:space="preserve"> allow 18 Week Support to move to a new </w:t>
      </w:r>
      <w:r w:rsidR="00CC62C3">
        <w:t>sub-</w:t>
      </w:r>
      <w:r w:rsidR="00FB4ADE">
        <w:t xml:space="preserve">contractor if problems emerge in a particular area. However, </w:t>
      </w:r>
      <w:r w:rsidR="00605C04">
        <w:t xml:space="preserve">if these problems arise </w:t>
      </w:r>
      <w:r w:rsidR="00663C6B">
        <w:t>from</w:t>
      </w:r>
      <w:r w:rsidR="002306EF">
        <w:t xml:space="preserve"> </w:t>
      </w:r>
      <w:r w:rsidR="00BC1EBD">
        <w:t xml:space="preserve">an unsustainable price having been offered to UHL, then </w:t>
      </w:r>
      <w:r w:rsidR="002306EF">
        <w:t xml:space="preserve">it is unlikely that switching between sub-contractors will remedy this </w:t>
      </w:r>
      <w:r w:rsidR="00B536B7">
        <w:t>more fundamental issue.</w:t>
      </w:r>
    </w:p>
    <w:p w14:paraId="3C4E0216" w14:textId="0B53F2C7" w:rsidR="00A277A5" w:rsidRDefault="00280C13" w:rsidP="00840193">
      <w:pPr>
        <w:pStyle w:val="ListParagraph"/>
        <w:spacing w:line="276" w:lineRule="auto"/>
        <w:ind w:left="567" w:hanging="567"/>
        <w:contextualSpacing/>
      </w:pPr>
      <w:r>
        <w:t>With respect to the potential impact o</w:t>
      </w:r>
      <w:r w:rsidR="00DA0916">
        <w:t>n</w:t>
      </w:r>
      <w:r>
        <w:t xml:space="preserve"> patients of service discontinuity, </w:t>
      </w:r>
      <w:r w:rsidR="00A277A5">
        <w:t xml:space="preserve">UHL told the Panel that alternative arrangements could be put in place </w:t>
      </w:r>
      <w:r w:rsidR="00A4365C">
        <w:t xml:space="preserve">quickly and </w:t>
      </w:r>
      <w:r w:rsidR="00A277A5">
        <w:t xml:space="preserve">easily </w:t>
      </w:r>
      <w:r w:rsidR="00C05841">
        <w:t xml:space="preserve">if </w:t>
      </w:r>
      <w:r w:rsidR="00A4365C">
        <w:t xml:space="preserve">18 Week Support’s service </w:t>
      </w:r>
      <w:r w:rsidR="00C05841">
        <w:t xml:space="preserve">were to fail, </w:t>
      </w:r>
      <w:r w:rsidR="00A4365C">
        <w:t xml:space="preserve">allowing </w:t>
      </w:r>
      <w:r w:rsidR="00A277A5">
        <w:t>patient treatment</w:t>
      </w:r>
      <w:r w:rsidR="00A4365C">
        <w:t xml:space="preserve"> to be maintained</w:t>
      </w:r>
      <w:r w:rsidR="00A277A5">
        <w:t xml:space="preserve"> (even if some of these </w:t>
      </w:r>
      <w:r w:rsidR="00B6542F">
        <w:t xml:space="preserve">alternative </w:t>
      </w:r>
      <w:r w:rsidR="00A277A5">
        <w:t>arrangements might entail greater costs). The alternative arrangements identified by UHL include:</w:t>
      </w:r>
    </w:p>
    <w:p w14:paraId="17B2DB1D" w14:textId="77777777" w:rsidR="00A277A5" w:rsidRDefault="00A277A5" w:rsidP="00A277A5">
      <w:pPr>
        <w:pStyle w:val="ListParagraph"/>
        <w:numPr>
          <w:ilvl w:val="0"/>
          <w:numId w:val="13"/>
        </w:numPr>
        <w:spacing w:line="276" w:lineRule="auto"/>
        <w:contextualSpacing/>
      </w:pPr>
      <w:r>
        <w:t xml:space="preserve">increasing bank and agency staff shifts to increase capacity in its in-house routine elective care </w:t>
      </w:r>
      <w:proofErr w:type="gramStart"/>
      <w:r>
        <w:t>services;</w:t>
      </w:r>
      <w:proofErr w:type="gramEnd"/>
    </w:p>
    <w:p w14:paraId="438CA833" w14:textId="68A66FB0" w:rsidR="00A277A5" w:rsidRDefault="00A277A5" w:rsidP="00A277A5">
      <w:pPr>
        <w:pStyle w:val="ListParagraph"/>
        <w:numPr>
          <w:ilvl w:val="0"/>
          <w:numId w:val="13"/>
        </w:numPr>
        <w:spacing w:line="276" w:lineRule="auto"/>
        <w:contextualSpacing/>
      </w:pPr>
      <w:r>
        <w:t>reverting to separate insourcing contracts for individual services; and</w:t>
      </w:r>
    </w:p>
    <w:p w14:paraId="061D7D01" w14:textId="5417A7E6" w:rsidR="00A277A5" w:rsidRDefault="00A277A5" w:rsidP="00A277A5">
      <w:pPr>
        <w:pStyle w:val="ListParagraph"/>
        <w:numPr>
          <w:ilvl w:val="0"/>
          <w:numId w:val="13"/>
        </w:numPr>
        <w:spacing w:line="276" w:lineRule="auto"/>
      </w:pPr>
      <w:r>
        <w:t>procuring a new provider for the insourcing managed service.</w:t>
      </w:r>
      <w:r w:rsidRPr="00E1749E">
        <w:rPr>
          <w:rStyle w:val="FootnoteReference"/>
        </w:rPr>
        <w:footnoteReference w:id="51"/>
      </w:r>
    </w:p>
    <w:p w14:paraId="18087FCE" w14:textId="2E956521" w:rsidR="00AD7992" w:rsidRDefault="00AD7992" w:rsidP="00840193">
      <w:pPr>
        <w:pStyle w:val="ListParagraph"/>
        <w:spacing w:line="276" w:lineRule="auto"/>
        <w:ind w:left="567" w:hanging="567"/>
      </w:pPr>
      <w:r>
        <w:t>UHL said that it would be possible to almost immediately increase the number of bank and agency staff shifts at the Trust, while new insourcing contracts for individual services could also be put in place relatively quickly. Procurement of a new provider for the insourcing managed service would, however, take more time, most likely several months.</w:t>
      </w:r>
      <w:r w:rsidRPr="00E1749E">
        <w:rPr>
          <w:rStyle w:val="FootnoteReference"/>
        </w:rPr>
        <w:footnoteReference w:id="52"/>
      </w:r>
    </w:p>
    <w:p w14:paraId="6488183A" w14:textId="19D6BED9" w:rsidR="006931AE" w:rsidRDefault="004041DC" w:rsidP="00840193">
      <w:pPr>
        <w:pStyle w:val="ListParagraph"/>
        <w:spacing w:line="276" w:lineRule="auto"/>
        <w:ind w:left="567" w:hanging="567"/>
      </w:pPr>
      <w:r>
        <w:t xml:space="preserve">In </w:t>
      </w:r>
      <w:r w:rsidR="009A68C8">
        <w:t>relation to UHL’s ability to switch between providers of insourced services</w:t>
      </w:r>
      <w:r>
        <w:t>, t</w:t>
      </w:r>
      <w:r w:rsidR="00BE658B">
        <w:t xml:space="preserve">he Panel notes </w:t>
      </w:r>
      <w:r w:rsidR="00D757C8">
        <w:t xml:space="preserve">the well-developed nature of the insourcing market, </w:t>
      </w:r>
      <w:r w:rsidR="009A68C8">
        <w:t xml:space="preserve">the </w:t>
      </w:r>
      <w:r w:rsidR="00D757C8">
        <w:t>large number of suppliers</w:t>
      </w:r>
      <w:r w:rsidR="00536538">
        <w:t xml:space="preserve">, many with a long-standing presence, and the </w:t>
      </w:r>
      <w:r w:rsidR="00396E80">
        <w:t>familiar</w:t>
      </w:r>
      <w:r w:rsidR="00536538">
        <w:t xml:space="preserve"> nature of the </w:t>
      </w:r>
      <w:r w:rsidR="7E8A9D21">
        <w:t xml:space="preserve">service </w:t>
      </w:r>
      <w:r w:rsidR="00B9110D">
        <w:t>(see paragraph</w:t>
      </w:r>
      <w:r w:rsidR="000C0F89">
        <w:t xml:space="preserve"> 27</w:t>
      </w:r>
      <w:r w:rsidR="00B9110D">
        <w:t>)</w:t>
      </w:r>
      <w:r w:rsidR="00C875A3">
        <w:t>.</w:t>
      </w:r>
      <w:r w:rsidR="003A4390">
        <w:t xml:space="preserve"> </w:t>
      </w:r>
      <w:r w:rsidR="006931AE">
        <w:t xml:space="preserve">The Panel </w:t>
      </w:r>
      <w:r w:rsidR="001065E5">
        <w:t xml:space="preserve">also </w:t>
      </w:r>
      <w:r w:rsidR="006931AE">
        <w:t>note</w:t>
      </w:r>
      <w:r w:rsidR="0087505C">
        <w:t>s that</w:t>
      </w:r>
      <w:r w:rsidR="006931AE">
        <w:t xml:space="preserve"> </w:t>
      </w:r>
      <w:r w:rsidR="000A6965">
        <w:t xml:space="preserve">the proposals submitted by 18 Week Support and YWR </w:t>
      </w:r>
      <w:r w:rsidR="00633D69">
        <w:t xml:space="preserve">demonstrated flexibility in service delivery and </w:t>
      </w:r>
      <w:r w:rsidR="000A6965">
        <w:t xml:space="preserve">showed examples of </w:t>
      </w:r>
      <w:r w:rsidR="00633D69">
        <w:t xml:space="preserve">other places </w:t>
      </w:r>
      <w:r w:rsidR="000A6965">
        <w:t>where new services had been implemented quickly.</w:t>
      </w:r>
      <w:r w:rsidR="00633D69">
        <w:t xml:space="preserve"> </w:t>
      </w:r>
      <w:r w:rsidR="0087505C">
        <w:t>Th</w:t>
      </w:r>
      <w:r w:rsidR="003A4390">
        <w:t xml:space="preserve">ese </w:t>
      </w:r>
      <w:r w:rsidR="00031656">
        <w:t xml:space="preserve">examples further show </w:t>
      </w:r>
      <w:r w:rsidR="0087505C">
        <w:t>that any replacement of the 18 Week Support service, if needed, could be given effect relatively quickly.</w:t>
      </w:r>
    </w:p>
    <w:p w14:paraId="2BB46BBB" w14:textId="790F73A5" w:rsidR="006C1C1B" w:rsidRDefault="00280C13" w:rsidP="00840193">
      <w:pPr>
        <w:pStyle w:val="ListParagraph"/>
        <w:spacing w:line="276" w:lineRule="auto"/>
        <w:ind w:left="567" w:hanging="567"/>
      </w:pPr>
      <w:r>
        <w:t>With respect to the potential impact on patients of service instability (</w:t>
      </w:r>
      <w:r w:rsidR="00E84CD1">
        <w:t xml:space="preserve">which the Panel interprets in the context of this case as a decline in service quality that falls short of service failure), the Panel notes that </w:t>
      </w:r>
      <w:r w:rsidR="007E2B1B">
        <w:t xml:space="preserve">UHL have recognised this risk and taken steps for its mitigation </w:t>
      </w:r>
      <w:r w:rsidR="00885375">
        <w:t xml:space="preserve">in terms of developing KPIs </w:t>
      </w:r>
      <w:r w:rsidR="00B52BCD">
        <w:t xml:space="preserve">with the aim of </w:t>
      </w:r>
      <w:r w:rsidR="00885375">
        <w:t xml:space="preserve">ensuring strong contract management arrangements (see paragraphs </w:t>
      </w:r>
      <w:r w:rsidR="000C0F89">
        <w:t>76</w:t>
      </w:r>
      <w:r w:rsidR="00937AA2">
        <w:t xml:space="preserve"> to</w:t>
      </w:r>
      <w:r w:rsidR="000C0F89">
        <w:t xml:space="preserve"> 83</w:t>
      </w:r>
      <w:r w:rsidR="00937AA2">
        <w:t>).</w:t>
      </w:r>
    </w:p>
    <w:p w14:paraId="3B12EC56" w14:textId="23452EB0" w:rsidR="00A035D2" w:rsidRDefault="00332B24" w:rsidP="00840193">
      <w:pPr>
        <w:pStyle w:val="ListParagraph"/>
        <w:spacing w:line="276" w:lineRule="auto"/>
        <w:ind w:left="567" w:hanging="567"/>
      </w:pPr>
      <w:r>
        <w:lastRenderedPageBreak/>
        <w:t>T</w:t>
      </w:r>
      <w:r w:rsidR="00A277A5">
        <w:t xml:space="preserve">he Panel’s view is that </w:t>
      </w:r>
      <w:r w:rsidR="00CB3366">
        <w:t xml:space="preserve">the potential risks </w:t>
      </w:r>
      <w:r w:rsidR="001065E5">
        <w:t xml:space="preserve">to patients </w:t>
      </w:r>
      <w:r w:rsidR="00BE14F9">
        <w:t xml:space="preserve">of </w:t>
      </w:r>
      <w:r w:rsidR="00CB3366">
        <w:t>service instability or discontinuity</w:t>
      </w:r>
      <w:r w:rsidR="002777F9">
        <w:t xml:space="preserve"> in the insourcing managed contract</w:t>
      </w:r>
      <w:r w:rsidR="00CB3366">
        <w:t xml:space="preserve"> are, in this case, moderated by </w:t>
      </w:r>
      <w:r w:rsidR="004E0B97">
        <w:t>three</w:t>
      </w:r>
      <w:r w:rsidR="002F4FEC">
        <w:t xml:space="preserve"> </w:t>
      </w:r>
      <w:r w:rsidR="00BE658B">
        <w:t xml:space="preserve">key </w:t>
      </w:r>
      <w:r w:rsidR="00CB3366">
        <w:t>factors.</w:t>
      </w:r>
    </w:p>
    <w:p w14:paraId="40E380D5" w14:textId="3ABCC446" w:rsidR="00586C92" w:rsidRDefault="00CB3366" w:rsidP="00840193">
      <w:pPr>
        <w:pStyle w:val="ListParagraph"/>
        <w:spacing w:line="276" w:lineRule="auto"/>
        <w:ind w:left="567" w:hanging="567"/>
      </w:pPr>
      <w:r>
        <w:t xml:space="preserve">First, </w:t>
      </w:r>
      <w:r w:rsidR="00E47BB2">
        <w:t xml:space="preserve">for a significant number of services </w:t>
      </w:r>
      <w:r w:rsidR="00C9146A">
        <w:t>covered by the contract</w:t>
      </w:r>
      <w:r w:rsidR="007722F8">
        <w:t>,</w:t>
      </w:r>
      <w:r w:rsidR="00C9146A">
        <w:t xml:space="preserve"> </w:t>
      </w:r>
      <w:r w:rsidR="00E47BB2">
        <w:t xml:space="preserve">the insourcing arrangements </w:t>
      </w:r>
      <w:r w:rsidR="00E83CAC">
        <w:t xml:space="preserve">are separate from the </w:t>
      </w:r>
      <w:r w:rsidR="00E47BB2">
        <w:t xml:space="preserve">delivery of these services </w:t>
      </w:r>
      <w:r w:rsidR="00C9146A">
        <w:t xml:space="preserve">by UHL. UHL would continue to treat patients in these specialties </w:t>
      </w:r>
      <w:r w:rsidR="0063518F">
        <w:t>even if the service supplied by 18 Week Support was, for some reason, interrupted, and while UHL</w:t>
      </w:r>
      <w:proofErr w:type="gramStart"/>
      <w:r w:rsidR="0063518F">
        <w:t>, as a whole, might</w:t>
      </w:r>
      <w:proofErr w:type="gramEnd"/>
      <w:r w:rsidR="0063518F">
        <w:t xml:space="preserve"> treat fewer patients</w:t>
      </w:r>
      <w:r w:rsidR="00517201">
        <w:t>,</w:t>
      </w:r>
      <w:r w:rsidR="0063518F">
        <w:t xml:space="preserve"> any impact on patients could be mitigated through ensuring those </w:t>
      </w:r>
      <w:r w:rsidR="001E22E5">
        <w:t>requiring treatment most urgently were prioritised.</w:t>
      </w:r>
    </w:p>
    <w:p w14:paraId="5AEE1AA2" w14:textId="77777777" w:rsidR="00E23118" w:rsidRDefault="00BE658B" w:rsidP="00840193">
      <w:pPr>
        <w:pStyle w:val="ListParagraph"/>
        <w:spacing w:line="276" w:lineRule="auto"/>
        <w:ind w:left="567" w:hanging="567"/>
      </w:pPr>
      <w:r>
        <w:t xml:space="preserve">Second, </w:t>
      </w:r>
      <w:r w:rsidR="00A035D2">
        <w:t xml:space="preserve">the services supplied by 18 Week Support </w:t>
      </w:r>
      <w:r w:rsidR="008507A6">
        <w:t>could be replaced quickly and easily if this proved necessary.</w:t>
      </w:r>
    </w:p>
    <w:p w14:paraId="6BDF5361" w14:textId="04B9F85F" w:rsidR="008507A6" w:rsidRDefault="00E00BF5" w:rsidP="00C3463A">
      <w:pPr>
        <w:pStyle w:val="ListParagraph"/>
        <w:spacing w:line="276" w:lineRule="auto"/>
        <w:ind w:left="567" w:hanging="567"/>
      </w:pPr>
      <w:r>
        <w:t xml:space="preserve"> </w:t>
      </w:r>
      <w:r w:rsidR="008507A6">
        <w:t xml:space="preserve">Finally, </w:t>
      </w:r>
      <w:r>
        <w:t>UHL</w:t>
      </w:r>
      <w:r w:rsidR="0080281D">
        <w:t xml:space="preserve">’s Board has </w:t>
      </w:r>
      <w:r w:rsidR="004615F4">
        <w:t xml:space="preserve">emphasised the need </w:t>
      </w:r>
      <w:r>
        <w:t>to mitigate the risk of service instability through its contract management arrangements.</w:t>
      </w:r>
      <w:r w:rsidR="0088320B">
        <w:t xml:space="preserve"> </w:t>
      </w:r>
      <w:r w:rsidR="0088320B" w:rsidRPr="0088320B">
        <w:t>The Board’s own recommendation is for a set of stringent KPIs and close contract management</w:t>
      </w:r>
      <w:r w:rsidR="004B77A7">
        <w:t>.</w:t>
      </w:r>
    </w:p>
    <w:p w14:paraId="204E9CDF" w14:textId="5977D443" w:rsidR="007E7432" w:rsidRPr="009A7815" w:rsidRDefault="00BF1FCA" w:rsidP="00BF1FCA">
      <w:pPr>
        <w:keepNext/>
        <w:spacing w:before="240" w:line="276" w:lineRule="auto"/>
        <w:rPr>
          <w:b/>
          <w:bCs/>
        </w:rPr>
      </w:pPr>
      <w:r w:rsidRPr="00E8139A">
        <w:rPr>
          <w:b/>
          <w:bCs/>
        </w:rPr>
        <w:t xml:space="preserve">7.1.4 </w:t>
      </w:r>
      <w:r w:rsidR="00BE6FCF">
        <w:rPr>
          <w:b/>
          <w:bCs/>
        </w:rPr>
        <w:t>C</w:t>
      </w:r>
      <w:r w:rsidR="007E7432" w:rsidRPr="00BF1FCA">
        <w:rPr>
          <w:b/>
          <w:bCs/>
        </w:rPr>
        <w:t>onclusions on UHL’s compliance with the service sustainability</w:t>
      </w:r>
      <w:r w:rsidR="007E7432" w:rsidRPr="007E7432">
        <w:rPr>
          <w:b/>
          <w:bCs/>
        </w:rPr>
        <w:t xml:space="preserve"> requirements of the PSR regulations</w:t>
      </w:r>
    </w:p>
    <w:p w14:paraId="18425FF6" w14:textId="52ACD636" w:rsidR="00190D36" w:rsidRDefault="006C5706" w:rsidP="00C3463A">
      <w:pPr>
        <w:pStyle w:val="ListParagraph"/>
        <w:spacing w:line="276" w:lineRule="auto"/>
        <w:ind w:left="567" w:hanging="567"/>
      </w:pPr>
      <w:r>
        <w:t xml:space="preserve">In summary, </w:t>
      </w:r>
      <w:r w:rsidR="00D26816">
        <w:t xml:space="preserve">the Panel’s view is that the potential risks to patients from instability or interruption in the managed insourcing service are </w:t>
      </w:r>
      <w:r w:rsidR="00D714B8">
        <w:t xml:space="preserve">constrained by </w:t>
      </w:r>
      <w:r w:rsidR="004A3CA8">
        <w:t xml:space="preserve">UHL’s ability to </w:t>
      </w:r>
      <w:r w:rsidR="00190D36">
        <w:t xml:space="preserve">quickly and easily </w:t>
      </w:r>
      <w:r w:rsidR="004A3CA8">
        <w:t xml:space="preserve">switch to other </w:t>
      </w:r>
      <w:r w:rsidR="005E3CFB">
        <w:t>providers or service arrangements if necessary.</w:t>
      </w:r>
    </w:p>
    <w:p w14:paraId="68315EB8" w14:textId="2D64F8DE" w:rsidR="00147F40" w:rsidRDefault="005E3CFB" w:rsidP="00C3463A">
      <w:pPr>
        <w:pStyle w:val="ListParagraph"/>
        <w:spacing w:line="276" w:lineRule="auto"/>
        <w:ind w:left="567" w:hanging="567"/>
      </w:pPr>
      <w:r>
        <w:t>This</w:t>
      </w:r>
      <w:r w:rsidR="00FF6380">
        <w:t xml:space="preserve"> lower level of risk</w:t>
      </w:r>
      <w:r w:rsidR="007D3A81">
        <w:t xml:space="preserve"> in the managed insourcing service</w:t>
      </w:r>
      <w:r w:rsidR="008B5D6B">
        <w:t>,</w:t>
      </w:r>
      <w:r w:rsidR="007D3A81">
        <w:t xml:space="preserve"> </w:t>
      </w:r>
      <w:r w:rsidR="00E07F9C">
        <w:t>consistent with the obligation of proportionality,</w:t>
      </w:r>
      <w:r>
        <w:t xml:space="preserve"> </w:t>
      </w:r>
      <w:r w:rsidR="0092596B">
        <w:t xml:space="preserve">moderates what </w:t>
      </w:r>
      <w:r w:rsidR="00E07F9C">
        <w:t xml:space="preserve">is required of </w:t>
      </w:r>
      <w:r w:rsidR="00147F40">
        <w:t xml:space="preserve">UHL </w:t>
      </w:r>
      <w:r w:rsidR="00E07F9C">
        <w:t xml:space="preserve">to </w:t>
      </w:r>
      <w:r w:rsidR="00147F40">
        <w:t>meet its service sustainability obligations under the PSR regulations</w:t>
      </w:r>
      <w:r w:rsidR="00E07F9C">
        <w:t xml:space="preserve"> when carrying out a provider selection process for </w:t>
      </w:r>
      <w:r w:rsidR="006D2D4A">
        <w:t>the managed insourcing service.</w:t>
      </w:r>
    </w:p>
    <w:p w14:paraId="2F162479" w14:textId="39E63D5C" w:rsidR="006D2D4A" w:rsidRDefault="006D2D4A" w:rsidP="00C3463A">
      <w:pPr>
        <w:pStyle w:val="ListParagraph"/>
        <w:spacing w:line="276" w:lineRule="auto"/>
        <w:ind w:left="567" w:hanging="567"/>
      </w:pPr>
      <w:r>
        <w:t>The Panel has considered whether UHL’s actions, as described in Section 7.1.2</w:t>
      </w:r>
      <w:r w:rsidR="007A46B9">
        <w:t>, were sufficient to meet its obligations given the proportionality considerations outlined in the previous paragraph.</w:t>
      </w:r>
    </w:p>
    <w:p w14:paraId="372910D2" w14:textId="29EDC470" w:rsidR="00AE77E1" w:rsidRDefault="00AE77E1" w:rsidP="00C3463A">
      <w:pPr>
        <w:pStyle w:val="ListParagraph"/>
        <w:spacing w:line="276" w:lineRule="auto"/>
        <w:ind w:left="567" w:hanging="567"/>
      </w:pPr>
      <w:r>
        <w:t>The Panel’s view is that</w:t>
      </w:r>
      <w:r w:rsidR="009602BA">
        <w:t xml:space="preserve">, notwithstanding </w:t>
      </w:r>
      <w:r w:rsidR="000934CD">
        <w:t xml:space="preserve">its concerns about </w:t>
      </w:r>
      <w:r w:rsidR="009602BA">
        <w:t xml:space="preserve">UHL’s assessment of </w:t>
      </w:r>
      <w:r w:rsidR="005A54A4">
        <w:t>the successful bidder</w:t>
      </w:r>
      <w:r w:rsidR="00E50646">
        <w:t>’</w:t>
      </w:r>
      <w:r w:rsidR="005A54A4">
        <w:t xml:space="preserve">s pricing, UHL has </w:t>
      </w:r>
      <w:r w:rsidR="00E5796D">
        <w:t xml:space="preserve">sufficiently taken service sustainability into account during the provider selection process to </w:t>
      </w:r>
      <w:r w:rsidR="005A54A4">
        <w:t>me</w:t>
      </w:r>
      <w:r w:rsidR="00E5796D">
        <w:t>e</w:t>
      </w:r>
      <w:r w:rsidR="005A54A4">
        <w:t>t its obligations under Regulation 4(1)(a)(</w:t>
      </w:r>
      <w:proofErr w:type="spellStart"/>
      <w:r w:rsidR="005A54A4">
        <w:t>i</w:t>
      </w:r>
      <w:proofErr w:type="spellEnd"/>
      <w:r w:rsidR="005A54A4">
        <w:t>)</w:t>
      </w:r>
      <w:r w:rsidR="00CD4530">
        <w:t xml:space="preserve">, </w:t>
      </w:r>
      <w:r w:rsidR="004C3D54">
        <w:t xml:space="preserve">Regulation 11(2) and </w:t>
      </w:r>
      <w:r w:rsidR="00CD4530">
        <w:t xml:space="preserve">Regulation </w:t>
      </w:r>
      <w:r w:rsidR="004C3D54">
        <w:t>11(5)</w:t>
      </w:r>
      <w:r w:rsidR="005A54A4">
        <w:t xml:space="preserve">. </w:t>
      </w:r>
      <w:r w:rsidR="000934CD">
        <w:t xml:space="preserve">The Panel considers that </w:t>
      </w:r>
      <w:r w:rsidR="00263A07">
        <w:t xml:space="preserve">its concerns about the </w:t>
      </w:r>
      <w:r w:rsidR="00AE170D">
        <w:t xml:space="preserve">evaluation of </w:t>
      </w:r>
      <w:r w:rsidR="007008B8">
        <w:t xml:space="preserve">18 Week Support’s pricing </w:t>
      </w:r>
      <w:r w:rsidR="008E370D">
        <w:t xml:space="preserve">were </w:t>
      </w:r>
      <w:r w:rsidR="00263A07">
        <w:t xml:space="preserve">not sufficient to give rise to a breach of the PSR regulations </w:t>
      </w:r>
      <w:r w:rsidR="001B1898">
        <w:t>given the limited risks to patients of service discontinuity or instability and UHL’s measures to mitigate these risks</w:t>
      </w:r>
      <w:r w:rsidR="00CC3451">
        <w:t>.</w:t>
      </w:r>
    </w:p>
    <w:p w14:paraId="53CA004B" w14:textId="25D568A0" w:rsidR="00EF4D14" w:rsidRDefault="00EF4D14" w:rsidP="00C3463A">
      <w:pPr>
        <w:pStyle w:val="ListParagraph"/>
        <w:spacing w:line="276" w:lineRule="auto"/>
        <w:ind w:left="567" w:hanging="567"/>
      </w:pPr>
      <w:r>
        <w:t>As a result, the Panel finds that UHL</w:t>
      </w:r>
      <w:r w:rsidR="003F7C03">
        <w:t xml:space="preserve">, in carrying out the provider selection process for its insourcing managed service, did not breach </w:t>
      </w:r>
      <w:r w:rsidR="00FF139F">
        <w:t xml:space="preserve">its service sustainability obligations under </w:t>
      </w:r>
      <w:r w:rsidR="003F7C03">
        <w:t>the PSR regulations and in particular Regulation 4(1)(a)(</w:t>
      </w:r>
      <w:proofErr w:type="spellStart"/>
      <w:r w:rsidR="003F7C03">
        <w:t>i</w:t>
      </w:r>
      <w:proofErr w:type="spellEnd"/>
      <w:r w:rsidR="003F7C03">
        <w:t>)</w:t>
      </w:r>
      <w:r w:rsidR="0085090B">
        <w:t>, Regulation 11(2) and Regulation 11(5)</w:t>
      </w:r>
      <w:r w:rsidR="003F7C03">
        <w:t>.</w:t>
      </w:r>
    </w:p>
    <w:p w14:paraId="396482BB" w14:textId="192260D2" w:rsidR="00E05460" w:rsidRDefault="0059485B" w:rsidP="00215E05">
      <w:pPr>
        <w:pStyle w:val="Heading2"/>
        <w:spacing w:before="240" w:after="120"/>
        <w:ind w:left="578" w:hanging="578"/>
      </w:pPr>
      <w:bookmarkStart w:id="19" w:name="_YWR’s_requests_for"/>
      <w:bookmarkStart w:id="20" w:name="_Toc218602396"/>
      <w:bookmarkEnd w:id="13"/>
      <w:bookmarkEnd w:id="19"/>
      <w:r>
        <w:t xml:space="preserve">YWR’s requests for </w:t>
      </w:r>
      <w:r w:rsidR="00082AD9">
        <w:t>information</w:t>
      </w:r>
      <w:r w:rsidR="00DB29D6">
        <w:t xml:space="preserve"> and UHL’s response</w:t>
      </w:r>
      <w:bookmarkEnd w:id="20"/>
    </w:p>
    <w:p w14:paraId="49FC1BE9" w14:textId="62D8B9AD" w:rsidR="0059485B" w:rsidRDefault="0059485B" w:rsidP="00C3463A">
      <w:pPr>
        <w:pStyle w:val="ListParagraph"/>
        <w:spacing w:line="276" w:lineRule="auto"/>
        <w:ind w:left="567" w:hanging="567"/>
      </w:pPr>
      <w:r>
        <w:t>This section sets out the Panel’s assessment of YWR’s concerns about UHL’s response to its requests for information during its review of YWR’s representations.</w:t>
      </w:r>
    </w:p>
    <w:p w14:paraId="08B64B85" w14:textId="0EA6B6B3" w:rsidR="00B55C99" w:rsidRDefault="00E67B88" w:rsidP="00C3463A">
      <w:pPr>
        <w:pStyle w:val="ListParagraph"/>
        <w:spacing w:after="120" w:line="276" w:lineRule="auto"/>
        <w:ind w:left="567" w:hanging="567"/>
      </w:pPr>
      <w:r>
        <w:lastRenderedPageBreak/>
        <w:t xml:space="preserve">The key provisions of the PSR regulations in relation to requests for information during a representation review process </w:t>
      </w:r>
      <w:r w:rsidR="00B55C99">
        <w:t xml:space="preserve">are </w:t>
      </w:r>
      <w:r w:rsidR="00F83AE6" w:rsidRPr="00B209B6">
        <w:t xml:space="preserve">Regulation 12(4)(b) </w:t>
      </w:r>
      <w:r w:rsidR="00B55C99">
        <w:t>and Regulation 12(5).</w:t>
      </w:r>
    </w:p>
    <w:p w14:paraId="5EB3E123" w14:textId="3B578774" w:rsidR="00E67B88" w:rsidRDefault="00B55C99" w:rsidP="00481858">
      <w:pPr>
        <w:pStyle w:val="ListParagraph"/>
        <w:numPr>
          <w:ilvl w:val="0"/>
          <w:numId w:val="13"/>
        </w:numPr>
        <w:spacing w:after="120" w:line="276" w:lineRule="auto"/>
      </w:pPr>
      <w:r>
        <w:t xml:space="preserve">Regulation 12(4)(b) </w:t>
      </w:r>
      <w:r w:rsidR="00F83AE6" w:rsidRPr="00B209B6">
        <w:t>says “Where the relevant authority receives representations… it must… provide promptly any information requested by an aggrieved provider where the relevant authority has a duty to record that information under Regulation 24 (information requirements</w:t>
      </w:r>
      <w:r w:rsidR="00F83AE6">
        <w:t>)</w:t>
      </w:r>
      <w:r w:rsidR="000B198B">
        <w:t>”</w:t>
      </w:r>
      <w:r w:rsidR="00F83AE6" w:rsidRPr="00B209B6">
        <w:t>.</w:t>
      </w:r>
    </w:p>
    <w:p w14:paraId="2794BFA8" w14:textId="19230091" w:rsidR="00B55C99" w:rsidRDefault="00B55C99" w:rsidP="00481858">
      <w:pPr>
        <w:pStyle w:val="ListParagraph"/>
        <w:numPr>
          <w:ilvl w:val="0"/>
          <w:numId w:val="13"/>
        </w:numPr>
        <w:spacing w:line="276" w:lineRule="auto"/>
      </w:pPr>
      <w:r>
        <w:t xml:space="preserve">Regulation 12(5) </w:t>
      </w:r>
      <w:r w:rsidR="000B198B">
        <w:t xml:space="preserve">qualifies Regulation 12(4)(b) by </w:t>
      </w:r>
      <w:r>
        <w:t>say</w:t>
      </w:r>
      <w:r w:rsidR="000B198B">
        <w:t>ing</w:t>
      </w:r>
      <w:r>
        <w:t xml:space="preserve"> “Paragraph (4)(b) does not require the provision of information where provision—(a) would prejudice the legitimate commercial interests of any person, including those of the relevant authority, (b) might prejudice fair competition between providers, or (c)</w:t>
      </w:r>
      <w:r w:rsidR="000B198B">
        <w:t xml:space="preserve"> </w:t>
      </w:r>
      <w:r>
        <w:t>would otherwise be contrary to the public interest.”</w:t>
      </w:r>
    </w:p>
    <w:p w14:paraId="5EBE5BC0" w14:textId="77777777" w:rsidR="00432C70" w:rsidRDefault="00432C70" w:rsidP="00C3463A">
      <w:pPr>
        <w:pStyle w:val="ListParagraph"/>
        <w:spacing w:line="276" w:lineRule="auto"/>
        <w:ind w:left="567" w:hanging="567"/>
        <w:contextualSpacing/>
      </w:pPr>
      <w:r>
        <w:t>The Panel’s assessment of YWR’s representations about UHL’s response to its requests for information is set out as follows:</w:t>
      </w:r>
    </w:p>
    <w:p w14:paraId="47D2D028" w14:textId="727875DE" w:rsidR="00432C70" w:rsidRDefault="00432C70" w:rsidP="00A55FE9">
      <w:pPr>
        <w:pStyle w:val="ListParagraph"/>
        <w:numPr>
          <w:ilvl w:val="0"/>
          <w:numId w:val="23"/>
        </w:numPr>
        <w:spacing w:line="276" w:lineRule="auto"/>
        <w:ind w:left="1276"/>
        <w:contextualSpacing/>
      </w:pPr>
      <w:r>
        <w:t xml:space="preserve">Section 7.2.1 </w:t>
      </w:r>
      <w:r w:rsidR="00F62BBA">
        <w:t>provides an overview of</w:t>
      </w:r>
      <w:r>
        <w:t xml:space="preserve"> </w:t>
      </w:r>
      <w:r w:rsidR="00BD2272">
        <w:t xml:space="preserve">YWR’s information requests and UHL’s </w:t>
      </w:r>
      <w:proofErr w:type="gramStart"/>
      <w:r w:rsidR="00BD2272">
        <w:t>response;</w:t>
      </w:r>
      <w:proofErr w:type="gramEnd"/>
    </w:p>
    <w:p w14:paraId="6F37B9E9" w14:textId="4ABF8D1F" w:rsidR="00BD2272" w:rsidRDefault="00BD2272" w:rsidP="00A55FE9">
      <w:pPr>
        <w:pStyle w:val="ListParagraph"/>
        <w:numPr>
          <w:ilvl w:val="0"/>
          <w:numId w:val="23"/>
        </w:numPr>
        <w:spacing w:line="276" w:lineRule="auto"/>
        <w:ind w:left="1276"/>
        <w:contextualSpacing/>
      </w:pPr>
      <w:r>
        <w:t xml:space="preserve">Section 7.2.2 </w:t>
      </w:r>
      <w:r w:rsidR="0074727B">
        <w:t xml:space="preserve">addresses YWR’s request for </w:t>
      </w:r>
      <w:r w:rsidR="007C1FD5">
        <w:t xml:space="preserve">the price and quality scores for every bidder in the </w:t>
      </w:r>
      <w:proofErr w:type="gramStart"/>
      <w:r w:rsidR="007C1FD5">
        <w:t>procurement;</w:t>
      </w:r>
      <w:proofErr w:type="gramEnd"/>
    </w:p>
    <w:p w14:paraId="58B32462" w14:textId="1D2C319A" w:rsidR="007C1FD5" w:rsidRDefault="007C1FD5" w:rsidP="00A55FE9">
      <w:pPr>
        <w:pStyle w:val="ListParagraph"/>
        <w:numPr>
          <w:ilvl w:val="0"/>
          <w:numId w:val="23"/>
        </w:numPr>
        <w:spacing w:line="276" w:lineRule="auto"/>
        <w:ind w:left="1276"/>
        <w:contextualSpacing/>
      </w:pPr>
      <w:r>
        <w:t xml:space="preserve">Section 7.2.3 addresses YWR’s request for </w:t>
      </w:r>
      <w:r w:rsidR="00596543">
        <w:t xml:space="preserve">information </w:t>
      </w:r>
      <w:r w:rsidR="00340EFC">
        <w:t xml:space="preserve">and records </w:t>
      </w:r>
      <w:r w:rsidR="00E67E8F">
        <w:t xml:space="preserve">regarding </w:t>
      </w:r>
      <w:r w:rsidR="00A451E5">
        <w:t>UHL</w:t>
      </w:r>
      <w:r w:rsidR="00E67E8F">
        <w:t>’s</w:t>
      </w:r>
      <w:r w:rsidR="00A451E5">
        <w:t xml:space="preserve"> consider</w:t>
      </w:r>
      <w:r w:rsidR="00E67E8F">
        <w:t xml:space="preserve">ation of </w:t>
      </w:r>
      <w:r w:rsidR="00A451E5">
        <w:t>the sustainability of 18 Week</w:t>
      </w:r>
      <w:r w:rsidR="00961648">
        <w:t xml:space="preserve"> Support</w:t>
      </w:r>
      <w:r w:rsidR="00A451E5">
        <w:t>’s bid;</w:t>
      </w:r>
      <w:r w:rsidR="00A55FE9">
        <w:t xml:space="preserve"> and</w:t>
      </w:r>
    </w:p>
    <w:p w14:paraId="59C4D716" w14:textId="57A5C11B" w:rsidR="00A451E5" w:rsidRDefault="00A451E5" w:rsidP="00A55FE9">
      <w:pPr>
        <w:pStyle w:val="ListParagraph"/>
        <w:numPr>
          <w:ilvl w:val="0"/>
          <w:numId w:val="23"/>
        </w:numPr>
        <w:spacing w:line="276" w:lineRule="auto"/>
        <w:ind w:left="1276"/>
      </w:pPr>
      <w:r>
        <w:t xml:space="preserve">Section 7.2.4 addresses YWR’s request for </w:t>
      </w:r>
      <w:r w:rsidR="00E67E8F">
        <w:t xml:space="preserve">information and </w:t>
      </w:r>
      <w:r w:rsidR="00335829">
        <w:t xml:space="preserve">records </w:t>
      </w:r>
      <w:r w:rsidR="00E67E8F">
        <w:t xml:space="preserve">about </w:t>
      </w:r>
      <w:r w:rsidR="00335829">
        <w:t>the bid clarification question of 30 June 2025</w:t>
      </w:r>
      <w:r w:rsidR="00A55FE9">
        <w:t>.</w:t>
      </w:r>
    </w:p>
    <w:p w14:paraId="142EBEA6" w14:textId="5A2AC4AB" w:rsidR="00432C70" w:rsidRPr="000B359F" w:rsidRDefault="00A55FE9" w:rsidP="000B359F">
      <w:pPr>
        <w:keepNext/>
        <w:spacing w:before="240" w:line="276" w:lineRule="auto"/>
        <w:ind w:left="567" w:hanging="567"/>
        <w:rPr>
          <w:b/>
          <w:bCs/>
        </w:rPr>
      </w:pPr>
      <w:r w:rsidRPr="000B359F">
        <w:rPr>
          <w:b/>
          <w:bCs/>
        </w:rPr>
        <w:t xml:space="preserve">7.2.1 </w:t>
      </w:r>
      <w:r w:rsidR="000B359F" w:rsidRPr="000B359F">
        <w:rPr>
          <w:b/>
          <w:bCs/>
        </w:rPr>
        <w:t>Overview of YWR’s information requests and UHL’s response</w:t>
      </w:r>
    </w:p>
    <w:p w14:paraId="33BF6E4D" w14:textId="4F65EC80" w:rsidR="00A25AF4" w:rsidRDefault="00614B83" w:rsidP="00C3463A">
      <w:pPr>
        <w:pStyle w:val="ListParagraph"/>
        <w:spacing w:after="120" w:line="276" w:lineRule="auto"/>
        <w:ind w:left="567" w:hanging="567"/>
        <w:contextualSpacing/>
      </w:pPr>
      <w:bookmarkStart w:id="21" w:name="_Ref215652757"/>
      <w:r>
        <w:t>YWR made its first information request to UHL, as part of its representations</w:t>
      </w:r>
      <w:r w:rsidR="00F93070">
        <w:t>,</w:t>
      </w:r>
      <w:r>
        <w:t xml:space="preserve"> on </w:t>
      </w:r>
      <w:r w:rsidR="00394EC1">
        <w:t>9 September 2025</w:t>
      </w:r>
      <w:r w:rsidR="00F93070">
        <w:t xml:space="preserve"> and requested the following</w:t>
      </w:r>
      <w:r w:rsidR="00FB0FEC">
        <w:t>:</w:t>
      </w:r>
      <w:bookmarkEnd w:id="21"/>
    </w:p>
    <w:p w14:paraId="4BBDD873" w14:textId="61ED24BB" w:rsidR="00FB0FEC" w:rsidRDefault="00F663F1" w:rsidP="00A55FE9">
      <w:pPr>
        <w:pStyle w:val="ListParagraph"/>
        <w:numPr>
          <w:ilvl w:val="0"/>
          <w:numId w:val="13"/>
        </w:numPr>
        <w:spacing w:after="120" w:line="276" w:lineRule="auto"/>
        <w:contextualSpacing/>
      </w:pPr>
      <w:r>
        <w:t>“</w:t>
      </w:r>
      <w:proofErr w:type="gramStart"/>
      <w:r w:rsidR="00EB4436">
        <w:t>the</w:t>
      </w:r>
      <w:proofErr w:type="gramEnd"/>
      <w:r w:rsidR="00EB4436">
        <w:t xml:space="preserve"> overall scores together with the separate </w:t>
      </w:r>
      <w:r w:rsidR="005219DC">
        <w:t>price and quality scores for every bidder in the procurement”</w:t>
      </w:r>
      <w:r w:rsidR="00B54E81">
        <w:t>; and</w:t>
      </w:r>
    </w:p>
    <w:p w14:paraId="049FDBC9" w14:textId="78644063" w:rsidR="00A213D6" w:rsidRDefault="00A17229" w:rsidP="00A55FE9">
      <w:pPr>
        <w:pStyle w:val="ListParagraph"/>
        <w:numPr>
          <w:ilvl w:val="0"/>
          <w:numId w:val="13"/>
        </w:numPr>
        <w:spacing w:line="276" w:lineRule="auto"/>
      </w:pPr>
      <w:r>
        <w:t>“</w:t>
      </w:r>
      <w:proofErr w:type="gramStart"/>
      <w:r>
        <w:t>full</w:t>
      </w:r>
      <w:proofErr w:type="gramEnd"/>
      <w:r>
        <w:t xml:space="preserve"> records of the evaluation of YWR’s bid</w:t>
      </w:r>
      <w:r w:rsidR="005F756C">
        <w:t xml:space="preserve"> and of 18 Week’s bid</w:t>
      </w:r>
      <w:r w:rsidR="00492DBB">
        <w:t>”</w:t>
      </w:r>
      <w:r w:rsidR="00B54E81">
        <w:t>.</w:t>
      </w:r>
      <w:r w:rsidR="006C1239">
        <w:rPr>
          <w:rStyle w:val="FootnoteReference"/>
        </w:rPr>
        <w:footnoteReference w:id="53"/>
      </w:r>
    </w:p>
    <w:p w14:paraId="112F6CA7" w14:textId="788A1421" w:rsidR="00B54E81" w:rsidRDefault="0037435A" w:rsidP="00C3463A">
      <w:pPr>
        <w:pStyle w:val="ListParagraph"/>
        <w:spacing w:after="120" w:line="276" w:lineRule="auto"/>
        <w:ind w:left="567" w:hanging="567"/>
      </w:pPr>
      <w:bookmarkStart w:id="22" w:name="_Ref215652800"/>
      <w:r>
        <w:t>UHL</w:t>
      </w:r>
      <w:r w:rsidR="007825EE">
        <w:t xml:space="preserve">, in responding to YWR’s </w:t>
      </w:r>
      <w:r>
        <w:t xml:space="preserve">request on </w:t>
      </w:r>
      <w:r w:rsidR="00F202FE">
        <w:t>30 September 2025</w:t>
      </w:r>
      <w:r w:rsidR="007825EE">
        <w:t xml:space="preserve">, said that it would not be providing </w:t>
      </w:r>
      <w:r w:rsidR="0068529D">
        <w:t>the evaluation records</w:t>
      </w:r>
      <w:r w:rsidR="004D0625">
        <w:t>,</w:t>
      </w:r>
      <w:r w:rsidR="0068529D">
        <w:t xml:space="preserve"> </w:t>
      </w:r>
      <w:r w:rsidR="00BC598D">
        <w:t xml:space="preserve">as a new tender outcome letter and </w:t>
      </w:r>
      <w:r w:rsidR="00D9366A">
        <w:t>intention to award</w:t>
      </w:r>
      <w:r w:rsidR="00013861">
        <w:t xml:space="preserve"> </w:t>
      </w:r>
      <w:r w:rsidR="00BC598D">
        <w:t xml:space="preserve">notice would </w:t>
      </w:r>
      <w:r w:rsidR="008E2B85">
        <w:t xml:space="preserve">provide the information that had been requested. </w:t>
      </w:r>
      <w:r w:rsidR="00AD0F2B">
        <w:t xml:space="preserve">In relation to YWR’s request for </w:t>
      </w:r>
      <w:r w:rsidR="003767FF">
        <w:t>pricing and quality scores, UHL said:</w:t>
      </w:r>
      <w:bookmarkEnd w:id="22"/>
    </w:p>
    <w:p w14:paraId="2E5189E4" w14:textId="57FE8CFE" w:rsidR="003767FF" w:rsidRPr="00E3200B" w:rsidRDefault="007133BA" w:rsidP="00E22746">
      <w:pPr>
        <w:pStyle w:val="ListParagraph"/>
        <w:numPr>
          <w:ilvl w:val="0"/>
          <w:numId w:val="0"/>
        </w:numPr>
        <w:ind w:left="851"/>
        <w:rPr>
          <w:sz w:val="21"/>
          <w:szCs w:val="21"/>
        </w:rPr>
      </w:pPr>
      <w:r w:rsidRPr="00E3200B">
        <w:rPr>
          <w:sz w:val="21"/>
          <w:szCs w:val="21"/>
        </w:rPr>
        <w:t>“</w:t>
      </w:r>
      <w:r w:rsidR="007D098D" w:rsidRPr="00E3200B">
        <w:rPr>
          <w:sz w:val="21"/>
          <w:szCs w:val="21"/>
        </w:rPr>
        <w:t>You requested information in relation to 18 Weeks Support Limited’s discount and the discounts offered by other bidders. The Trust did not consider the winning bidder’s bid to be ‘economically unviable</w:t>
      </w:r>
      <w:proofErr w:type="gramStart"/>
      <w:r w:rsidR="007D098D" w:rsidRPr="00E3200B">
        <w:rPr>
          <w:sz w:val="21"/>
          <w:szCs w:val="21"/>
        </w:rPr>
        <w:t>’,</w:t>
      </w:r>
      <w:proofErr w:type="gramEnd"/>
      <w:r w:rsidR="007D098D" w:rsidRPr="00E3200B">
        <w:rPr>
          <w:sz w:val="21"/>
          <w:szCs w:val="21"/>
        </w:rPr>
        <w:t xml:space="preserve"> however a clarification question was issued to all bidders to ensure the commercial evaluation criteria had been fully understood. Records of all bidder responses are held. We will not be providing the details of bidder responses to this clarification process, or the overall scores with the separate price and quality scores for every bidder in the procurement as to do so might prejudice fair competition between providers in the future.</w:t>
      </w:r>
      <w:r w:rsidRPr="00E3200B">
        <w:rPr>
          <w:sz w:val="21"/>
          <w:szCs w:val="21"/>
        </w:rPr>
        <w:t>”</w:t>
      </w:r>
      <w:r w:rsidR="00403394">
        <w:rPr>
          <w:rStyle w:val="FootnoteReference"/>
          <w:sz w:val="21"/>
          <w:szCs w:val="21"/>
        </w:rPr>
        <w:footnoteReference w:id="54"/>
      </w:r>
    </w:p>
    <w:p w14:paraId="61526C6B" w14:textId="46129759" w:rsidR="00F83AE6" w:rsidRPr="00B209B6" w:rsidRDefault="00484484" w:rsidP="00846CF2">
      <w:pPr>
        <w:pStyle w:val="ListParagraph"/>
        <w:spacing w:after="120" w:line="276" w:lineRule="auto"/>
        <w:ind w:left="567" w:hanging="567"/>
      </w:pPr>
      <w:bookmarkStart w:id="23" w:name="_Ref218599282"/>
      <w:r>
        <w:t xml:space="preserve">YWR made </w:t>
      </w:r>
      <w:r w:rsidR="008D4C2A">
        <w:t xml:space="preserve">a further request for information </w:t>
      </w:r>
      <w:r w:rsidR="00481858">
        <w:t>on 8 October 2025</w:t>
      </w:r>
      <w:r w:rsidR="00353AEE">
        <w:rPr>
          <w:rStyle w:val="FootnoteReference"/>
        </w:rPr>
        <w:footnoteReference w:id="55"/>
      </w:r>
      <w:r w:rsidR="00282BD5">
        <w:t xml:space="preserve"> asking for:</w:t>
      </w:r>
      <w:bookmarkEnd w:id="23"/>
    </w:p>
    <w:p w14:paraId="347EA981" w14:textId="69DD9BB8" w:rsidR="006F4910" w:rsidRPr="00D612D4" w:rsidRDefault="007E69F5" w:rsidP="00846CF2">
      <w:pPr>
        <w:pStyle w:val="ListParagraph"/>
        <w:numPr>
          <w:ilvl w:val="0"/>
          <w:numId w:val="23"/>
        </w:numPr>
        <w:spacing w:after="120" w:line="276" w:lineRule="auto"/>
      </w:pPr>
      <w:r>
        <w:lastRenderedPageBreak/>
        <w:t xml:space="preserve">first, </w:t>
      </w:r>
      <w:r w:rsidR="006F4910" w:rsidRPr="00D612D4">
        <w:t>“information as to the manner in which the Authority considered the sustainability of 18 Week’s bid and any conclusions the Authority reached, together with the provision of records of the Authority’s decision-making in relation to this issue</w:t>
      </w:r>
      <w:proofErr w:type="gramStart"/>
      <w:r w:rsidR="006F4910" w:rsidRPr="00D612D4">
        <w:t>”</w:t>
      </w:r>
      <w:r w:rsidR="00734229">
        <w:t>;</w:t>
      </w:r>
      <w:proofErr w:type="gramEnd"/>
    </w:p>
    <w:p w14:paraId="4AD4A067" w14:textId="246C7E05" w:rsidR="00697523" w:rsidRDefault="007E69F5" w:rsidP="00481858">
      <w:pPr>
        <w:pStyle w:val="ListParagraph"/>
        <w:numPr>
          <w:ilvl w:val="0"/>
          <w:numId w:val="23"/>
        </w:numPr>
        <w:spacing w:after="120" w:line="276" w:lineRule="auto"/>
      </w:pPr>
      <w:r>
        <w:t xml:space="preserve">second, </w:t>
      </w:r>
      <w:r w:rsidR="006F4910" w:rsidRPr="00D612D4">
        <w:t>“any records of the Authority’s reasons for asking the bid clarification questions</w:t>
      </w:r>
      <w:r w:rsidR="00314F08">
        <w:t>”</w:t>
      </w:r>
      <w:r w:rsidR="006F4910" w:rsidRPr="00D612D4">
        <w:t xml:space="preserve"> referr</w:t>
      </w:r>
      <w:r w:rsidR="00137FCC">
        <w:t xml:space="preserve">ing to </w:t>
      </w:r>
      <w:r w:rsidR="00AB6608">
        <w:t xml:space="preserve">UHL’s clarification question of 3 June 2025 </w:t>
      </w:r>
      <w:r w:rsidR="005A6CE6">
        <w:t>(</w:t>
      </w:r>
      <w:r w:rsidR="00AB6608">
        <w:t>which asked “</w:t>
      </w:r>
      <w:r w:rsidR="004C1444">
        <w:t xml:space="preserve">Please can you confirm the </w:t>
      </w:r>
      <w:r w:rsidR="00B96D2B">
        <w:t>percentage discount offered</w:t>
      </w:r>
      <w:r w:rsidR="00382B99">
        <w:t xml:space="preserve"> in your submission is overall discount from NHS Payment Scheme prices as requested in section 3 of schedule </w:t>
      </w:r>
      <w:r w:rsidR="00550AA2">
        <w:t>B?”</w:t>
      </w:r>
      <w:r w:rsidR="005A6CE6">
        <w:t xml:space="preserve">), and </w:t>
      </w:r>
      <w:r w:rsidR="005A6CE6" w:rsidRPr="00D612D4">
        <w:t>“any records of the Authority’s reasons for concluding that further consideration of or investigation into the sustainability of the successful bid was not required”</w:t>
      </w:r>
      <w:r w:rsidR="005A6CE6">
        <w:t>;</w:t>
      </w:r>
    </w:p>
    <w:p w14:paraId="0E208F5A" w14:textId="7114C1A7" w:rsidR="006F4910" w:rsidRPr="00D612D4" w:rsidRDefault="005A6CE6" w:rsidP="00481858">
      <w:pPr>
        <w:pStyle w:val="ListParagraph"/>
        <w:numPr>
          <w:ilvl w:val="0"/>
          <w:numId w:val="23"/>
        </w:numPr>
        <w:spacing w:after="120" w:line="276" w:lineRule="auto"/>
      </w:pPr>
      <w:r>
        <w:t xml:space="preserve">third, </w:t>
      </w:r>
      <w:r w:rsidR="006F4910" w:rsidRPr="00D612D4">
        <w:t>“the overall scores together with the separate price and quality scores for every bidder in the Procurement. This information will enable YWR to understand whether 18 Week’s price submission was an obvious outlier such as to present an obvious risk to service sustainability”</w:t>
      </w:r>
      <w:r w:rsidR="00734229">
        <w:t>; and</w:t>
      </w:r>
    </w:p>
    <w:p w14:paraId="122818FC" w14:textId="52A4011E" w:rsidR="006F4910" w:rsidRPr="00D612D4" w:rsidRDefault="00C01119" w:rsidP="00AF0C83">
      <w:pPr>
        <w:pStyle w:val="ListParagraph"/>
        <w:numPr>
          <w:ilvl w:val="0"/>
          <w:numId w:val="23"/>
        </w:numPr>
        <w:spacing w:line="276" w:lineRule="auto"/>
        <w:ind w:left="1077" w:hanging="357"/>
      </w:pPr>
      <w:r>
        <w:t xml:space="preserve">finally, </w:t>
      </w:r>
      <w:r w:rsidR="006F4910" w:rsidRPr="00CC1877">
        <w:t xml:space="preserve">“the bid clarification questions issued to other bidders </w:t>
      </w:r>
      <w:r w:rsidR="00A12DAC">
        <w:t xml:space="preserve">… </w:t>
      </w:r>
      <w:r w:rsidR="006F4910" w:rsidRPr="00CC1877">
        <w:t>together with the responses received by the Authority from other bidders to those questions”</w:t>
      </w:r>
      <w:r w:rsidR="008C7651">
        <w:t>.</w:t>
      </w:r>
    </w:p>
    <w:p w14:paraId="33AFC4A9" w14:textId="7015326E" w:rsidR="002B0FE5" w:rsidRDefault="0063798D" w:rsidP="00C3463A">
      <w:pPr>
        <w:pStyle w:val="ListParagraph"/>
        <w:spacing w:line="276" w:lineRule="auto"/>
        <w:ind w:left="567" w:hanging="567"/>
      </w:pPr>
      <w:r>
        <w:t>UHL responded to YWR’s</w:t>
      </w:r>
      <w:r w:rsidR="00D25FCE">
        <w:t xml:space="preserve"> second request for information on 14 October 2025</w:t>
      </w:r>
      <w:r w:rsidR="002B0FE5">
        <w:t xml:space="preserve">. In the same letter, UHL </w:t>
      </w:r>
      <w:r w:rsidR="002D5EA8">
        <w:t>set out</w:t>
      </w:r>
      <w:r w:rsidR="002B0FE5">
        <w:t xml:space="preserve"> its response to </w:t>
      </w:r>
      <w:r w:rsidR="002D5EA8">
        <w:t xml:space="preserve">YWR’s representations </w:t>
      </w:r>
      <w:r w:rsidR="003338A5">
        <w:t xml:space="preserve">and </w:t>
      </w:r>
      <w:r w:rsidR="002D5EA8">
        <w:t xml:space="preserve">its further decision to </w:t>
      </w:r>
      <w:proofErr w:type="gramStart"/>
      <w:r w:rsidR="001C526B">
        <w:t>enter into</w:t>
      </w:r>
      <w:proofErr w:type="gramEnd"/>
      <w:r w:rsidR="001C526B">
        <w:t xml:space="preserve"> a</w:t>
      </w:r>
      <w:r w:rsidR="002314B9">
        <w:t xml:space="preserve"> contract</w:t>
      </w:r>
      <w:r w:rsidR="002D5EA8">
        <w:t xml:space="preserve"> </w:t>
      </w:r>
      <w:r w:rsidR="006A336C">
        <w:t xml:space="preserve">with </w:t>
      </w:r>
      <w:r w:rsidR="001C526B">
        <w:t>18 Week Support.</w:t>
      </w:r>
    </w:p>
    <w:p w14:paraId="641E0669" w14:textId="08C17EA9" w:rsidR="00C6408D" w:rsidRDefault="00C6408D" w:rsidP="00C3463A">
      <w:pPr>
        <w:pStyle w:val="ListParagraph"/>
        <w:spacing w:after="120" w:line="276" w:lineRule="auto"/>
        <w:ind w:left="567" w:hanging="567"/>
      </w:pPr>
      <w:r w:rsidRPr="00DA1EFB">
        <w:t>YWR, in its representations to the Panel, s</w:t>
      </w:r>
      <w:r w:rsidRPr="003D5AB4">
        <w:t>aid:</w:t>
      </w:r>
    </w:p>
    <w:p w14:paraId="6EE8CE52" w14:textId="77777777" w:rsidR="00C6408D" w:rsidRPr="00C6408D" w:rsidRDefault="00C6408D" w:rsidP="00C6408D">
      <w:pPr>
        <w:spacing w:after="120"/>
        <w:ind w:left="851"/>
        <w:rPr>
          <w:sz w:val="21"/>
          <w:szCs w:val="21"/>
        </w:rPr>
      </w:pPr>
      <w:r w:rsidRPr="00C6408D">
        <w:rPr>
          <w:sz w:val="21"/>
          <w:szCs w:val="21"/>
        </w:rPr>
        <w:t xml:space="preserve">“The authority’s letter dated 14 October 2025 has provided a narrative response to the representations made by the applicant (YWR), but the authority has at the same time refused to disclose numerous records of the procurement process which YWR had requested. As a </w:t>
      </w:r>
      <w:proofErr w:type="gramStart"/>
      <w:r w:rsidRPr="00C6408D">
        <w:rPr>
          <w:sz w:val="21"/>
          <w:szCs w:val="21"/>
        </w:rPr>
        <w:t>result</w:t>
      </w:r>
      <w:proofErr w:type="gramEnd"/>
      <w:r w:rsidRPr="00C6408D">
        <w:rPr>
          <w:sz w:val="21"/>
          <w:szCs w:val="21"/>
        </w:rPr>
        <w:t xml:space="preserve"> YWR is unable to verify whether the explanations which the authority has given are accurate or provide all relevant information.</w:t>
      </w:r>
    </w:p>
    <w:p w14:paraId="74401A5E" w14:textId="77777777" w:rsidR="00C6408D" w:rsidRPr="00C6408D" w:rsidRDefault="00C6408D" w:rsidP="00C6408D">
      <w:pPr>
        <w:ind w:left="851"/>
        <w:rPr>
          <w:sz w:val="21"/>
          <w:szCs w:val="21"/>
        </w:rPr>
      </w:pPr>
      <w:r w:rsidRPr="00C6408D">
        <w:rPr>
          <w:sz w:val="21"/>
          <w:szCs w:val="21"/>
        </w:rPr>
        <w:t>YWR therefore asks that the Panel (first) consider whether it is entitled to the information it has requested, for the purposes of enabling (second) scrutiny of the authority’s responses and in particular scrutiny as to whether (as YWR has asserted in its representations) the authority has failed to comply with its obligation to ensure service sustainability (among other obligations) when reaching its award decision.</w:t>
      </w:r>
    </w:p>
    <w:p w14:paraId="1E69E664" w14:textId="23C098D1" w:rsidR="00DC55BA" w:rsidRPr="00455139" w:rsidRDefault="00455139" w:rsidP="00455139">
      <w:pPr>
        <w:keepNext/>
        <w:spacing w:before="240" w:line="276" w:lineRule="auto"/>
        <w:ind w:left="567" w:hanging="567"/>
        <w:rPr>
          <w:b/>
          <w:bCs/>
        </w:rPr>
      </w:pPr>
      <w:r>
        <w:rPr>
          <w:b/>
          <w:bCs/>
        </w:rPr>
        <w:t xml:space="preserve">7.2.2 YWR’s request for </w:t>
      </w:r>
      <w:r w:rsidR="000E1AAB">
        <w:rPr>
          <w:b/>
          <w:bCs/>
        </w:rPr>
        <w:t>price and quality scores for other bidders</w:t>
      </w:r>
    </w:p>
    <w:p w14:paraId="55C91DF0" w14:textId="3CEB3ECC" w:rsidR="00EE057A" w:rsidRDefault="00FB4FEF" w:rsidP="00C3463A">
      <w:pPr>
        <w:pStyle w:val="ListParagraph"/>
        <w:spacing w:line="276" w:lineRule="auto"/>
        <w:ind w:left="567" w:hanging="567"/>
      </w:pPr>
      <w:r>
        <w:t xml:space="preserve">YWR </w:t>
      </w:r>
      <w:r w:rsidR="006041AF">
        <w:t>initially asked for</w:t>
      </w:r>
      <w:r>
        <w:t xml:space="preserve"> </w:t>
      </w:r>
      <w:r w:rsidR="00897033">
        <w:t xml:space="preserve">other bidders’ scores, including their separate price and quality scores, on 9 September 2025 (see paragraph </w:t>
      </w:r>
      <w:r w:rsidR="000C0F89">
        <w:t>110</w:t>
      </w:r>
      <w:r w:rsidR="00897033">
        <w:t xml:space="preserve">). This request was rejected by UHL on 30 September 2025 (see paragraph </w:t>
      </w:r>
      <w:r w:rsidR="000C0F89">
        <w:t>111</w:t>
      </w:r>
      <w:r w:rsidR="00897033">
        <w:t>).</w:t>
      </w:r>
    </w:p>
    <w:p w14:paraId="1EF144B6" w14:textId="0E129A01" w:rsidR="00455139" w:rsidRDefault="007F2B1C" w:rsidP="001635C1">
      <w:pPr>
        <w:pStyle w:val="ListParagraph"/>
        <w:spacing w:after="120" w:line="276" w:lineRule="auto"/>
        <w:ind w:left="567" w:hanging="567"/>
      </w:pPr>
      <w:r>
        <w:t xml:space="preserve">On </w:t>
      </w:r>
      <w:r w:rsidR="00EE057A">
        <w:t xml:space="preserve">8 October 2025, </w:t>
      </w:r>
      <w:r>
        <w:t xml:space="preserve">YWR </w:t>
      </w:r>
      <w:r w:rsidR="00662FC4">
        <w:t>repeated</w:t>
      </w:r>
      <w:r w:rsidR="00EE057A">
        <w:t xml:space="preserve"> its request for the </w:t>
      </w:r>
      <w:r w:rsidR="003160B6">
        <w:t xml:space="preserve">overall scores and </w:t>
      </w:r>
      <w:r w:rsidR="00DD1699">
        <w:t xml:space="preserve">the separate </w:t>
      </w:r>
      <w:r w:rsidR="00187FA9">
        <w:t>price and quality scores for every bidder</w:t>
      </w:r>
      <w:r w:rsidR="001A298B">
        <w:t>, reject</w:t>
      </w:r>
      <w:r>
        <w:t xml:space="preserve">ing </w:t>
      </w:r>
      <w:r w:rsidR="0075516F">
        <w:t xml:space="preserve">UHL’s </w:t>
      </w:r>
      <w:r w:rsidR="00537437">
        <w:t xml:space="preserve">explanation </w:t>
      </w:r>
      <w:r w:rsidR="001D3B8C">
        <w:t xml:space="preserve">that it was refusing to supply this information on the grounds that </w:t>
      </w:r>
      <w:r w:rsidR="0056565F">
        <w:t xml:space="preserve">this might prejudice </w:t>
      </w:r>
      <w:r w:rsidR="00B640D2">
        <w:t>competition between providers in the future. YWR</w:t>
      </w:r>
      <w:r w:rsidR="002255A4">
        <w:t xml:space="preserve"> </w:t>
      </w:r>
      <w:r>
        <w:t>said</w:t>
      </w:r>
      <w:r w:rsidR="006E5F0A">
        <w:t>:</w:t>
      </w:r>
    </w:p>
    <w:p w14:paraId="40A0CAEB" w14:textId="71B88FCD" w:rsidR="006E5F0A" w:rsidRPr="00FE200C" w:rsidRDefault="00FE200C" w:rsidP="001635C1">
      <w:pPr>
        <w:pStyle w:val="ListParagraph"/>
        <w:numPr>
          <w:ilvl w:val="0"/>
          <w:numId w:val="0"/>
        </w:numPr>
        <w:ind w:left="851"/>
        <w:rPr>
          <w:sz w:val="21"/>
          <w:szCs w:val="21"/>
        </w:rPr>
      </w:pPr>
      <w:r w:rsidRPr="00FE200C">
        <w:rPr>
          <w:sz w:val="21"/>
          <w:szCs w:val="21"/>
        </w:rPr>
        <w:t xml:space="preserve">“Revealing the price scores of other unsuccessful bidders, and thus the levels of discount offered by those bidders, will not have this effect, since the pricing offered by bidders was contract-specific, was offered nearly 6 months ago, and in any event all bidders are now aware of the discount offered by the winning bidder, which knowledge </w:t>
      </w:r>
      <w:r w:rsidRPr="00FE200C">
        <w:rPr>
          <w:sz w:val="21"/>
          <w:szCs w:val="21"/>
        </w:rPr>
        <w:lastRenderedPageBreak/>
        <w:t>will have superseded any previous pricing and thus changed competition between them (including, but not limited to, competition in the event of a re-run of the Procurement)”.</w:t>
      </w:r>
      <w:r w:rsidR="009D5E7D">
        <w:rPr>
          <w:rStyle w:val="FootnoteReference"/>
          <w:sz w:val="21"/>
          <w:szCs w:val="21"/>
        </w:rPr>
        <w:footnoteReference w:id="56"/>
      </w:r>
    </w:p>
    <w:p w14:paraId="1622E3BF" w14:textId="3BAEF646" w:rsidR="008D5CBE" w:rsidRDefault="00461FD0" w:rsidP="00C3463A">
      <w:pPr>
        <w:pStyle w:val="ListParagraph"/>
        <w:spacing w:after="120" w:line="276" w:lineRule="auto"/>
        <w:ind w:left="567" w:hanging="567"/>
      </w:pPr>
      <w:r>
        <w:t>On 14 October 2025, UHL responded to this further request</w:t>
      </w:r>
      <w:r w:rsidR="00F96D20">
        <w:t>,</w:t>
      </w:r>
      <w:r>
        <w:t xml:space="preserve"> saying </w:t>
      </w:r>
      <w:r w:rsidR="00D23861">
        <w:t>that</w:t>
      </w:r>
      <w:r w:rsidR="008D5CBE">
        <w:t>:</w:t>
      </w:r>
    </w:p>
    <w:p w14:paraId="0BD95BD4" w14:textId="5586EA6F" w:rsidR="006E5F0A" w:rsidRPr="008D5CBE" w:rsidRDefault="00D23861" w:rsidP="008D5CBE">
      <w:pPr>
        <w:pStyle w:val="ListParagraph"/>
        <w:numPr>
          <w:ilvl w:val="0"/>
          <w:numId w:val="0"/>
        </w:numPr>
        <w:spacing w:line="276" w:lineRule="auto"/>
        <w:ind w:left="851"/>
        <w:rPr>
          <w:sz w:val="21"/>
          <w:szCs w:val="21"/>
        </w:rPr>
      </w:pPr>
      <w:r w:rsidRPr="008D5CBE">
        <w:rPr>
          <w:sz w:val="21"/>
          <w:szCs w:val="21"/>
        </w:rPr>
        <w:t>“</w:t>
      </w:r>
      <w:r w:rsidR="00010D4D">
        <w:rPr>
          <w:sz w:val="21"/>
          <w:szCs w:val="21"/>
        </w:rPr>
        <w:t xml:space="preserve">[UHL] </w:t>
      </w:r>
      <w:r w:rsidRPr="008D5CBE">
        <w:rPr>
          <w:sz w:val="21"/>
          <w:szCs w:val="21"/>
        </w:rPr>
        <w:t>still considers</w:t>
      </w:r>
      <w:r w:rsidR="004C559E" w:rsidRPr="008D5CBE">
        <w:rPr>
          <w:sz w:val="21"/>
          <w:szCs w:val="21"/>
        </w:rPr>
        <w:t xml:space="preserve"> the information that YWR are requesting to be such that it might prejudice fair competition between providers in the future. While your comments about the age and contract specificity of the pricing are noted</w:t>
      </w:r>
      <w:r w:rsidR="00EC5EE8" w:rsidRPr="008D5CBE">
        <w:rPr>
          <w:sz w:val="21"/>
          <w:szCs w:val="21"/>
        </w:rPr>
        <w:t xml:space="preserve">, provision of this data would still </w:t>
      </w:r>
      <w:r w:rsidR="00837EEA" w:rsidRPr="008D5CBE">
        <w:rPr>
          <w:sz w:val="21"/>
          <w:szCs w:val="21"/>
        </w:rPr>
        <w:t xml:space="preserve">provide an unfair advantage within the market should </w:t>
      </w:r>
      <w:r w:rsidR="00A005F7" w:rsidRPr="008D5CBE">
        <w:rPr>
          <w:sz w:val="21"/>
          <w:szCs w:val="21"/>
        </w:rPr>
        <w:t>[UHL] or indeed</w:t>
      </w:r>
      <w:r w:rsidR="00E22E1C" w:rsidRPr="008D5CBE">
        <w:rPr>
          <w:sz w:val="21"/>
          <w:szCs w:val="21"/>
        </w:rPr>
        <w:t xml:space="preserve"> other Trusts decide to run a competitive process for a similar service in the future”.</w:t>
      </w:r>
    </w:p>
    <w:p w14:paraId="20E08EBF" w14:textId="09AF0BE9" w:rsidR="00E22E1C" w:rsidRDefault="00010D4D" w:rsidP="00C3463A">
      <w:pPr>
        <w:pStyle w:val="ListParagraph"/>
        <w:spacing w:line="276" w:lineRule="auto"/>
        <w:ind w:left="567" w:hanging="567"/>
      </w:pPr>
      <w:r>
        <w:t xml:space="preserve">During </w:t>
      </w:r>
      <w:r w:rsidR="00B47BFD">
        <w:t xml:space="preserve">the Panel’s </w:t>
      </w:r>
      <w:r>
        <w:t xml:space="preserve">review, </w:t>
      </w:r>
      <w:r w:rsidR="00662FC4">
        <w:t>YWR</w:t>
      </w:r>
      <w:r>
        <w:t xml:space="preserve"> </w:t>
      </w:r>
      <w:r w:rsidR="00662FC4">
        <w:t xml:space="preserve">reiterated </w:t>
      </w:r>
      <w:r>
        <w:t xml:space="preserve">its </w:t>
      </w:r>
      <w:r w:rsidR="00B66A37">
        <w:t xml:space="preserve">arguments </w:t>
      </w:r>
      <w:r w:rsidR="005C2557">
        <w:t xml:space="preserve">about </w:t>
      </w:r>
      <w:r w:rsidR="001971B7">
        <w:t xml:space="preserve">the amount of time that had passed since </w:t>
      </w:r>
      <w:r w:rsidR="00252D96">
        <w:t xml:space="preserve">bidders submitted their prices, </w:t>
      </w:r>
      <w:r w:rsidR="00175D79">
        <w:t xml:space="preserve">and that all bidders would now </w:t>
      </w:r>
      <w:r w:rsidR="004A242A" w:rsidRPr="004A242A">
        <w:t>have been able to calculate</w:t>
      </w:r>
      <w:r w:rsidR="00175D79">
        <w:t xml:space="preserve"> the discount offered by the winning bidder</w:t>
      </w:r>
      <w:r w:rsidR="001A49A5">
        <w:t xml:space="preserve"> and, as a result</w:t>
      </w:r>
      <w:r w:rsidR="001E26FC">
        <w:t xml:space="preserve">, </w:t>
      </w:r>
      <w:r w:rsidR="001A49A5">
        <w:t xml:space="preserve">this would have </w:t>
      </w:r>
      <w:r w:rsidR="001D0E00">
        <w:t xml:space="preserve">had the effect of changing competition between them, such that the previous pricing information would no longer be relevant to future </w:t>
      </w:r>
      <w:r w:rsidR="00640E81">
        <w:t>competitive procurements.</w:t>
      </w:r>
      <w:r w:rsidR="000452DC">
        <w:t xml:space="preserve"> </w:t>
      </w:r>
      <w:r w:rsidR="000C3581">
        <w:t>YWR suggested</w:t>
      </w:r>
      <w:r w:rsidR="00B47BFD">
        <w:t xml:space="preserve"> to the Panel</w:t>
      </w:r>
      <w:r w:rsidR="000C3581">
        <w:t xml:space="preserve"> that</w:t>
      </w:r>
      <w:r w:rsidR="00A51D5F">
        <w:t>, as a way of addressing any remaining concerns about confidentiality,</w:t>
      </w:r>
      <w:r w:rsidR="000C3581">
        <w:t xml:space="preserve"> </w:t>
      </w:r>
      <w:r w:rsidR="00AC31D6">
        <w:t xml:space="preserve">pricing information could be made available by UHL in </w:t>
      </w:r>
      <w:r w:rsidR="001B3530">
        <w:t>ranges</w:t>
      </w:r>
      <w:r w:rsidR="0022708D">
        <w:t xml:space="preserve"> </w:t>
      </w:r>
      <w:r w:rsidR="00337795">
        <w:t>rather than as specific prices.</w:t>
      </w:r>
      <w:r w:rsidR="00611B04">
        <w:rPr>
          <w:rStyle w:val="FootnoteReference"/>
        </w:rPr>
        <w:footnoteReference w:id="57"/>
      </w:r>
    </w:p>
    <w:p w14:paraId="6B943406" w14:textId="2F1F6DF4" w:rsidR="00337795" w:rsidRDefault="00010D4D" w:rsidP="00C3463A">
      <w:pPr>
        <w:pStyle w:val="ListParagraph"/>
        <w:spacing w:line="276" w:lineRule="auto"/>
        <w:ind w:left="567" w:hanging="567"/>
      </w:pPr>
      <w:proofErr w:type="gramStart"/>
      <w:r>
        <w:t>Also</w:t>
      </w:r>
      <w:proofErr w:type="gramEnd"/>
      <w:r>
        <w:t xml:space="preserve"> </w:t>
      </w:r>
      <w:r w:rsidR="00EA0043">
        <w:t>during th</w:t>
      </w:r>
      <w:r w:rsidR="00A60039">
        <w:t>e Panel’s</w:t>
      </w:r>
      <w:r w:rsidR="00EA0043">
        <w:t xml:space="preserve"> review, </w:t>
      </w:r>
      <w:r>
        <w:t xml:space="preserve">UHL similarly </w:t>
      </w:r>
      <w:r w:rsidR="003273EF">
        <w:t xml:space="preserve">reiterated its concerns about </w:t>
      </w:r>
      <w:r w:rsidR="00282BB6">
        <w:t xml:space="preserve">the potential competitive advantage </w:t>
      </w:r>
      <w:r w:rsidR="00950374">
        <w:t xml:space="preserve">that </w:t>
      </w:r>
      <w:r w:rsidR="00E75727">
        <w:t>YWR could gain through access to this pricing information.</w:t>
      </w:r>
      <w:r w:rsidR="00836634">
        <w:t xml:space="preserve"> </w:t>
      </w:r>
      <w:r w:rsidR="003855B0">
        <w:t>North of England Commercial Procurement Collaborative (</w:t>
      </w:r>
      <w:r w:rsidR="003E5D21">
        <w:t>NOE CPC</w:t>
      </w:r>
      <w:r w:rsidR="003855B0">
        <w:t>)</w:t>
      </w:r>
      <w:r w:rsidR="003E5D21">
        <w:t xml:space="preserve">, which supported UHL in the procurement process, </w:t>
      </w:r>
      <w:r w:rsidR="00E250A7">
        <w:t xml:space="preserve">told the </w:t>
      </w:r>
      <w:r w:rsidR="005D0016">
        <w:t xml:space="preserve">Panel that it was aware of similar </w:t>
      </w:r>
      <w:r w:rsidR="00AC3D98">
        <w:t xml:space="preserve">competitive procurements being contemplated or undertaken by other NHS trusts, and was concerned </w:t>
      </w:r>
      <w:r w:rsidR="002E69EA">
        <w:t xml:space="preserve">that </w:t>
      </w:r>
      <w:r w:rsidR="005B0942">
        <w:t xml:space="preserve">YWR might gain an advantage in these </w:t>
      </w:r>
      <w:r w:rsidR="00AF183E">
        <w:t>procurements from being able to access this pricing information.</w:t>
      </w:r>
      <w:r w:rsidR="00746B17">
        <w:rPr>
          <w:rStyle w:val="FootnoteReference"/>
        </w:rPr>
        <w:footnoteReference w:id="58"/>
      </w:r>
    </w:p>
    <w:p w14:paraId="045802D4" w14:textId="25F59949" w:rsidR="00AF183E" w:rsidRDefault="00CD14ED" w:rsidP="00C3463A">
      <w:pPr>
        <w:pStyle w:val="ListParagraph"/>
        <w:spacing w:line="276" w:lineRule="auto"/>
        <w:ind w:left="567" w:hanging="567"/>
      </w:pPr>
      <w:r>
        <w:t>YWR</w:t>
      </w:r>
      <w:r w:rsidR="009D15F9">
        <w:t xml:space="preserve"> has said that it </w:t>
      </w:r>
      <w:r>
        <w:t>wish</w:t>
      </w:r>
      <w:r w:rsidR="009D15F9">
        <w:t>es</w:t>
      </w:r>
      <w:r>
        <w:t xml:space="preserve"> to gain access to the scoring information for other bidders</w:t>
      </w:r>
      <w:r w:rsidR="009D15F9">
        <w:t xml:space="preserve"> because it </w:t>
      </w:r>
      <w:r w:rsidR="00754142">
        <w:t xml:space="preserve">believes that this information will </w:t>
      </w:r>
      <w:r w:rsidR="005D1B52">
        <w:t xml:space="preserve">“enable YWR </w:t>
      </w:r>
      <w:r w:rsidR="00F94155">
        <w:t>to understand whether 18</w:t>
      </w:r>
      <w:r w:rsidR="004E0905">
        <w:t> </w:t>
      </w:r>
      <w:r w:rsidR="00F94155">
        <w:t>Weeks’ price submission was an obvious outlier such as to pres</w:t>
      </w:r>
      <w:r w:rsidR="00BF381D">
        <w:t>ent an obvious risk to service sustainability”.</w:t>
      </w:r>
      <w:r w:rsidR="007809B7">
        <w:t xml:space="preserve"> </w:t>
      </w:r>
      <w:r w:rsidR="00E14F60">
        <w:t xml:space="preserve">The Panel notes that </w:t>
      </w:r>
      <w:r w:rsidR="009D0EE6">
        <w:t xml:space="preserve">this </w:t>
      </w:r>
      <w:r w:rsidR="004141E6">
        <w:t>issue has</w:t>
      </w:r>
      <w:r w:rsidR="00FB0FBF">
        <w:t xml:space="preserve"> been addressed in Section</w:t>
      </w:r>
      <w:r w:rsidR="00AD79AC">
        <w:t> </w:t>
      </w:r>
      <w:r w:rsidR="00FB0FBF">
        <w:t>7.1.</w:t>
      </w:r>
    </w:p>
    <w:p w14:paraId="564E87F2" w14:textId="1C90177B" w:rsidR="00CF589A" w:rsidRDefault="003C1B86" w:rsidP="00C3463A">
      <w:pPr>
        <w:pStyle w:val="ListParagraph"/>
        <w:spacing w:line="276" w:lineRule="auto"/>
        <w:ind w:left="567" w:hanging="567"/>
      </w:pPr>
      <w:r>
        <w:t xml:space="preserve">The </w:t>
      </w:r>
      <w:r w:rsidR="00461CE7">
        <w:t>Panel</w:t>
      </w:r>
      <w:r w:rsidR="00D06EF8">
        <w:t xml:space="preserve"> is also of the view </w:t>
      </w:r>
      <w:r w:rsidR="008C2682">
        <w:t xml:space="preserve">that YWR’s explanation that the pricing information it has requested </w:t>
      </w:r>
      <w:r w:rsidR="00140021">
        <w:t xml:space="preserve">is no longer relevant to future competitive tenders </w:t>
      </w:r>
      <w:r w:rsidR="00F92296">
        <w:t xml:space="preserve">is </w:t>
      </w:r>
      <w:r w:rsidR="00301520">
        <w:t>unlikely to be correct</w:t>
      </w:r>
      <w:r w:rsidR="004D3A46">
        <w:t xml:space="preserve">. </w:t>
      </w:r>
      <w:r w:rsidR="005F2AEB">
        <w:t xml:space="preserve">The information requested by YWR would give it considerable insights into </w:t>
      </w:r>
      <w:r w:rsidR="005C5439">
        <w:t xml:space="preserve">pricing decisions by </w:t>
      </w:r>
      <w:r w:rsidR="001D0589">
        <w:t xml:space="preserve">competitors </w:t>
      </w:r>
      <w:r w:rsidR="00E8582A">
        <w:t>other than</w:t>
      </w:r>
      <w:r w:rsidR="00CC0F87">
        <w:t xml:space="preserve"> the winning bidder. This information is likely to be important in informing future YWR pricing strategies.</w:t>
      </w:r>
      <w:r w:rsidR="00301520">
        <w:t xml:space="preserve"> </w:t>
      </w:r>
      <w:r w:rsidR="00501AC3">
        <w:t xml:space="preserve">As a </w:t>
      </w:r>
      <w:r w:rsidR="003D3D5A">
        <w:t>result, t</w:t>
      </w:r>
      <w:r w:rsidR="004D3A46">
        <w:t xml:space="preserve">he Panel’s view is that </w:t>
      </w:r>
      <w:r w:rsidR="0092146F">
        <w:t xml:space="preserve">UHL </w:t>
      </w:r>
      <w:r w:rsidR="003D3D5A">
        <w:t>was</w:t>
      </w:r>
      <w:r w:rsidR="0092146F">
        <w:t xml:space="preserve"> correct to </w:t>
      </w:r>
      <w:r w:rsidR="00AD1940">
        <w:t xml:space="preserve">conclude that releasing the pricing and other scoring information requested by YWR </w:t>
      </w:r>
      <w:r w:rsidR="0016114B">
        <w:t>“might prejudice fair competition between providers”.</w:t>
      </w:r>
    </w:p>
    <w:p w14:paraId="15D29FAE" w14:textId="01E72C03" w:rsidR="006B4618" w:rsidRDefault="003D3D5A" w:rsidP="00C3463A">
      <w:pPr>
        <w:pStyle w:val="ListParagraph"/>
        <w:spacing w:line="276" w:lineRule="auto"/>
        <w:ind w:left="567" w:hanging="567"/>
      </w:pPr>
      <w:r>
        <w:t>Given this</w:t>
      </w:r>
      <w:r w:rsidR="00220E64">
        <w:t xml:space="preserve">, the Panel finds that </w:t>
      </w:r>
      <w:r w:rsidR="00634D9E">
        <w:t xml:space="preserve">UHL, in refusing to supply </w:t>
      </w:r>
      <w:r w:rsidR="00CB619F">
        <w:t xml:space="preserve">YWR with the pricing and other scoring information that it requested, </w:t>
      </w:r>
      <w:r>
        <w:t xml:space="preserve">did not breach the PSR regulations, </w:t>
      </w:r>
      <w:r w:rsidR="0090664A">
        <w:t xml:space="preserve">including its obligations under Regulation </w:t>
      </w:r>
      <w:r w:rsidR="0086120F">
        <w:t>12(</w:t>
      </w:r>
      <w:r w:rsidR="0090664A">
        <w:t>4</w:t>
      </w:r>
      <w:r w:rsidR="0086120F">
        <w:t>).</w:t>
      </w:r>
    </w:p>
    <w:p w14:paraId="42DABB11" w14:textId="58683711" w:rsidR="000E1AAB" w:rsidRPr="00455139" w:rsidRDefault="000E1AAB" w:rsidP="002A2FDE">
      <w:pPr>
        <w:keepNext/>
        <w:spacing w:before="240" w:line="276" w:lineRule="auto"/>
        <w:rPr>
          <w:b/>
          <w:bCs/>
        </w:rPr>
      </w:pPr>
      <w:r>
        <w:rPr>
          <w:b/>
          <w:bCs/>
        </w:rPr>
        <w:lastRenderedPageBreak/>
        <w:t xml:space="preserve">7.2.3 YWR’s request for information </w:t>
      </w:r>
      <w:r w:rsidR="00DA2F7C">
        <w:rPr>
          <w:b/>
          <w:bCs/>
        </w:rPr>
        <w:t>regarding UHL’s consideration of the sustainability of 18 Week</w:t>
      </w:r>
      <w:r w:rsidR="00F1361B">
        <w:rPr>
          <w:b/>
          <w:bCs/>
        </w:rPr>
        <w:t xml:space="preserve"> Support</w:t>
      </w:r>
      <w:r w:rsidR="00DA2F7C">
        <w:rPr>
          <w:b/>
          <w:bCs/>
        </w:rPr>
        <w:t>’s bid</w:t>
      </w:r>
    </w:p>
    <w:p w14:paraId="37013594" w14:textId="0281915E" w:rsidR="00664C3E" w:rsidRDefault="00664C3E" w:rsidP="00C3463A">
      <w:pPr>
        <w:pStyle w:val="ListParagraph"/>
        <w:spacing w:line="276" w:lineRule="auto"/>
        <w:ind w:left="567" w:hanging="567"/>
      </w:pPr>
      <w:r>
        <w:t>YWR asked for “</w:t>
      </w:r>
      <w:r w:rsidRPr="00D612D4">
        <w:t>information as to the manner in which the Authority considered the sustainability of 18 Week’s bid and any conclusions the Authority reached, together with the provision of records of the Authority’s decision-making in relation to this issue</w:t>
      </w:r>
      <w:r w:rsidR="00BD623A">
        <w:t>”</w:t>
      </w:r>
      <w:r w:rsidR="00992768">
        <w:t xml:space="preserve"> (see paragraph </w:t>
      </w:r>
      <w:r w:rsidR="000C0F89">
        <w:t>112</w:t>
      </w:r>
      <w:r w:rsidR="00992768">
        <w:t>)</w:t>
      </w:r>
      <w:r w:rsidR="00172A7D">
        <w:t>.</w:t>
      </w:r>
    </w:p>
    <w:p w14:paraId="5A3ED8A6" w14:textId="19D7B667" w:rsidR="000700EC" w:rsidRDefault="000102DA" w:rsidP="00C3463A">
      <w:pPr>
        <w:pStyle w:val="ListParagraph"/>
        <w:spacing w:after="120" w:line="276" w:lineRule="auto"/>
        <w:ind w:left="567" w:hanging="567"/>
      </w:pPr>
      <w:r>
        <w:t xml:space="preserve">UHL’s response to YWR’s information request about service sustainability </w:t>
      </w:r>
      <w:proofErr w:type="gramStart"/>
      <w:r w:rsidR="00B157D1">
        <w:t>said</w:t>
      </w:r>
      <w:proofErr w:type="gramEnd"/>
      <w:r w:rsidR="00B157D1">
        <w:t xml:space="preserve"> “</w:t>
      </w:r>
      <w:r w:rsidR="000E0C4A">
        <w:t xml:space="preserve">The feedback provided within this letter </w:t>
      </w:r>
      <w:r w:rsidR="006A2B4C">
        <w:t xml:space="preserve">[i.e. the further decision letter] </w:t>
      </w:r>
      <w:r w:rsidR="00891EAC">
        <w:t>details the Trust’s position</w:t>
      </w:r>
      <w:r w:rsidR="004010DB">
        <w:t xml:space="preserve"> and is adequate in explaining the way it considered the sustainability of the successful bid</w:t>
      </w:r>
      <w:r w:rsidR="00E742DF">
        <w:t>, which is sufficient in clarifying the points made”.</w:t>
      </w:r>
      <w:r w:rsidR="00E742DF">
        <w:rPr>
          <w:rStyle w:val="FootnoteReference"/>
        </w:rPr>
        <w:footnoteReference w:id="59"/>
      </w:r>
    </w:p>
    <w:p w14:paraId="1B44DC43" w14:textId="2779B4F9" w:rsidR="00EF15A8" w:rsidRDefault="004C03F8" w:rsidP="00C3463A">
      <w:pPr>
        <w:pStyle w:val="ListParagraph"/>
        <w:spacing w:line="276" w:lineRule="auto"/>
        <w:ind w:left="567" w:hanging="567"/>
      </w:pPr>
      <w:r>
        <w:t xml:space="preserve">The Panel notes that </w:t>
      </w:r>
      <w:r w:rsidR="00C14F6D">
        <w:t>UHL’s records</w:t>
      </w:r>
      <w:r w:rsidR="007E48DB">
        <w:t xml:space="preserve"> do not </w:t>
      </w:r>
      <w:r w:rsidR="00A834F7">
        <w:t xml:space="preserve">specifically </w:t>
      </w:r>
      <w:r w:rsidR="00330A43">
        <w:t>discuss</w:t>
      </w:r>
      <w:r w:rsidR="007E48DB">
        <w:t xml:space="preserve"> the </w:t>
      </w:r>
      <w:r w:rsidR="00330A43">
        <w:t>sustainability of 18</w:t>
      </w:r>
      <w:r w:rsidR="00A834F7">
        <w:t> </w:t>
      </w:r>
      <w:r w:rsidR="00330A43">
        <w:t>Week’s</w:t>
      </w:r>
      <w:r w:rsidR="00603FA2">
        <w:t xml:space="preserve"> bid.</w:t>
      </w:r>
      <w:r w:rsidR="00EC4A5A">
        <w:t xml:space="preserve"> </w:t>
      </w:r>
      <w:r w:rsidR="00A834F7">
        <w:t xml:space="preserve">Rather, sustainability issues are addressed in a variety of ways and in a variety of documents as per the discussion in paragraphs </w:t>
      </w:r>
      <w:r w:rsidR="000C0F89">
        <w:t>57</w:t>
      </w:r>
      <w:r w:rsidR="00F27DD5">
        <w:t xml:space="preserve"> to </w:t>
      </w:r>
      <w:r w:rsidR="000C0F89">
        <w:t>87</w:t>
      </w:r>
      <w:r w:rsidR="00F27DD5">
        <w:t>.</w:t>
      </w:r>
      <w:r w:rsidR="00564554">
        <w:t xml:space="preserve"> As a result,</w:t>
      </w:r>
      <w:r w:rsidR="001F6B14">
        <w:t xml:space="preserve"> </w:t>
      </w:r>
      <w:r w:rsidR="00D373B9">
        <w:t xml:space="preserve">YWR would have been unlikely to have found it helpful to be provided these documents (or extracts of these documents) without any </w:t>
      </w:r>
      <w:r w:rsidR="00324AD7">
        <w:t xml:space="preserve">overarching explanation of the approach taken by </w:t>
      </w:r>
      <w:r w:rsidR="001F6B14">
        <w:t>UHL</w:t>
      </w:r>
      <w:r w:rsidR="00324AD7">
        <w:t>.</w:t>
      </w:r>
      <w:r w:rsidR="00B41407">
        <w:t xml:space="preserve"> At least some of this </w:t>
      </w:r>
      <w:r w:rsidR="002261B5">
        <w:t>overarching</w:t>
      </w:r>
      <w:r w:rsidR="00B41407">
        <w:t xml:space="preserve"> explanation is set out in UHL’s letter </w:t>
      </w:r>
      <w:r w:rsidR="00795E90">
        <w:t xml:space="preserve">to YWR </w:t>
      </w:r>
      <w:r w:rsidR="00B41407">
        <w:t xml:space="preserve">of </w:t>
      </w:r>
      <w:r w:rsidR="00C65448">
        <w:t>14 October 2025.</w:t>
      </w:r>
    </w:p>
    <w:p w14:paraId="521D1E90" w14:textId="77777777" w:rsidR="00936E72" w:rsidRDefault="00C65448" w:rsidP="00C3463A">
      <w:pPr>
        <w:pStyle w:val="ListParagraph"/>
        <w:spacing w:line="276" w:lineRule="auto"/>
        <w:ind w:left="567" w:hanging="567"/>
      </w:pPr>
      <w:r>
        <w:t xml:space="preserve">The Panel, however, notes that </w:t>
      </w:r>
      <w:r w:rsidR="00D055B2">
        <w:t xml:space="preserve">in providing this information </w:t>
      </w:r>
      <w:r w:rsidR="008703C3">
        <w:t>to YWR</w:t>
      </w:r>
      <w:r w:rsidR="00D055B2">
        <w:t xml:space="preserve"> at the same time as responding to YWR’s representations, UHL deprived YWR of the ability to </w:t>
      </w:r>
      <w:r w:rsidR="006A70A7">
        <w:t xml:space="preserve">make further representations </w:t>
      </w:r>
      <w:r w:rsidR="00CA4A52">
        <w:t>based on</w:t>
      </w:r>
      <w:r w:rsidR="006A70A7">
        <w:t xml:space="preserve"> this </w:t>
      </w:r>
      <w:r w:rsidR="008703C3">
        <w:t>information</w:t>
      </w:r>
      <w:r w:rsidR="00CA4A52">
        <w:t>.</w:t>
      </w:r>
    </w:p>
    <w:p w14:paraId="4D08AAED" w14:textId="29C7EDBC" w:rsidR="004A145D" w:rsidRPr="004A145D" w:rsidRDefault="00973879" w:rsidP="00C3463A">
      <w:pPr>
        <w:pStyle w:val="ListParagraph"/>
        <w:spacing w:line="276" w:lineRule="auto"/>
        <w:ind w:left="567" w:hanging="567"/>
      </w:pPr>
      <w:r>
        <w:t xml:space="preserve">The Panel has found in </w:t>
      </w:r>
      <w:r w:rsidR="00073F70">
        <w:t>previous</w:t>
      </w:r>
      <w:r>
        <w:t xml:space="preserve"> cases that </w:t>
      </w:r>
      <w:r w:rsidR="00073F70">
        <w:t xml:space="preserve">supplying information </w:t>
      </w:r>
      <w:r w:rsidR="00936E72">
        <w:t>in response to an aggrieved provider’s request at the same time as setting out a further decision on the provider’s representations</w:t>
      </w:r>
      <w:r w:rsidR="00053F87" w:rsidRPr="00797D67">
        <w:rPr>
          <w:rFonts w:cs="Arial"/>
        </w:rPr>
        <w:t xml:space="preserve"> not only breaches the obligation to provide information promptly (as per Regulation 12(4)(b)), but also breaches the obligation to ensure that providers are “afforded such further opportunity to explain or clarify the representations made as the relevant authority considers appropriate” (as per Regulation 12(4)(a)).</w:t>
      </w:r>
      <w:r w:rsidR="00053F87">
        <w:rPr>
          <w:rStyle w:val="FootnoteReference"/>
          <w:rFonts w:cs="Arial"/>
        </w:rPr>
        <w:footnoteReference w:id="60"/>
      </w:r>
    </w:p>
    <w:p w14:paraId="10730473" w14:textId="171EF43D" w:rsidR="006706CB" w:rsidRPr="006706CB" w:rsidRDefault="009D4EF7" w:rsidP="00C3463A">
      <w:pPr>
        <w:pStyle w:val="ListParagraph"/>
        <w:spacing w:line="276" w:lineRule="auto"/>
        <w:ind w:left="567" w:hanging="567"/>
      </w:pPr>
      <w:r>
        <w:rPr>
          <w:rFonts w:cs="Arial"/>
        </w:rPr>
        <w:t xml:space="preserve">In this case the Panel similarly finds that </w:t>
      </w:r>
      <w:r w:rsidR="00CC523E">
        <w:rPr>
          <w:rFonts w:cs="Arial"/>
        </w:rPr>
        <w:t xml:space="preserve">UHL, in supplying </w:t>
      </w:r>
      <w:r w:rsidR="004101CD">
        <w:rPr>
          <w:rFonts w:cs="Arial"/>
        </w:rPr>
        <w:t xml:space="preserve">YWR with </w:t>
      </w:r>
      <w:r w:rsidR="00CC523E">
        <w:rPr>
          <w:rFonts w:cs="Arial"/>
        </w:rPr>
        <w:t xml:space="preserve">requested information </w:t>
      </w:r>
      <w:r w:rsidR="0002231B">
        <w:rPr>
          <w:rFonts w:cs="Arial"/>
        </w:rPr>
        <w:t xml:space="preserve">at the same time as its </w:t>
      </w:r>
      <w:r w:rsidR="006706CB">
        <w:rPr>
          <w:rFonts w:cs="Arial"/>
        </w:rPr>
        <w:t>further decision on YWR’s representations, breached the PSR regulations</w:t>
      </w:r>
      <w:r w:rsidR="00210D77">
        <w:rPr>
          <w:rFonts w:cs="Arial"/>
        </w:rPr>
        <w:t xml:space="preserve"> and in particular Regulation 12(4)(</w:t>
      </w:r>
      <w:r w:rsidR="008963EB">
        <w:rPr>
          <w:rFonts w:cs="Arial"/>
        </w:rPr>
        <w:t>a</w:t>
      </w:r>
      <w:r w:rsidR="00210D77">
        <w:rPr>
          <w:rFonts w:cs="Arial"/>
        </w:rPr>
        <w:t>) and Regulation</w:t>
      </w:r>
      <w:r w:rsidR="00695EF6">
        <w:rPr>
          <w:rFonts w:cs="Arial"/>
        </w:rPr>
        <w:t> </w:t>
      </w:r>
      <w:r w:rsidR="00210D77">
        <w:rPr>
          <w:rFonts w:cs="Arial"/>
        </w:rPr>
        <w:t>12(4)(</w:t>
      </w:r>
      <w:r w:rsidR="008963EB">
        <w:rPr>
          <w:rFonts w:cs="Arial"/>
        </w:rPr>
        <w:t>b</w:t>
      </w:r>
      <w:r w:rsidR="00210D77">
        <w:rPr>
          <w:rFonts w:cs="Arial"/>
        </w:rPr>
        <w:t>).</w:t>
      </w:r>
    </w:p>
    <w:p w14:paraId="0A5F4838" w14:textId="4098E72C" w:rsidR="00DA2F7C" w:rsidRPr="00455139" w:rsidRDefault="00DA2F7C" w:rsidP="0085743A">
      <w:pPr>
        <w:keepNext/>
        <w:spacing w:before="240" w:line="276" w:lineRule="auto"/>
        <w:rPr>
          <w:b/>
          <w:bCs/>
        </w:rPr>
      </w:pPr>
      <w:r>
        <w:rPr>
          <w:b/>
          <w:bCs/>
        </w:rPr>
        <w:t xml:space="preserve">7.2.4 YWR’s request for information about </w:t>
      </w:r>
      <w:r w:rsidR="003D0310">
        <w:rPr>
          <w:b/>
          <w:bCs/>
        </w:rPr>
        <w:t>bid clarification question</w:t>
      </w:r>
      <w:r w:rsidR="00B51E83">
        <w:rPr>
          <w:b/>
          <w:bCs/>
        </w:rPr>
        <w:t>s</w:t>
      </w:r>
    </w:p>
    <w:p w14:paraId="04623256" w14:textId="0596B86A" w:rsidR="00DA2F7C" w:rsidRDefault="00617BD5" w:rsidP="00C3463A">
      <w:pPr>
        <w:pStyle w:val="ListParagraph"/>
        <w:spacing w:line="276" w:lineRule="auto"/>
        <w:ind w:left="567" w:hanging="567"/>
      </w:pPr>
      <w:r>
        <w:t xml:space="preserve">The third element of </w:t>
      </w:r>
      <w:r w:rsidR="00BD13CB">
        <w:t>YWR</w:t>
      </w:r>
      <w:r>
        <w:t xml:space="preserve">’s request for information about the provider selection process concerned </w:t>
      </w:r>
      <w:r w:rsidR="005A71B1">
        <w:t xml:space="preserve">the bid clarification question asked by </w:t>
      </w:r>
      <w:r w:rsidR="00965E9D">
        <w:t xml:space="preserve">UHL on 3 June </w:t>
      </w:r>
      <w:r w:rsidR="00730BBB">
        <w:t>2025</w:t>
      </w:r>
      <w:r w:rsidR="009C406A">
        <w:t xml:space="preserve"> (see second and fourth bullet points in paragraph </w:t>
      </w:r>
      <w:r w:rsidR="000C0F89">
        <w:t>112</w:t>
      </w:r>
      <w:r w:rsidR="009C406A">
        <w:t>)</w:t>
      </w:r>
      <w:r w:rsidR="00730BBB">
        <w:t>.</w:t>
      </w:r>
    </w:p>
    <w:p w14:paraId="0E75B860" w14:textId="3CB1BCE8" w:rsidR="004079C7" w:rsidRDefault="00A44E9F" w:rsidP="00C3463A">
      <w:pPr>
        <w:pStyle w:val="ListParagraph"/>
        <w:spacing w:after="120" w:line="276" w:lineRule="auto"/>
        <w:ind w:left="567" w:hanging="567"/>
      </w:pPr>
      <w:r>
        <w:t xml:space="preserve">In </w:t>
      </w:r>
      <w:r w:rsidR="00185A0C">
        <w:t>response</w:t>
      </w:r>
      <w:r>
        <w:t xml:space="preserve"> to YWR’s request for </w:t>
      </w:r>
      <w:r w:rsidR="00AA1498">
        <w:t xml:space="preserve">records </w:t>
      </w:r>
      <w:r w:rsidR="00702937">
        <w:t>of the reasons</w:t>
      </w:r>
      <w:r w:rsidR="001E2CEB">
        <w:t xml:space="preserve"> for the bid clarification question</w:t>
      </w:r>
      <w:r w:rsidR="004079C7">
        <w:t xml:space="preserve">, and records of UHL’s reasons </w:t>
      </w:r>
      <w:r w:rsidR="0065489E">
        <w:t>for concluding</w:t>
      </w:r>
      <w:r w:rsidR="00411DEC">
        <w:t xml:space="preserve"> that further investigation was not required</w:t>
      </w:r>
      <w:r w:rsidR="00185A0C">
        <w:t>, UHL said</w:t>
      </w:r>
      <w:r w:rsidR="00657637">
        <w:t>:</w:t>
      </w:r>
    </w:p>
    <w:p w14:paraId="3262E4DE" w14:textId="05E293DC" w:rsidR="00657637" w:rsidRDefault="00657637" w:rsidP="00657637">
      <w:pPr>
        <w:pStyle w:val="ListParagraph"/>
        <w:numPr>
          <w:ilvl w:val="0"/>
          <w:numId w:val="0"/>
        </w:numPr>
        <w:ind w:left="851"/>
        <w:rPr>
          <w:sz w:val="21"/>
          <w:szCs w:val="21"/>
        </w:rPr>
      </w:pPr>
      <w:r>
        <w:rPr>
          <w:sz w:val="21"/>
          <w:szCs w:val="21"/>
        </w:rPr>
        <w:lastRenderedPageBreak/>
        <w:t>“The feedback provided above, specifically to your paragraphs 6-9, provide the information that you have requested.</w:t>
      </w:r>
      <w:r w:rsidR="00FD05A0">
        <w:rPr>
          <w:rStyle w:val="FootnoteReference"/>
        </w:rPr>
        <w:t>”</w:t>
      </w:r>
      <w:r w:rsidR="00FD05A0" w:rsidRPr="00FD05A0">
        <w:rPr>
          <w:rStyle w:val="FootnoteReference"/>
          <w:sz w:val="21"/>
          <w:szCs w:val="21"/>
        </w:rPr>
        <w:footnoteReference w:id="61"/>
      </w:r>
    </w:p>
    <w:p w14:paraId="2BCF4BCD" w14:textId="57E5B0D2" w:rsidR="00F83AE6" w:rsidRDefault="00657637" w:rsidP="00C3463A">
      <w:pPr>
        <w:pStyle w:val="ListParagraph"/>
        <w:spacing w:after="120" w:line="276" w:lineRule="auto"/>
        <w:ind w:left="567" w:hanging="567"/>
      </w:pPr>
      <w:r>
        <w:t xml:space="preserve">The relevant paragraphs </w:t>
      </w:r>
      <w:r w:rsidR="00FD05A0">
        <w:t>said</w:t>
      </w:r>
      <w:r w:rsidR="0079282B">
        <w:t>:</w:t>
      </w:r>
    </w:p>
    <w:p w14:paraId="544717ED" w14:textId="431B4523" w:rsidR="00F83AE6" w:rsidRPr="004C7A53" w:rsidRDefault="00F83AE6" w:rsidP="004C7A53">
      <w:pPr>
        <w:pStyle w:val="ListParagraph"/>
        <w:numPr>
          <w:ilvl w:val="0"/>
          <w:numId w:val="0"/>
        </w:numPr>
        <w:spacing w:after="120"/>
        <w:ind w:left="851"/>
        <w:rPr>
          <w:sz w:val="21"/>
          <w:szCs w:val="21"/>
        </w:rPr>
      </w:pPr>
      <w:r w:rsidRPr="004C7A53">
        <w:rPr>
          <w:sz w:val="21"/>
          <w:szCs w:val="21"/>
        </w:rPr>
        <w:t xml:space="preserve">“The clarification request was made to all suppliers because one bidder (not the winning bidder), submitted an unusually low (i.e. unusually high % discount) bid. Via this clarification, the Trust gave all bidders an equal opportunity to clarify their position and as a result this </w:t>
      </w:r>
      <w:proofErr w:type="gramStart"/>
      <w:r w:rsidRPr="004C7A53">
        <w:rPr>
          <w:sz w:val="21"/>
          <w:szCs w:val="21"/>
        </w:rPr>
        <w:t>particular bidder</w:t>
      </w:r>
      <w:proofErr w:type="gramEnd"/>
      <w:r w:rsidRPr="004C7A53">
        <w:rPr>
          <w:sz w:val="21"/>
          <w:szCs w:val="21"/>
        </w:rPr>
        <w:t xml:space="preserve"> confirmed that they had misunderstood the request. They had submitted the percentage of the NHS payment scheme prices that they would charge rather than the discount that they would offer and subsequently revised their bid accordingly. </w:t>
      </w:r>
      <w:proofErr w:type="gramStart"/>
      <w:r w:rsidRPr="004C7A53">
        <w:rPr>
          <w:sz w:val="21"/>
          <w:szCs w:val="21"/>
        </w:rPr>
        <w:t>A number of</w:t>
      </w:r>
      <w:proofErr w:type="gramEnd"/>
      <w:r w:rsidRPr="004C7A53">
        <w:rPr>
          <w:sz w:val="21"/>
          <w:szCs w:val="21"/>
        </w:rPr>
        <w:t xml:space="preserve"> other providers confirmed that they had made similar errors, and so their discount percentages were also amended accordingly, and reevaluated.</w:t>
      </w:r>
    </w:p>
    <w:p w14:paraId="466DC886" w14:textId="2ECE82D8" w:rsidR="00F83AE6" w:rsidRPr="004C7A53" w:rsidRDefault="00F83AE6" w:rsidP="00FB4762">
      <w:pPr>
        <w:pStyle w:val="ListParagraph"/>
        <w:numPr>
          <w:ilvl w:val="0"/>
          <w:numId w:val="0"/>
        </w:numPr>
        <w:ind w:left="851"/>
        <w:rPr>
          <w:sz w:val="21"/>
          <w:szCs w:val="21"/>
        </w:rPr>
      </w:pPr>
      <w:r w:rsidRPr="004C7A53">
        <w:rPr>
          <w:sz w:val="21"/>
          <w:szCs w:val="21"/>
        </w:rPr>
        <w:t>“As mentioned above, the clarification was in response to what was seen as an outlier against other bids received. Once this had been clarified, given the Trust’s visibility of market value from the bids received, and the successful bid not being seen to drastically deviate from those of other providers, the Trust feel satisfied that the successful bid is sustainable for the service required</w:t>
      </w:r>
      <w:r w:rsidR="008209A9">
        <w:rPr>
          <w:sz w:val="21"/>
          <w:szCs w:val="21"/>
        </w:rPr>
        <w:t>”</w:t>
      </w:r>
      <w:r w:rsidRPr="004C7A53">
        <w:rPr>
          <w:sz w:val="21"/>
          <w:szCs w:val="21"/>
        </w:rPr>
        <w:t>.</w:t>
      </w:r>
      <w:r w:rsidR="00FB4762" w:rsidRPr="00FD05A0">
        <w:rPr>
          <w:rStyle w:val="FootnoteReference"/>
          <w:sz w:val="21"/>
          <w:szCs w:val="21"/>
        </w:rPr>
        <w:footnoteReference w:id="62"/>
      </w:r>
    </w:p>
    <w:p w14:paraId="51FBDBAA" w14:textId="2CA500DB" w:rsidR="00FA2702" w:rsidRDefault="00FA2702" w:rsidP="00C3463A">
      <w:pPr>
        <w:pStyle w:val="ListParagraph"/>
        <w:spacing w:line="276" w:lineRule="auto"/>
        <w:ind w:left="567" w:hanging="567"/>
      </w:pPr>
      <w:r>
        <w:t xml:space="preserve">The Panel notes that the provision of this information at the same time as UHL’s further decision on YWR’s representations prevented YWR from </w:t>
      </w:r>
      <w:r w:rsidR="00E713FF">
        <w:t>a further opportunity to explain or clarify its representations.</w:t>
      </w:r>
      <w:r w:rsidR="008311CF">
        <w:t xml:space="preserve"> As a result, the Panel finds that </w:t>
      </w:r>
      <w:r w:rsidR="008311CF">
        <w:rPr>
          <w:rFonts w:cs="Arial"/>
        </w:rPr>
        <w:t>UHL, in supplying YWR with requested information at the same time as its further decision on YWR’s representations, breached the PSR regulations and in particular Regulation 12(4)(</w:t>
      </w:r>
      <w:r w:rsidR="00FE5789">
        <w:rPr>
          <w:rFonts w:cs="Arial"/>
        </w:rPr>
        <w:t>a</w:t>
      </w:r>
      <w:r w:rsidR="008311CF">
        <w:rPr>
          <w:rFonts w:cs="Arial"/>
        </w:rPr>
        <w:t>) and Regulation 12(4)(</w:t>
      </w:r>
      <w:r w:rsidR="00FE5789">
        <w:rPr>
          <w:rFonts w:cs="Arial"/>
        </w:rPr>
        <w:t>b</w:t>
      </w:r>
      <w:r w:rsidR="008311CF">
        <w:rPr>
          <w:rFonts w:cs="Arial"/>
        </w:rPr>
        <w:t>).</w:t>
      </w:r>
    </w:p>
    <w:p w14:paraId="3D3D5A27" w14:textId="13C92ACA" w:rsidR="00370536" w:rsidRDefault="00370536" w:rsidP="00C3463A">
      <w:pPr>
        <w:pStyle w:val="ListParagraph"/>
        <w:spacing w:after="120" w:line="276" w:lineRule="auto"/>
        <w:ind w:left="567" w:hanging="567"/>
      </w:pPr>
      <w:r>
        <w:t xml:space="preserve">In response to YWR’s request for </w:t>
      </w:r>
      <w:r w:rsidR="00A3492C">
        <w:t>details of the bid clarification questions issued to other bidders and their responses</w:t>
      </w:r>
      <w:r w:rsidR="00C21EE9">
        <w:t>, UHL said</w:t>
      </w:r>
      <w:r>
        <w:t>:</w:t>
      </w:r>
    </w:p>
    <w:p w14:paraId="7CB285F5" w14:textId="20091222" w:rsidR="00F83AE6" w:rsidRPr="004C7A53" w:rsidRDefault="00F83AE6" w:rsidP="00FB4762">
      <w:pPr>
        <w:pStyle w:val="ListParagraph"/>
        <w:numPr>
          <w:ilvl w:val="0"/>
          <w:numId w:val="0"/>
        </w:numPr>
        <w:ind w:left="851"/>
        <w:rPr>
          <w:sz w:val="21"/>
          <w:szCs w:val="21"/>
        </w:rPr>
      </w:pPr>
      <w:r w:rsidRPr="004C7A53">
        <w:rPr>
          <w:sz w:val="21"/>
          <w:szCs w:val="21"/>
        </w:rPr>
        <w:t>“The only clarification question issued by the Trust as part of the evaluation process was the one referenced above, which was requested of all bidders. In revealing all the responses, this would provide the discount percentages offered by all suppliers and again would prejudice fair competition between providers in the future. Contrary to your statement that this would not reveal pricing information, the provision of discount percentage would allow YWR to ascertain prices bid by each supplier against each NHS payment scheme tariff</w:t>
      </w:r>
      <w:r w:rsidR="00FB4762">
        <w:rPr>
          <w:sz w:val="21"/>
          <w:szCs w:val="21"/>
        </w:rPr>
        <w:t>”</w:t>
      </w:r>
      <w:r w:rsidRPr="004C7A53">
        <w:rPr>
          <w:sz w:val="21"/>
          <w:szCs w:val="21"/>
        </w:rPr>
        <w:t>.</w:t>
      </w:r>
      <w:r w:rsidR="00FB4762" w:rsidRPr="00FD05A0">
        <w:rPr>
          <w:rStyle w:val="FootnoteReference"/>
          <w:sz w:val="21"/>
          <w:szCs w:val="21"/>
        </w:rPr>
        <w:footnoteReference w:id="63"/>
      </w:r>
    </w:p>
    <w:p w14:paraId="6470E3E6" w14:textId="1B559D5D" w:rsidR="00BD0301" w:rsidRDefault="00377B55" w:rsidP="00C3463A">
      <w:pPr>
        <w:pStyle w:val="ListParagraph"/>
        <w:spacing w:line="276" w:lineRule="auto"/>
        <w:ind w:left="567" w:hanging="567"/>
      </w:pPr>
      <w:r>
        <w:t>The Panel</w:t>
      </w:r>
      <w:r w:rsidR="00A37F9D">
        <w:t>’s view is that the request for bidders</w:t>
      </w:r>
      <w:r w:rsidR="005D4E34">
        <w:t>’</w:t>
      </w:r>
      <w:r w:rsidR="00A37F9D">
        <w:t xml:space="preserve"> responses to the clarification question amount</w:t>
      </w:r>
      <w:r w:rsidR="00F2157C">
        <w:t>s</w:t>
      </w:r>
      <w:r w:rsidR="00A37F9D">
        <w:t xml:space="preserve"> to information about their </w:t>
      </w:r>
      <w:r w:rsidR="00C2269B">
        <w:t xml:space="preserve">prices. </w:t>
      </w:r>
      <w:r w:rsidR="00F2157C">
        <w:t>T</w:t>
      </w:r>
      <w:r w:rsidR="00C2269B">
        <w:t>he Panel’s view</w:t>
      </w:r>
      <w:r w:rsidR="000D16DC">
        <w:t>, consistent with its findings in relation to YWR’s request for other bidders’ price and quality scores,</w:t>
      </w:r>
      <w:r w:rsidR="00C2269B">
        <w:t xml:space="preserve"> is that UHL</w:t>
      </w:r>
      <w:r w:rsidR="0084446B">
        <w:t xml:space="preserve"> </w:t>
      </w:r>
      <w:r w:rsidR="001F233F">
        <w:t>did not breach the PSR regulations, including its obligations under Regulation 12(4)</w:t>
      </w:r>
      <w:r w:rsidR="00666742">
        <w:t>,</w:t>
      </w:r>
      <w:r w:rsidR="00820D9F">
        <w:t xml:space="preserve"> </w:t>
      </w:r>
      <w:r w:rsidR="000D16DC">
        <w:t>when</w:t>
      </w:r>
      <w:r w:rsidR="0084446B">
        <w:t xml:space="preserve"> declining to share this information.</w:t>
      </w:r>
    </w:p>
    <w:p w14:paraId="1FAEB393" w14:textId="781A7444" w:rsidR="00DA200D" w:rsidRDefault="00DA200D" w:rsidP="00DB29D6">
      <w:pPr>
        <w:pStyle w:val="Heading1"/>
        <w:ind w:left="426"/>
      </w:pPr>
      <w:bookmarkStart w:id="24" w:name="_Toc218602397"/>
      <w:r>
        <w:t>Panel Advice</w:t>
      </w:r>
      <w:bookmarkEnd w:id="24"/>
    </w:p>
    <w:p w14:paraId="2CE0B98B" w14:textId="7E7A8E8B" w:rsidR="00BD02EC" w:rsidRDefault="009E5133" w:rsidP="00BD02EC">
      <w:pPr>
        <w:pStyle w:val="ListParagraph"/>
        <w:spacing w:after="120" w:line="276" w:lineRule="auto"/>
        <w:ind w:left="567" w:hanging="567"/>
      </w:pPr>
      <w:r>
        <w:t xml:space="preserve">In summary, </w:t>
      </w:r>
      <w:r w:rsidR="00367D4E">
        <w:t>t</w:t>
      </w:r>
      <w:r w:rsidR="00BD02EC">
        <w:t>he Panel’s findings on the provider selection process carried out by UHL for the managed insourcing service are as follows:</w:t>
      </w:r>
    </w:p>
    <w:p w14:paraId="443ACE21" w14:textId="77777777" w:rsidR="00BD02EC" w:rsidRDefault="00BD02EC" w:rsidP="00BD02EC">
      <w:pPr>
        <w:pStyle w:val="ListParagraph"/>
        <w:numPr>
          <w:ilvl w:val="0"/>
          <w:numId w:val="15"/>
        </w:numPr>
        <w:spacing w:after="120" w:line="276" w:lineRule="auto"/>
      </w:pPr>
      <w:r>
        <w:lastRenderedPageBreak/>
        <w:t>First, the Panel finds that UHL, in carrying out the provider selection process for its insourcing managed service contract, did not breach its service sustainability obligations under the PSR regulations.</w:t>
      </w:r>
    </w:p>
    <w:p w14:paraId="1F02B084" w14:textId="7D2D3710" w:rsidR="00BD02EC" w:rsidRDefault="00BD02EC" w:rsidP="00BD02EC">
      <w:pPr>
        <w:pStyle w:val="ListParagraph"/>
        <w:numPr>
          <w:ilvl w:val="0"/>
          <w:numId w:val="15"/>
        </w:numPr>
        <w:spacing w:after="120" w:line="276" w:lineRule="auto"/>
      </w:pPr>
      <w:r>
        <w:t xml:space="preserve">Second, </w:t>
      </w:r>
      <w:r w:rsidR="00185B3B">
        <w:t>the Panel finds that UHL, in refusing to supply YWR with price and quality scoring information for other bidders, did not breach the PSR regulations</w:t>
      </w:r>
      <w:r>
        <w:t>.</w:t>
      </w:r>
    </w:p>
    <w:p w14:paraId="453A7A57" w14:textId="5230A0E7" w:rsidR="00BD02EC" w:rsidRDefault="00BD02EC" w:rsidP="00BD02EC">
      <w:pPr>
        <w:pStyle w:val="ListParagraph"/>
        <w:numPr>
          <w:ilvl w:val="0"/>
          <w:numId w:val="15"/>
        </w:numPr>
        <w:spacing w:line="276" w:lineRule="auto"/>
        <w:ind w:left="1077" w:hanging="357"/>
      </w:pPr>
      <w:r>
        <w:t xml:space="preserve">Third, </w:t>
      </w:r>
      <w:r w:rsidR="00AD3804">
        <w:rPr>
          <w:rFonts w:cs="Arial"/>
        </w:rPr>
        <w:t>the Panel finds that UHL, in supplying YWR with information concerning service sustainability that it requested during the representations review process at the same time as its further decision on YWR’s representations, breached the PSR regulations</w:t>
      </w:r>
      <w:r>
        <w:rPr>
          <w:rFonts w:cs="Arial"/>
        </w:rPr>
        <w:t>.</w:t>
      </w:r>
    </w:p>
    <w:p w14:paraId="6F7432E5" w14:textId="77777777" w:rsidR="00BD02EC" w:rsidRPr="000F7232" w:rsidRDefault="00BD02EC" w:rsidP="00BD02EC">
      <w:pPr>
        <w:pStyle w:val="ListParagraph"/>
        <w:spacing w:line="276" w:lineRule="auto"/>
        <w:ind w:left="567" w:hanging="567"/>
        <w:contextualSpacing/>
      </w:pPr>
      <w:r w:rsidRPr="000F7232">
        <w:t>Given the Panel’s finding that UHL breached the PSR regulations</w:t>
      </w:r>
      <w:r>
        <w:t>,</w:t>
      </w:r>
      <w:r w:rsidRPr="000F7232">
        <w:t xml:space="preserve"> when supplying YWR with </w:t>
      </w:r>
      <w:r>
        <w:t xml:space="preserve">the </w:t>
      </w:r>
      <w:r w:rsidRPr="000F7232">
        <w:t xml:space="preserve">information </w:t>
      </w:r>
      <w:r>
        <w:t xml:space="preserve">that it </w:t>
      </w:r>
      <w:r>
        <w:rPr>
          <w:rFonts w:cs="Arial"/>
        </w:rPr>
        <w:t xml:space="preserve">requested as part of the representations review process </w:t>
      </w:r>
      <w:r w:rsidRPr="000F7232">
        <w:rPr>
          <w:rFonts w:cs="Arial"/>
        </w:rPr>
        <w:t>at the same time as its further decision on YWR’s representations</w:t>
      </w:r>
      <w:r w:rsidRPr="000F7232">
        <w:t>, three options are open to the Panel. The Panel may advise that:</w:t>
      </w:r>
    </w:p>
    <w:p w14:paraId="57D16C7B" w14:textId="77777777" w:rsidR="00BD02EC" w:rsidRPr="000F7232" w:rsidRDefault="00BD02EC" w:rsidP="00BD02EC">
      <w:pPr>
        <w:pStyle w:val="ListParagraph"/>
        <w:numPr>
          <w:ilvl w:val="0"/>
          <w:numId w:val="16"/>
        </w:numPr>
        <w:spacing w:line="276" w:lineRule="auto"/>
        <w:contextualSpacing/>
      </w:pPr>
      <w:r>
        <w:t>t</w:t>
      </w:r>
      <w:r w:rsidRPr="000F7232">
        <w:t xml:space="preserve">he breaches had no material effect on UHL’s selection of a </w:t>
      </w:r>
      <w:proofErr w:type="gramStart"/>
      <w:r w:rsidRPr="000F7232">
        <w:t>provider</w:t>
      </w:r>
      <w:proofErr w:type="gramEnd"/>
      <w:r w:rsidRPr="000F7232">
        <w:t xml:space="preserve"> and it should proceed with awarding the contract as originally </w:t>
      </w:r>
      <w:proofErr w:type="gramStart"/>
      <w:r w:rsidRPr="000F7232">
        <w:t>intended;</w:t>
      </w:r>
      <w:proofErr w:type="gramEnd"/>
    </w:p>
    <w:p w14:paraId="183B9D1A" w14:textId="77777777" w:rsidR="00BD02EC" w:rsidRPr="000F7232" w:rsidRDefault="00BD02EC" w:rsidP="00BD02EC">
      <w:pPr>
        <w:pStyle w:val="ListParagraph"/>
        <w:numPr>
          <w:ilvl w:val="0"/>
          <w:numId w:val="16"/>
        </w:numPr>
        <w:spacing w:line="276" w:lineRule="auto"/>
        <w:contextualSpacing/>
      </w:pPr>
      <w:r w:rsidRPr="000F7232">
        <w:t>UHL should return to an earlier step in the provider selection process to rectify the issues identified by the Panel; or</w:t>
      </w:r>
    </w:p>
    <w:p w14:paraId="4206AFEF" w14:textId="77777777" w:rsidR="00BD02EC" w:rsidRPr="000F7232" w:rsidRDefault="00BD02EC" w:rsidP="00BD02EC">
      <w:pPr>
        <w:pStyle w:val="ListParagraph"/>
        <w:numPr>
          <w:ilvl w:val="0"/>
          <w:numId w:val="16"/>
        </w:numPr>
        <w:spacing w:line="276" w:lineRule="auto"/>
        <w:ind w:left="1077" w:hanging="357"/>
      </w:pPr>
      <w:r w:rsidRPr="000F7232">
        <w:t>UHL should abandon the current provider selection process.</w:t>
      </w:r>
    </w:p>
    <w:p w14:paraId="1598343A" w14:textId="061A7B2B" w:rsidR="00BD02EC" w:rsidRDefault="00AD3804" w:rsidP="00BD02EC">
      <w:pPr>
        <w:pStyle w:val="ListParagraph"/>
        <w:spacing w:line="276" w:lineRule="auto"/>
        <w:ind w:left="567" w:hanging="567"/>
      </w:pPr>
      <w:r>
        <w:t xml:space="preserve">The Panel’s view is that the breach it has identified does not have a material effect on UHL’s selection of a provider. The Panel has reached this conclusion </w:t>
      </w:r>
      <w:proofErr w:type="gramStart"/>
      <w:r>
        <w:t>as a result of</w:t>
      </w:r>
      <w:proofErr w:type="gramEnd"/>
      <w:r>
        <w:t xml:space="preserve"> assessing the information requested by YWR, as well as other relevant information, when assessing UHL’s provider selection process for the insourcing managed service.</w:t>
      </w:r>
    </w:p>
    <w:p w14:paraId="0B1844BA" w14:textId="77777777" w:rsidR="00BD02EC" w:rsidRDefault="00BD02EC" w:rsidP="00BD02EC">
      <w:pPr>
        <w:pStyle w:val="ListParagraph"/>
        <w:spacing w:line="276" w:lineRule="auto"/>
        <w:ind w:left="567" w:hanging="567"/>
      </w:pPr>
      <w:r>
        <w:t>As a result, the Panel’s advice is that UHL should proceed with awarding the contract as originally intended.</w:t>
      </w:r>
    </w:p>
    <w:p w14:paraId="28BFF2B5" w14:textId="77777777" w:rsidR="00485DA5" w:rsidRPr="00485DA5" w:rsidRDefault="00485DA5" w:rsidP="00485DA5"/>
    <w:sectPr w:rsidR="00485DA5" w:rsidRPr="00485DA5" w:rsidSect="00F25352">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1016" w14:textId="77777777" w:rsidR="00275E80" w:rsidRDefault="00275E80" w:rsidP="008F2F8C">
      <w:pPr>
        <w:spacing w:after="0" w:line="240" w:lineRule="auto"/>
      </w:pPr>
      <w:r>
        <w:separator/>
      </w:r>
    </w:p>
  </w:endnote>
  <w:endnote w:type="continuationSeparator" w:id="0">
    <w:p w14:paraId="7A4EBCF5" w14:textId="77777777" w:rsidR="00275E80" w:rsidRDefault="00275E80" w:rsidP="008F2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991483"/>
      <w:docPartObj>
        <w:docPartGallery w:val="Page Numbers (Bottom of Page)"/>
        <w:docPartUnique/>
      </w:docPartObj>
    </w:sdtPr>
    <w:sdtEndPr>
      <w:rPr>
        <w:noProof/>
        <w:sz w:val="20"/>
        <w:szCs w:val="20"/>
      </w:rPr>
    </w:sdtEndPr>
    <w:sdtContent>
      <w:p w14:paraId="4CA21588" w14:textId="64F8025F" w:rsidR="00F25352" w:rsidRPr="00F25352" w:rsidRDefault="00F25352">
        <w:pPr>
          <w:pStyle w:val="Footer"/>
          <w:jc w:val="right"/>
          <w:rPr>
            <w:sz w:val="20"/>
            <w:szCs w:val="20"/>
          </w:rPr>
        </w:pPr>
        <w:r w:rsidRPr="00F25352">
          <w:rPr>
            <w:sz w:val="20"/>
            <w:szCs w:val="20"/>
          </w:rPr>
          <w:fldChar w:fldCharType="begin"/>
        </w:r>
        <w:r w:rsidRPr="00F25352">
          <w:rPr>
            <w:sz w:val="20"/>
            <w:szCs w:val="20"/>
          </w:rPr>
          <w:instrText xml:space="preserve"> PAGE   \* MERGEFORMAT </w:instrText>
        </w:r>
        <w:r w:rsidRPr="00F25352">
          <w:rPr>
            <w:sz w:val="20"/>
            <w:szCs w:val="20"/>
          </w:rPr>
          <w:fldChar w:fldCharType="separate"/>
        </w:r>
        <w:r w:rsidRPr="00F25352">
          <w:rPr>
            <w:noProof/>
            <w:sz w:val="20"/>
            <w:szCs w:val="20"/>
          </w:rPr>
          <w:t>2</w:t>
        </w:r>
        <w:r w:rsidRPr="00F25352">
          <w:rPr>
            <w:noProof/>
            <w:sz w:val="20"/>
            <w:szCs w:val="20"/>
          </w:rPr>
          <w:fldChar w:fldCharType="end"/>
        </w:r>
      </w:p>
    </w:sdtContent>
  </w:sdt>
  <w:p w14:paraId="16A6B97E" w14:textId="77777777" w:rsidR="00F25352" w:rsidRDefault="00F2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FD63" w14:textId="77777777" w:rsidR="00275E80" w:rsidRDefault="00275E80" w:rsidP="008F2F8C">
      <w:pPr>
        <w:spacing w:after="0" w:line="240" w:lineRule="auto"/>
      </w:pPr>
      <w:r>
        <w:separator/>
      </w:r>
    </w:p>
  </w:footnote>
  <w:footnote w:type="continuationSeparator" w:id="0">
    <w:p w14:paraId="19A161BB" w14:textId="77777777" w:rsidR="00275E80" w:rsidRDefault="00275E80" w:rsidP="008F2F8C">
      <w:pPr>
        <w:spacing w:after="0" w:line="240" w:lineRule="auto"/>
      </w:pPr>
      <w:r>
        <w:continuationSeparator/>
      </w:r>
    </w:p>
  </w:footnote>
  <w:footnote w:id="1">
    <w:p w14:paraId="0AD6A53C" w14:textId="7FFBF055" w:rsidR="00856A83" w:rsidRPr="00856A83" w:rsidRDefault="00856A83">
      <w:pPr>
        <w:pStyle w:val="FootnoteText"/>
        <w:rPr>
          <w:sz w:val="16"/>
          <w:szCs w:val="16"/>
        </w:rPr>
      </w:pPr>
      <w:r w:rsidRPr="00A90E23">
        <w:rPr>
          <w:rStyle w:val="FootnoteReference"/>
          <w:sz w:val="16"/>
          <w:szCs w:val="16"/>
        </w:rPr>
        <w:footnoteRef/>
      </w:r>
      <w:r w:rsidRPr="00A90E23">
        <w:rPr>
          <w:sz w:val="16"/>
          <w:szCs w:val="16"/>
        </w:rPr>
        <w:t xml:space="preserve"> </w:t>
      </w:r>
      <w:r w:rsidR="007D50B2" w:rsidRPr="00A90E23">
        <w:rPr>
          <w:sz w:val="16"/>
          <w:szCs w:val="16"/>
        </w:rPr>
        <w:t xml:space="preserve">Your World Recruitment </w:t>
      </w:r>
      <w:r w:rsidR="00087C44" w:rsidRPr="00A90E23">
        <w:rPr>
          <w:sz w:val="16"/>
          <w:szCs w:val="16"/>
        </w:rPr>
        <w:t xml:space="preserve">is </w:t>
      </w:r>
      <w:r w:rsidR="007D50B2" w:rsidRPr="00A90E23">
        <w:rPr>
          <w:sz w:val="16"/>
          <w:szCs w:val="16"/>
        </w:rPr>
        <w:t>a healthcare recruitment agency</w:t>
      </w:r>
      <w:r w:rsidR="00087C44" w:rsidRPr="00A90E23">
        <w:rPr>
          <w:sz w:val="16"/>
          <w:szCs w:val="16"/>
        </w:rPr>
        <w:t xml:space="preserve">. </w:t>
      </w:r>
      <w:r w:rsidR="00FE11E8" w:rsidRPr="00A90E23">
        <w:rPr>
          <w:sz w:val="16"/>
          <w:szCs w:val="16"/>
        </w:rPr>
        <w:t>Further information can be found on its website at</w:t>
      </w:r>
      <w:r w:rsidR="007D50B2" w:rsidRPr="00A90E23">
        <w:rPr>
          <w:sz w:val="16"/>
          <w:szCs w:val="16"/>
        </w:rPr>
        <w:t xml:space="preserve">: </w:t>
      </w:r>
      <w:hyperlink r:id="rId1" w:history="1">
        <w:r w:rsidR="007D50B2" w:rsidRPr="00A90E23">
          <w:rPr>
            <w:rStyle w:val="Hyperlink"/>
            <w:sz w:val="16"/>
            <w:szCs w:val="16"/>
          </w:rPr>
          <w:t>https://www.yourworld.com/uk/about-us</w:t>
        </w:r>
      </w:hyperlink>
      <w:r w:rsidR="007D50B2" w:rsidRPr="00A90E23">
        <w:rPr>
          <w:sz w:val="16"/>
          <w:szCs w:val="16"/>
        </w:rPr>
        <w:t>.</w:t>
      </w:r>
    </w:p>
  </w:footnote>
  <w:footnote w:id="2">
    <w:p w14:paraId="7DF91B9E" w14:textId="32978B28" w:rsidR="007835F9" w:rsidRPr="007835F9" w:rsidRDefault="007835F9" w:rsidP="007835F9">
      <w:pPr>
        <w:pStyle w:val="FootnoteText"/>
        <w:rPr>
          <w:sz w:val="16"/>
          <w:szCs w:val="16"/>
        </w:rPr>
      </w:pPr>
      <w:r w:rsidRPr="007835F9">
        <w:rPr>
          <w:rStyle w:val="FootnoteReference"/>
          <w:sz w:val="16"/>
          <w:szCs w:val="16"/>
        </w:rPr>
        <w:footnoteRef/>
      </w:r>
      <w:r w:rsidRPr="007835F9">
        <w:rPr>
          <w:sz w:val="16"/>
          <w:szCs w:val="16"/>
        </w:rPr>
        <w:t xml:space="preserve"> UHL serves a population of 1.1 million people across Leicester, Leicestershire and Rutland from its three acute hospitals, Leicester Royal Infirmary, Leicester General Hospital and Glenfield Hospital, and also provides services in the community and virtually</w:t>
      </w:r>
      <w:r w:rsidR="005578C0">
        <w:rPr>
          <w:sz w:val="16"/>
          <w:szCs w:val="16"/>
        </w:rPr>
        <w:t>.</w:t>
      </w:r>
      <w:r w:rsidRPr="007835F9">
        <w:rPr>
          <w:sz w:val="16"/>
          <w:szCs w:val="16"/>
        </w:rPr>
        <w:t xml:space="preserve"> Further information on UHL can be found on its website at </w:t>
      </w:r>
      <w:hyperlink r:id="rId2" w:history="1">
        <w:r w:rsidRPr="007835F9">
          <w:rPr>
            <w:rStyle w:val="Hyperlink"/>
            <w:sz w:val="16"/>
            <w:szCs w:val="16"/>
          </w:rPr>
          <w:t>https://www.uhleicester.nhs.uk/</w:t>
        </w:r>
      </w:hyperlink>
      <w:r w:rsidRPr="007835F9">
        <w:rPr>
          <w:sz w:val="16"/>
          <w:szCs w:val="16"/>
        </w:rPr>
        <w:t>.</w:t>
      </w:r>
    </w:p>
  </w:footnote>
  <w:footnote w:id="3">
    <w:p w14:paraId="2E5919FC" w14:textId="5E8932BB" w:rsidR="00676EEC" w:rsidRPr="00676EEC" w:rsidRDefault="00676EEC">
      <w:pPr>
        <w:pStyle w:val="FootnoteText"/>
        <w:rPr>
          <w:sz w:val="16"/>
          <w:szCs w:val="16"/>
        </w:rPr>
      </w:pPr>
      <w:r w:rsidRPr="00676EEC">
        <w:rPr>
          <w:rStyle w:val="FootnoteReference"/>
          <w:sz w:val="16"/>
          <w:szCs w:val="16"/>
        </w:rPr>
        <w:footnoteRef/>
      </w:r>
      <w:r w:rsidRPr="00676EEC">
        <w:rPr>
          <w:sz w:val="16"/>
          <w:szCs w:val="16"/>
        </w:rPr>
        <w:t xml:space="preserve"> The PSR Regulations’ title in full is the Health Care Services (Provider Selection Regime) Regulations 2023.</w:t>
      </w:r>
    </w:p>
  </w:footnote>
  <w:footnote w:id="4">
    <w:p w14:paraId="092892F3" w14:textId="77777777" w:rsidR="0076462B" w:rsidRPr="00C61DD3" w:rsidRDefault="0076462B" w:rsidP="0076462B">
      <w:pPr>
        <w:pStyle w:val="FootnoteText"/>
        <w:rPr>
          <w:sz w:val="16"/>
          <w:szCs w:val="16"/>
        </w:rPr>
      </w:pPr>
      <w:r w:rsidRPr="00C61DD3">
        <w:rPr>
          <w:rStyle w:val="FootnoteReference"/>
          <w:sz w:val="16"/>
          <w:szCs w:val="16"/>
        </w:rPr>
        <w:footnoteRef/>
      </w:r>
      <w:r w:rsidRPr="00C61DD3">
        <w:rPr>
          <w:sz w:val="16"/>
          <w:szCs w:val="16"/>
        </w:rPr>
        <w:t xml:space="preserve"> </w:t>
      </w:r>
      <w:r>
        <w:rPr>
          <w:sz w:val="16"/>
          <w:szCs w:val="16"/>
        </w:rPr>
        <w:t xml:space="preserve">North of England NHS Commercial Procurement Collaborative (NOE CPC), </w:t>
      </w:r>
      <w:r w:rsidRPr="00A954E7">
        <w:rPr>
          <w:i/>
          <w:iCs/>
          <w:sz w:val="16"/>
          <w:szCs w:val="16"/>
        </w:rPr>
        <w:t>NHS Workforce Alliance Framework Agreement RM6276 – Insourced Services to support the provision of Healthcare Services, Contract Notice</w:t>
      </w:r>
      <w:r>
        <w:rPr>
          <w:sz w:val="16"/>
          <w:szCs w:val="16"/>
        </w:rPr>
        <w:t xml:space="preserve"> on </w:t>
      </w:r>
      <w:r w:rsidRPr="002C3695">
        <w:rPr>
          <w:i/>
          <w:iCs/>
          <w:sz w:val="16"/>
          <w:szCs w:val="16"/>
        </w:rPr>
        <w:t>Find a Tender Service (FTS)</w:t>
      </w:r>
      <w:r>
        <w:rPr>
          <w:sz w:val="16"/>
          <w:szCs w:val="16"/>
        </w:rPr>
        <w:t xml:space="preserve">, 19 July 2021. </w:t>
      </w:r>
    </w:p>
  </w:footnote>
  <w:footnote w:id="5">
    <w:p w14:paraId="0451A91F" w14:textId="53FF603C" w:rsidR="004724B3" w:rsidRPr="004A0C4C" w:rsidRDefault="004724B3">
      <w:pPr>
        <w:pStyle w:val="FootnoteText"/>
        <w:rPr>
          <w:sz w:val="16"/>
          <w:szCs w:val="16"/>
        </w:rPr>
      </w:pPr>
      <w:r w:rsidRPr="004A0C4C">
        <w:rPr>
          <w:rStyle w:val="FootnoteReference"/>
          <w:sz w:val="16"/>
          <w:szCs w:val="16"/>
        </w:rPr>
        <w:footnoteRef/>
      </w:r>
      <w:r w:rsidRPr="004A0C4C">
        <w:rPr>
          <w:sz w:val="16"/>
          <w:szCs w:val="16"/>
        </w:rPr>
        <w:t xml:space="preserve"> The Panel’s case acceptance criteria are available at </w:t>
      </w:r>
      <w:hyperlink r:id="rId3" w:history="1">
        <w:r w:rsidR="004A0C4C" w:rsidRPr="004A0C4C">
          <w:rPr>
            <w:rStyle w:val="Hyperlink"/>
            <w:rFonts w:cs="Arial"/>
            <w:sz w:val="16"/>
            <w:szCs w:val="16"/>
          </w:rPr>
          <w:t>https://www.england.nhs.uk/commissioning/how-commissioning-is-changing/nhs-provider-selection-regime/independent-patient-choice-and-procurement-panel/</w:t>
        </w:r>
      </w:hyperlink>
      <w:r w:rsidR="004A0C4C">
        <w:rPr>
          <w:sz w:val="16"/>
          <w:szCs w:val="16"/>
        </w:rPr>
        <w:t>.</w:t>
      </w:r>
    </w:p>
  </w:footnote>
  <w:footnote w:id="6">
    <w:p w14:paraId="6E6F3ED5" w14:textId="56ED232F" w:rsidR="004A0C4C" w:rsidRPr="0050576A" w:rsidRDefault="004A0C4C">
      <w:pPr>
        <w:pStyle w:val="FootnoteText"/>
        <w:rPr>
          <w:sz w:val="16"/>
          <w:szCs w:val="16"/>
        </w:rPr>
      </w:pPr>
      <w:r w:rsidRPr="0050576A">
        <w:rPr>
          <w:rStyle w:val="FootnoteReference"/>
          <w:sz w:val="16"/>
          <w:szCs w:val="16"/>
        </w:rPr>
        <w:footnoteRef/>
      </w:r>
      <w:r w:rsidRPr="0050576A">
        <w:rPr>
          <w:sz w:val="16"/>
          <w:szCs w:val="16"/>
        </w:rPr>
        <w:t xml:space="preserve"> Biographies of Panel members are available at </w:t>
      </w:r>
      <w:hyperlink r:id="rId4" w:history="1">
        <w:r w:rsidR="0050576A" w:rsidRPr="0050576A">
          <w:rPr>
            <w:rStyle w:val="Hyperlink"/>
            <w:rFonts w:cs="Arial"/>
            <w:sz w:val="16"/>
            <w:szCs w:val="16"/>
          </w:rPr>
          <w:t>https://www.england.nhs.uk/commissioning/how-commissioning-is-changing/nhs-provider-selection-regime/independent-patient-choice-and-procurement-panel/panel-members/</w:t>
        </w:r>
      </w:hyperlink>
      <w:r w:rsidR="0050576A" w:rsidRPr="0050576A">
        <w:rPr>
          <w:rFonts w:cs="Arial"/>
          <w:sz w:val="16"/>
          <w:szCs w:val="16"/>
        </w:rPr>
        <w:t>.</w:t>
      </w:r>
    </w:p>
  </w:footnote>
  <w:footnote w:id="7">
    <w:p w14:paraId="3EB524F8" w14:textId="292229CD" w:rsidR="00CD4CF5" w:rsidRPr="00A47C13" w:rsidRDefault="00CD4CF5">
      <w:pPr>
        <w:pStyle w:val="FootnoteText"/>
        <w:rPr>
          <w:sz w:val="16"/>
          <w:szCs w:val="16"/>
        </w:rPr>
      </w:pPr>
      <w:r w:rsidRPr="00A47C13">
        <w:rPr>
          <w:rStyle w:val="FootnoteReference"/>
          <w:sz w:val="16"/>
          <w:szCs w:val="16"/>
        </w:rPr>
        <w:footnoteRef/>
      </w:r>
      <w:r w:rsidRPr="00A47C13">
        <w:rPr>
          <w:sz w:val="16"/>
          <w:szCs w:val="16"/>
        </w:rPr>
        <w:t xml:space="preserve"> The Panel’s Standard Operating Procedures are available at </w:t>
      </w:r>
      <w:hyperlink r:id="rId5" w:history="1">
        <w:r w:rsidR="00A47C13" w:rsidRPr="00A47C13">
          <w:rPr>
            <w:rStyle w:val="Hyperlink"/>
            <w:rFonts w:cs="Arial"/>
            <w:sz w:val="16"/>
            <w:szCs w:val="16"/>
          </w:rPr>
          <w:t>https://www.england.nhs.uk/commissioning/how-commissioning-is-changing/nhs-provider-selection-regime/independent-patient-choice-and-procurement-panel/</w:t>
        </w:r>
      </w:hyperlink>
      <w:r w:rsidR="00A47C13" w:rsidRPr="00A47C13">
        <w:rPr>
          <w:rFonts w:cs="Arial"/>
          <w:sz w:val="16"/>
          <w:szCs w:val="16"/>
        </w:rPr>
        <w:t>.</w:t>
      </w:r>
    </w:p>
  </w:footnote>
  <w:footnote w:id="8">
    <w:p w14:paraId="79995ABF" w14:textId="04E9C25F" w:rsidR="00A47C13" w:rsidRPr="00A47C13" w:rsidRDefault="00A47C13">
      <w:pPr>
        <w:pStyle w:val="FootnoteText"/>
        <w:rPr>
          <w:sz w:val="16"/>
          <w:szCs w:val="16"/>
        </w:rPr>
      </w:pPr>
      <w:r w:rsidRPr="00A47C13">
        <w:rPr>
          <w:rStyle w:val="FootnoteReference"/>
          <w:sz w:val="16"/>
          <w:szCs w:val="16"/>
        </w:rPr>
        <w:footnoteRef/>
      </w:r>
      <w:r w:rsidRPr="00A47C13">
        <w:rPr>
          <w:sz w:val="16"/>
          <w:szCs w:val="16"/>
        </w:rPr>
        <w:t xml:space="preserve"> The Panel’s advice is provided under paragraph 23 of the PSR Regulations and takes account of the representations made to the Panel prior to forming its opinion.</w:t>
      </w:r>
    </w:p>
  </w:footnote>
  <w:footnote w:id="9">
    <w:p w14:paraId="3C8291CB" w14:textId="6C8B4533" w:rsidR="008F2F8C" w:rsidRDefault="008F2F8C">
      <w:pPr>
        <w:pStyle w:val="FootnoteText"/>
      </w:pPr>
      <w:r w:rsidRPr="009C30B9">
        <w:rPr>
          <w:rStyle w:val="FootnoteReference"/>
          <w:sz w:val="16"/>
          <w:szCs w:val="16"/>
        </w:rPr>
        <w:footnoteRef/>
      </w:r>
      <w:r w:rsidRPr="009C30B9">
        <w:rPr>
          <w:sz w:val="16"/>
          <w:szCs w:val="16"/>
        </w:rPr>
        <w:t xml:space="preserve"> The PSR Regulations are available at </w:t>
      </w:r>
      <w:hyperlink r:id="rId6" w:history="1">
        <w:r w:rsidR="009C30B9" w:rsidRPr="00EE7D7D">
          <w:rPr>
            <w:rStyle w:val="Hyperlink"/>
            <w:rFonts w:cs="Arial"/>
            <w:sz w:val="16"/>
            <w:szCs w:val="16"/>
          </w:rPr>
          <w:t>https://www.legislation.gov.uk/uksi/2023/1348/contents/made</w:t>
        </w:r>
      </w:hyperlink>
      <w:r w:rsidR="009C30B9" w:rsidRPr="00EE7D7D">
        <w:rPr>
          <w:rFonts w:cs="Arial"/>
          <w:sz w:val="16"/>
          <w:szCs w:val="16"/>
        </w:rPr>
        <w:t xml:space="preserve"> and the accompanying statutory guidance is available at NHS England, </w:t>
      </w:r>
      <w:r w:rsidR="009C30B9" w:rsidRPr="00EE7D7D">
        <w:rPr>
          <w:rFonts w:cs="Arial"/>
          <w:i/>
          <w:iCs/>
          <w:sz w:val="16"/>
          <w:szCs w:val="16"/>
        </w:rPr>
        <w:t>The Provider Selection Regime: statutory guidance</w:t>
      </w:r>
      <w:r w:rsidR="009C30B9" w:rsidRPr="00EE7D7D">
        <w:rPr>
          <w:rFonts w:cs="Arial"/>
          <w:sz w:val="16"/>
          <w:szCs w:val="16"/>
        </w:rPr>
        <w:t xml:space="preserve">, </w:t>
      </w:r>
      <w:hyperlink r:id="rId7" w:history="1">
        <w:r w:rsidR="009C30B9" w:rsidRPr="00EE7D7D">
          <w:rPr>
            <w:rStyle w:val="Hyperlink"/>
            <w:rFonts w:cs="Arial"/>
            <w:sz w:val="16"/>
            <w:szCs w:val="16"/>
          </w:rPr>
          <w:t>https://www.england.nhs.uk/long-read/the-provider-selection-regime-statutory-guidance/</w:t>
        </w:r>
      </w:hyperlink>
      <w:r w:rsidR="00CE70C9">
        <w:t>.</w:t>
      </w:r>
    </w:p>
  </w:footnote>
  <w:footnote w:id="10">
    <w:p w14:paraId="0700D3E9" w14:textId="7520292A" w:rsidR="00955E64" w:rsidRPr="00CC0916" w:rsidRDefault="00955E64" w:rsidP="00955E64">
      <w:pPr>
        <w:pStyle w:val="FootnoteText"/>
        <w:rPr>
          <w:sz w:val="16"/>
          <w:szCs w:val="16"/>
        </w:rPr>
      </w:pPr>
      <w:r w:rsidRPr="00A7786D">
        <w:rPr>
          <w:rStyle w:val="FootnoteReference"/>
          <w:sz w:val="16"/>
          <w:szCs w:val="16"/>
        </w:rPr>
        <w:footnoteRef/>
      </w:r>
      <w:r w:rsidRPr="00A7786D">
        <w:rPr>
          <w:sz w:val="16"/>
          <w:szCs w:val="16"/>
        </w:rPr>
        <w:t xml:space="preserve"> </w:t>
      </w:r>
      <w:r w:rsidR="000D27F3">
        <w:rPr>
          <w:sz w:val="16"/>
          <w:szCs w:val="16"/>
        </w:rPr>
        <w:t xml:space="preserve">See contract award notice at </w:t>
      </w:r>
      <w:hyperlink r:id="rId8" w:history="1">
        <w:r w:rsidR="000D27F3" w:rsidRPr="001F1257">
          <w:rPr>
            <w:rStyle w:val="Hyperlink"/>
            <w:sz w:val="16"/>
            <w:szCs w:val="16"/>
          </w:rPr>
          <w:t>https://www.find-tender.service.gov.uk/Notice/032120-2021?origin=SearchResults&amp;p=1</w:t>
        </w:r>
      </w:hyperlink>
      <w:r w:rsidR="000D27F3">
        <w:rPr>
          <w:sz w:val="16"/>
          <w:szCs w:val="16"/>
        </w:rPr>
        <w:t>.</w:t>
      </w:r>
    </w:p>
  </w:footnote>
  <w:footnote w:id="11">
    <w:p w14:paraId="3D179D2C" w14:textId="77777777" w:rsidR="00A62F06" w:rsidRPr="00A7786D" w:rsidRDefault="00A62F06" w:rsidP="00A62F06">
      <w:pPr>
        <w:pStyle w:val="FootnoteText"/>
        <w:rPr>
          <w:sz w:val="16"/>
          <w:szCs w:val="16"/>
        </w:rPr>
      </w:pPr>
      <w:r w:rsidRPr="00A7786D">
        <w:rPr>
          <w:rStyle w:val="FootnoteReference"/>
          <w:sz w:val="16"/>
          <w:szCs w:val="16"/>
        </w:rPr>
        <w:footnoteRef/>
      </w:r>
      <w:r w:rsidRPr="00A7786D">
        <w:rPr>
          <w:sz w:val="16"/>
          <w:szCs w:val="16"/>
        </w:rPr>
        <w:t xml:space="preserve"> </w:t>
      </w:r>
      <w:r>
        <w:rPr>
          <w:sz w:val="16"/>
          <w:szCs w:val="16"/>
        </w:rPr>
        <w:t xml:space="preserve">UHL, </w:t>
      </w:r>
      <w:r w:rsidRPr="00115A22">
        <w:rPr>
          <w:i/>
          <w:iCs/>
          <w:sz w:val="16"/>
          <w:szCs w:val="16"/>
        </w:rPr>
        <w:t>Procurement Tender Report</w:t>
      </w:r>
      <w:r>
        <w:rPr>
          <w:sz w:val="16"/>
          <w:szCs w:val="16"/>
        </w:rPr>
        <w:t>, 27 June 2025.</w:t>
      </w:r>
    </w:p>
  </w:footnote>
  <w:footnote w:id="12">
    <w:p w14:paraId="7A7CC924" w14:textId="17BD89D5" w:rsidR="00C64015" w:rsidRPr="00277BB7" w:rsidRDefault="00C64015">
      <w:pPr>
        <w:pStyle w:val="FootnoteText"/>
        <w:rPr>
          <w:sz w:val="16"/>
          <w:szCs w:val="16"/>
        </w:rPr>
      </w:pPr>
      <w:r w:rsidRPr="00277BB7">
        <w:rPr>
          <w:rStyle w:val="FootnoteReference"/>
          <w:sz w:val="16"/>
          <w:szCs w:val="16"/>
        </w:rPr>
        <w:footnoteRef/>
      </w:r>
      <w:r w:rsidRPr="00277BB7">
        <w:rPr>
          <w:sz w:val="16"/>
          <w:szCs w:val="16"/>
        </w:rPr>
        <w:t xml:space="preserve"> The NHS Workforce Alliance Framework, aims to deliver “an extra 40,000 elective appointments per week” with an estimated total value of £278m over 4 years. The NHS Shared Business Services framework has an estimated value of £800m over 4 years</w:t>
      </w:r>
      <w:r>
        <w:rPr>
          <w:sz w:val="16"/>
          <w:szCs w:val="16"/>
        </w:rPr>
        <w:t>.</w:t>
      </w:r>
    </w:p>
  </w:footnote>
  <w:footnote w:id="13">
    <w:p w14:paraId="1145B679" w14:textId="08479E22" w:rsidR="00F62357" w:rsidRPr="009460F4" w:rsidRDefault="00F62357">
      <w:pPr>
        <w:pStyle w:val="FootnoteText"/>
        <w:rPr>
          <w:sz w:val="16"/>
          <w:szCs w:val="16"/>
        </w:rPr>
      </w:pPr>
      <w:r w:rsidRPr="009460F4">
        <w:rPr>
          <w:rStyle w:val="FootnoteReference"/>
          <w:sz w:val="16"/>
          <w:szCs w:val="16"/>
        </w:rPr>
        <w:footnoteRef/>
      </w:r>
      <w:r w:rsidRPr="009460F4">
        <w:rPr>
          <w:sz w:val="16"/>
          <w:szCs w:val="16"/>
        </w:rPr>
        <w:t xml:space="preserve"> </w:t>
      </w:r>
      <w:r w:rsidR="004E7356" w:rsidRPr="009460F4">
        <w:rPr>
          <w:sz w:val="16"/>
          <w:szCs w:val="16"/>
        </w:rPr>
        <w:t xml:space="preserve">An internal report from UHL says that it was clear that the existing insourcing contracts “were not being managed robustly in most cases. This led to some issues in performance, with no firm monitoring of any Key Performance Indicators (KPIs) within the existing contracts. Similarly, it was found that </w:t>
      </w:r>
      <w:r w:rsidR="00405E53" w:rsidRPr="009460F4">
        <w:rPr>
          <w:sz w:val="16"/>
          <w:szCs w:val="16"/>
        </w:rPr>
        <w:t>while the majority of services were priced on a ‘cost per session’ basis, many lists were not being filled either due to under booking and/or the number of on the day cancellations</w:t>
      </w:r>
      <w:r w:rsidR="00F81A8E" w:rsidRPr="009460F4">
        <w:rPr>
          <w:sz w:val="16"/>
          <w:szCs w:val="16"/>
        </w:rPr>
        <w:t xml:space="preserve">, leading to the Trust paying for clinician’s time which was not fully utilised” (UHL, </w:t>
      </w:r>
      <w:r w:rsidR="009460F4" w:rsidRPr="009460F4">
        <w:rPr>
          <w:i/>
          <w:iCs/>
          <w:sz w:val="16"/>
          <w:szCs w:val="16"/>
        </w:rPr>
        <w:t>Report to Procurement Contracts Committee</w:t>
      </w:r>
      <w:r w:rsidR="009460F4" w:rsidRPr="009460F4">
        <w:rPr>
          <w:sz w:val="16"/>
          <w:szCs w:val="16"/>
        </w:rPr>
        <w:t>, 7 July 2025).</w:t>
      </w:r>
    </w:p>
  </w:footnote>
  <w:footnote w:id="14">
    <w:p w14:paraId="125BD3AD" w14:textId="77777777" w:rsidR="007701C6" w:rsidRPr="00A7786D" w:rsidRDefault="007701C6" w:rsidP="007701C6">
      <w:pPr>
        <w:pStyle w:val="FootnoteText"/>
        <w:rPr>
          <w:sz w:val="16"/>
          <w:szCs w:val="16"/>
        </w:rPr>
      </w:pPr>
      <w:r w:rsidRPr="00A7786D">
        <w:rPr>
          <w:rStyle w:val="FootnoteReference"/>
          <w:sz w:val="16"/>
          <w:szCs w:val="16"/>
        </w:rPr>
        <w:footnoteRef/>
      </w:r>
      <w:r w:rsidRPr="00A7786D">
        <w:rPr>
          <w:sz w:val="16"/>
          <w:szCs w:val="16"/>
        </w:rPr>
        <w:t xml:space="preserve"> UHL, </w:t>
      </w:r>
      <w:r w:rsidRPr="00A7786D">
        <w:rPr>
          <w:i/>
          <w:iCs/>
          <w:sz w:val="16"/>
          <w:szCs w:val="16"/>
        </w:rPr>
        <w:t>Contract Award Notice</w:t>
      </w:r>
      <w:r w:rsidRPr="00A7786D">
        <w:rPr>
          <w:sz w:val="16"/>
          <w:szCs w:val="16"/>
        </w:rPr>
        <w:t xml:space="preserve"> on </w:t>
      </w:r>
      <w:r w:rsidRPr="00A7786D">
        <w:rPr>
          <w:i/>
          <w:iCs/>
          <w:sz w:val="16"/>
          <w:szCs w:val="16"/>
        </w:rPr>
        <w:t>Find a Tender Service (FTS)</w:t>
      </w:r>
      <w:r w:rsidRPr="00A7786D">
        <w:rPr>
          <w:sz w:val="16"/>
          <w:szCs w:val="16"/>
        </w:rPr>
        <w:t>, 29 August 2025.</w:t>
      </w:r>
    </w:p>
  </w:footnote>
  <w:footnote w:id="15">
    <w:p w14:paraId="40975AA4" w14:textId="77777777" w:rsidR="004557FA" w:rsidRPr="00A7786D" w:rsidRDefault="004557FA" w:rsidP="004557FA">
      <w:pPr>
        <w:pStyle w:val="FootnoteText"/>
        <w:rPr>
          <w:sz w:val="16"/>
          <w:szCs w:val="16"/>
        </w:rPr>
      </w:pPr>
      <w:r w:rsidRPr="00A7786D">
        <w:rPr>
          <w:rStyle w:val="FootnoteReference"/>
          <w:sz w:val="16"/>
          <w:szCs w:val="16"/>
        </w:rPr>
        <w:footnoteRef/>
      </w:r>
      <w:r w:rsidRPr="00A7786D">
        <w:rPr>
          <w:sz w:val="16"/>
          <w:szCs w:val="16"/>
        </w:rPr>
        <w:t xml:space="preserve"> For example, a bidder that offered a 10% discount would charge UHL the NHS tariff less 10% for each service covered by the contract.</w:t>
      </w:r>
    </w:p>
  </w:footnote>
  <w:footnote w:id="16">
    <w:p w14:paraId="726CC1B5" w14:textId="3D1A521B" w:rsidR="003A440C" w:rsidRPr="008A57E0" w:rsidRDefault="003A440C">
      <w:pPr>
        <w:pStyle w:val="FootnoteText"/>
        <w:rPr>
          <w:sz w:val="16"/>
          <w:szCs w:val="16"/>
        </w:rPr>
      </w:pPr>
      <w:r w:rsidRPr="000B0BBB">
        <w:rPr>
          <w:rStyle w:val="FootnoteReference"/>
          <w:sz w:val="16"/>
          <w:szCs w:val="16"/>
        </w:rPr>
        <w:footnoteRef/>
      </w:r>
      <w:r w:rsidRPr="000B0BBB">
        <w:rPr>
          <w:sz w:val="16"/>
          <w:szCs w:val="16"/>
        </w:rPr>
        <w:t xml:space="preserve"> </w:t>
      </w:r>
      <w:r w:rsidR="009B0796" w:rsidRPr="000B0BBB">
        <w:rPr>
          <w:sz w:val="16"/>
          <w:szCs w:val="16"/>
        </w:rPr>
        <w:t xml:space="preserve">18 Week </w:t>
      </w:r>
      <w:r w:rsidR="000C5AC4">
        <w:rPr>
          <w:sz w:val="16"/>
          <w:szCs w:val="16"/>
        </w:rPr>
        <w:t xml:space="preserve">Support </w:t>
      </w:r>
      <w:r w:rsidRPr="000B0BBB">
        <w:rPr>
          <w:sz w:val="16"/>
          <w:szCs w:val="16"/>
        </w:rPr>
        <w:t>is</w:t>
      </w:r>
      <w:r w:rsidR="001B250F" w:rsidRPr="000B0BBB">
        <w:rPr>
          <w:sz w:val="16"/>
          <w:szCs w:val="16"/>
        </w:rPr>
        <w:t xml:space="preserve"> a provider of </w:t>
      </w:r>
      <w:r w:rsidR="00976EAD" w:rsidRPr="000B0BBB">
        <w:rPr>
          <w:sz w:val="16"/>
          <w:szCs w:val="16"/>
        </w:rPr>
        <w:t xml:space="preserve">insourcing services and provides </w:t>
      </w:r>
      <w:r w:rsidR="001B250F" w:rsidRPr="000B0BBB">
        <w:rPr>
          <w:sz w:val="16"/>
          <w:szCs w:val="16"/>
        </w:rPr>
        <w:t>healthcare staff</w:t>
      </w:r>
      <w:r w:rsidR="009C4B30" w:rsidRPr="000B0BBB">
        <w:rPr>
          <w:sz w:val="16"/>
          <w:szCs w:val="16"/>
        </w:rPr>
        <w:t xml:space="preserve"> to </w:t>
      </w:r>
      <w:r w:rsidR="00DE680E" w:rsidRPr="000B0BBB">
        <w:rPr>
          <w:sz w:val="16"/>
          <w:szCs w:val="16"/>
        </w:rPr>
        <w:t>deliver clinical services</w:t>
      </w:r>
      <w:r w:rsidR="000B0BBB" w:rsidRPr="000B0BBB">
        <w:rPr>
          <w:sz w:val="16"/>
          <w:szCs w:val="16"/>
        </w:rPr>
        <w:t xml:space="preserve"> in existing healthcare facilities</w:t>
      </w:r>
      <w:r w:rsidR="008A57E0" w:rsidRPr="000B0BBB">
        <w:rPr>
          <w:sz w:val="16"/>
          <w:szCs w:val="16"/>
        </w:rPr>
        <w:t>. Further information can be found on its website at</w:t>
      </w:r>
      <w:r w:rsidR="00BE23CC" w:rsidRPr="000B0BBB">
        <w:rPr>
          <w:sz w:val="16"/>
          <w:szCs w:val="16"/>
        </w:rPr>
        <w:t xml:space="preserve"> </w:t>
      </w:r>
      <w:hyperlink r:id="rId9" w:history="1">
        <w:r w:rsidR="00BE23CC" w:rsidRPr="000B0BBB">
          <w:rPr>
            <w:rStyle w:val="Hyperlink"/>
            <w:sz w:val="16"/>
            <w:szCs w:val="16"/>
          </w:rPr>
          <w:t>https://18weeksupport.com/</w:t>
        </w:r>
      </w:hyperlink>
      <w:r w:rsidR="00BE23CC" w:rsidRPr="000B0BBB">
        <w:rPr>
          <w:sz w:val="16"/>
          <w:szCs w:val="16"/>
        </w:rPr>
        <w:t>.</w:t>
      </w:r>
    </w:p>
  </w:footnote>
  <w:footnote w:id="17">
    <w:p w14:paraId="50539D33" w14:textId="77777777" w:rsidR="00F64D03" w:rsidRPr="00877B67" w:rsidRDefault="00F64D03" w:rsidP="00F64D03">
      <w:pPr>
        <w:pStyle w:val="FootnoteText"/>
        <w:rPr>
          <w:sz w:val="16"/>
          <w:szCs w:val="16"/>
        </w:rPr>
      </w:pPr>
      <w:r w:rsidRPr="00877B67">
        <w:rPr>
          <w:rStyle w:val="FootnoteReference"/>
          <w:sz w:val="16"/>
          <w:szCs w:val="16"/>
        </w:rPr>
        <w:footnoteRef/>
      </w:r>
      <w:r w:rsidRPr="00877B67">
        <w:rPr>
          <w:sz w:val="16"/>
          <w:szCs w:val="16"/>
        </w:rPr>
        <w:t xml:space="preserve"> YWR, </w:t>
      </w:r>
      <w:r w:rsidRPr="00877B67">
        <w:rPr>
          <w:i/>
          <w:iCs/>
          <w:sz w:val="16"/>
          <w:szCs w:val="16"/>
        </w:rPr>
        <w:t>Letter to UHL re Further competition for Insourced Managed Service</w:t>
      </w:r>
      <w:r w:rsidRPr="00877B67">
        <w:rPr>
          <w:sz w:val="16"/>
          <w:szCs w:val="16"/>
        </w:rPr>
        <w:t>, 27 August 2025.</w:t>
      </w:r>
    </w:p>
  </w:footnote>
  <w:footnote w:id="18">
    <w:p w14:paraId="3C04CD88" w14:textId="7AF94F0D" w:rsidR="005F6177" w:rsidRDefault="005F6177">
      <w:pPr>
        <w:pStyle w:val="FootnoteText"/>
      </w:pPr>
      <w:r w:rsidRPr="005F6177">
        <w:rPr>
          <w:rStyle w:val="FootnoteReference"/>
          <w:sz w:val="16"/>
          <w:szCs w:val="16"/>
        </w:rPr>
        <w:footnoteRef/>
      </w:r>
      <w:r w:rsidRPr="005F6177">
        <w:rPr>
          <w:sz w:val="16"/>
          <w:szCs w:val="16"/>
        </w:rPr>
        <w:t xml:space="preserve"> The provider selection process had been carried out under the PSR regulations, but reference to the PCR in the tender outcome letters had been made in error.</w:t>
      </w:r>
    </w:p>
  </w:footnote>
  <w:footnote w:id="19">
    <w:p w14:paraId="15B7F215" w14:textId="1BACE8E6" w:rsidR="00B34408" w:rsidRPr="00877B67" w:rsidRDefault="00B34408" w:rsidP="00B34408">
      <w:pPr>
        <w:pStyle w:val="FootnoteText"/>
        <w:rPr>
          <w:sz w:val="16"/>
          <w:szCs w:val="16"/>
        </w:rPr>
      </w:pPr>
      <w:r w:rsidRPr="00877B67">
        <w:rPr>
          <w:rStyle w:val="FootnoteReference"/>
          <w:sz w:val="16"/>
          <w:szCs w:val="16"/>
        </w:rPr>
        <w:footnoteRef/>
      </w:r>
      <w:r w:rsidRPr="00877B67">
        <w:rPr>
          <w:sz w:val="16"/>
          <w:szCs w:val="16"/>
        </w:rPr>
        <w:t xml:space="preserve"> YWR, </w:t>
      </w:r>
      <w:r w:rsidRPr="00877B67">
        <w:rPr>
          <w:i/>
          <w:iCs/>
          <w:sz w:val="16"/>
          <w:szCs w:val="16"/>
        </w:rPr>
        <w:t>Letter to UHL re Further competition for Insourced Managed Service</w:t>
      </w:r>
      <w:r w:rsidRPr="00877B67">
        <w:rPr>
          <w:sz w:val="16"/>
          <w:szCs w:val="16"/>
        </w:rPr>
        <w:t xml:space="preserve">, </w:t>
      </w:r>
      <w:r>
        <w:rPr>
          <w:sz w:val="16"/>
          <w:szCs w:val="16"/>
        </w:rPr>
        <w:t>9 September</w:t>
      </w:r>
      <w:r w:rsidRPr="00877B67">
        <w:rPr>
          <w:sz w:val="16"/>
          <w:szCs w:val="16"/>
        </w:rPr>
        <w:t xml:space="preserve"> 2025.</w:t>
      </w:r>
    </w:p>
  </w:footnote>
  <w:footnote w:id="20">
    <w:p w14:paraId="443860CE" w14:textId="5C3843D3" w:rsidR="00A75B80" w:rsidRPr="00277BB7" w:rsidRDefault="00A75B80">
      <w:pPr>
        <w:pStyle w:val="FootnoteText"/>
        <w:rPr>
          <w:sz w:val="16"/>
          <w:szCs w:val="16"/>
          <w:lang w:val="nb-NO"/>
        </w:rPr>
      </w:pPr>
      <w:r w:rsidRPr="00A75B80">
        <w:rPr>
          <w:rStyle w:val="FootnoteReference"/>
          <w:sz w:val="16"/>
          <w:szCs w:val="16"/>
        </w:rPr>
        <w:footnoteRef/>
      </w:r>
      <w:r w:rsidRPr="00277BB7">
        <w:rPr>
          <w:sz w:val="16"/>
          <w:szCs w:val="16"/>
          <w:lang w:val="nb-NO"/>
        </w:rPr>
        <w:t xml:space="preserve"> UHL, </w:t>
      </w:r>
      <w:r w:rsidRPr="00277BB7">
        <w:rPr>
          <w:i/>
          <w:iCs/>
          <w:sz w:val="16"/>
          <w:szCs w:val="16"/>
          <w:lang w:val="nb-NO"/>
        </w:rPr>
        <w:t>Letter to YWR</w:t>
      </w:r>
      <w:r w:rsidRPr="00277BB7">
        <w:rPr>
          <w:sz w:val="16"/>
          <w:szCs w:val="16"/>
          <w:lang w:val="nb-NO"/>
        </w:rPr>
        <w:t>, 30 September 2025.</w:t>
      </w:r>
    </w:p>
  </w:footnote>
  <w:footnote w:id="21">
    <w:p w14:paraId="4BC73487" w14:textId="4125CCDA" w:rsidR="001B0CBD" w:rsidRPr="001B0CBD" w:rsidRDefault="001B0CBD">
      <w:pPr>
        <w:pStyle w:val="FootnoteText"/>
        <w:rPr>
          <w:sz w:val="16"/>
          <w:szCs w:val="16"/>
        </w:rPr>
      </w:pPr>
      <w:r w:rsidRPr="001B0CBD">
        <w:rPr>
          <w:rStyle w:val="FootnoteReference"/>
          <w:sz w:val="16"/>
          <w:szCs w:val="16"/>
        </w:rPr>
        <w:footnoteRef/>
      </w:r>
      <w:r w:rsidRPr="001B0CBD">
        <w:rPr>
          <w:sz w:val="16"/>
          <w:szCs w:val="16"/>
        </w:rPr>
        <w:t xml:space="preserve"> YWR, </w:t>
      </w:r>
      <w:r w:rsidRPr="001B0CBD">
        <w:rPr>
          <w:i/>
          <w:iCs/>
          <w:sz w:val="16"/>
          <w:szCs w:val="16"/>
        </w:rPr>
        <w:t>Letter to UHL re Further competition for Insourced Managed Service</w:t>
      </w:r>
      <w:r w:rsidRPr="001B0CBD">
        <w:rPr>
          <w:sz w:val="16"/>
          <w:szCs w:val="16"/>
        </w:rPr>
        <w:t>, 8 October 2025.</w:t>
      </w:r>
    </w:p>
  </w:footnote>
  <w:footnote w:id="22">
    <w:p w14:paraId="39A4C202" w14:textId="6527C2E1" w:rsidR="00CD465C" w:rsidRDefault="00CD465C">
      <w:pPr>
        <w:pStyle w:val="FootnoteText"/>
      </w:pPr>
      <w:r w:rsidRPr="00CD76D6">
        <w:rPr>
          <w:rStyle w:val="FootnoteReference"/>
          <w:sz w:val="16"/>
          <w:szCs w:val="16"/>
        </w:rPr>
        <w:footnoteRef/>
      </w:r>
      <w:r w:rsidRPr="00CD76D6">
        <w:rPr>
          <w:sz w:val="16"/>
          <w:szCs w:val="16"/>
        </w:rPr>
        <w:t xml:space="preserve"> </w:t>
      </w:r>
      <w:r w:rsidR="0036169F" w:rsidRPr="00CD76D6">
        <w:rPr>
          <w:sz w:val="16"/>
          <w:szCs w:val="16"/>
        </w:rPr>
        <w:t>Paragraph</w:t>
      </w:r>
      <w:r w:rsidR="0036169F" w:rsidRPr="0036169F">
        <w:rPr>
          <w:sz w:val="16"/>
          <w:szCs w:val="16"/>
        </w:rPr>
        <w:t xml:space="preserve"> </w:t>
      </w:r>
      <w:r w:rsidR="0036169F">
        <w:rPr>
          <w:sz w:val="16"/>
          <w:szCs w:val="16"/>
        </w:rPr>
        <w:t xml:space="preserve">6(5) sets out the conditions under which the relevant authority may follow Direct Award Process C, while paragraph 6(6) sets out the conditions </w:t>
      </w:r>
      <w:r w:rsidR="004C5957">
        <w:rPr>
          <w:sz w:val="16"/>
          <w:szCs w:val="16"/>
        </w:rPr>
        <w:t>under which the relevant authority may follow the Most Suitable Provider Process; such choice being at the discretion of the relevant authority.</w:t>
      </w:r>
    </w:p>
  </w:footnote>
  <w:footnote w:id="23">
    <w:p w14:paraId="300B6995" w14:textId="17D4427C" w:rsidR="001A2DB4" w:rsidRPr="001A2DB4" w:rsidRDefault="001A2DB4">
      <w:pPr>
        <w:pStyle w:val="FootnoteText"/>
        <w:rPr>
          <w:sz w:val="16"/>
          <w:szCs w:val="16"/>
        </w:rPr>
      </w:pPr>
      <w:r w:rsidRPr="001A2DB4">
        <w:rPr>
          <w:rStyle w:val="FootnoteReference"/>
          <w:sz w:val="16"/>
          <w:szCs w:val="16"/>
        </w:rPr>
        <w:footnoteRef/>
      </w:r>
      <w:r w:rsidRPr="001A2DB4">
        <w:rPr>
          <w:sz w:val="16"/>
          <w:szCs w:val="16"/>
        </w:rPr>
        <w:t xml:space="preserve"> NHS England, </w:t>
      </w:r>
      <w:r w:rsidRPr="001A2DB4">
        <w:rPr>
          <w:i/>
          <w:iCs/>
          <w:sz w:val="16"/>
          <w:szCs w:val="16"/>
        </w:rPr>
        <w:t>The Provider Selection Regime: statutory guidance</w:t>
      </w:r>
      <w:r w:rsidRPr="001A2DB4">
        <w:rPr>
          <w:sz w:val="16"/>
          <w:szCs w:val="16"/>
        </w:rPr>
        <w:t xml:space="preserve">, </w:t>
      </w:r>
      <w:r w:rsidR="000E285D">
        <w:rPr>
          <w:sz w:val="16"/>
          <w:szCs w:val="16"/>
        </w:rPr>
        <w:t>April 2025</w:t>
      </w:r>
      <w:r w:rsidRPr="001A2DB4">
        <w:rPr>
          <w:sz w:val="16"/>
          <w:szCs w:val="16"/>
        </w:rPr>
        <w:t>.</w:t>
      </w:r>
    </w:p>
  </w:footnote>
  <w:footnote w:id="24">
    <w:p w14:paraId="51064B9B" w14:textId="007A062E" w:rsidR="00664D83" w:rsidRPr="00664D83" w:rsidRDefault="00664D83">
      <w:pPr>
        <w:pStyle w:val="FootnoteText"/>
        <w:rPr>
          <w:sz w:val="16"/>
          <w:szCs w:val="16"/>
        </w:rPr>
      </w:pPr>
      <w:r w:rsidRPr="00664D83">
        <w:rPr>
          <w:rStyle w:val="FootnoteReference"/>
          <w:sz w:val="16"/>
          <w:szCs w:val="16"/>
        </w:rPr>
        <w:footnoteRef/>
      </w:r>
      <w:r w:rsidRPr="00664D83">
        <w:rPr>
          <w:sz w:val="16"/>
          <w:szCs w:val="16"/>
        </w:rPr>
        <w:t xml:space="preserve"> Schedule 16 says that the “basic selection criteria which must be met by a provider may relate to: (a) suitability to pursue a particular activity; (b) economic and financial standing; and (c) technical and professional ability … with regard to economic and financial standing, a relevant authority may impose requirements ensuring that a provider possesses the necessary economic and financial capacity to perform the contract”.</w:t>
      </w:r>
    </w:p>
  </w:footnote>
  <w:footnote w:id="25">
    <w:p w14:paraId="0DD24DDE" w14:textId="77777777" w:rsidR="00DF114D" w:rsidRPr="003F1F10" w:rsidRDefault="00DF114D" w:rsidP="00DF114D">
      <w:pPr>
        <w:pStyle w:val="FootnoteText"/>
        <w:rPr>
          <w:rFonts w:cs="Arial"/>
          <w:sz w:val="16"/>
          <w:szCs w:val="16"/>
        </w:rPr>
      </w:pPr>
      <w:r w:rsidRPr="003F1F10">
        <w:rPr>
          <w:rStyle w:val="FootnoteReference"/>
          <w:rFonts w:cs="Arial"/>
          <w:sz w:val="16"/>
          <w:szCs w:val="16"/>
        </w:rPr>
        <w:footnoteRef/>
      </w:r>
      <w:r w:rsidRPr="003F1F10">
        <w:rPr>
          <w:rFonts w:cs="Arial"/>
          <w:sz w:val="16"/>
          <w:szCs w:val="16"/>
        </w:rPr>
        <w:t xml:space="preserve"> </w:t>
      </w:r>
      <w:r>
        <w:rPr>
          <w:rFonts w:cs="Arial"/>
          <w:sz w:val="16"/>
          <w:szCs w:val="16"/>
        </w:rPr>
        <w:t xml:space="preserve">NHS England, </w:t>
      </w:r>
      <w:r w:rsidRPr="00D25E78">
        <w:rPr>
          <w:rFonts w:cs="Arial"/>
          <w:i/>
          <w:iCs/>
          <w:sz w:val="16"/>
          <w:szCs w:val="16"/>
        </w:rPr>
        <w:t>PSR Statutory Guidance</w:t>
      </w:r>
      <w:r w:rsidRPr="003F1F10">
        <w:rPr>
          <w:rFonts w:cs="Arial"/>
          <w:sz w:val="16"/>
          <w:szCs w:val="16"/>
        </w:rPr>
        <w:t xml:space="preserve">, </w:t>
      </w:r>
      <w:r>
        <w:rPr>
          <w:rFonts w:cs="Arial"/>
          <w:sz w:val="16"/>
          <w:szCs w:val="16"/>
        </w:rPr>
        <w:t xml:space="preserve">April 2025, </w:t>
      </w:r>
      <w:r w:rsidRPr="003F1F10">
        <w:rPr>
          <w:rFonts w:cs="Arial"/>
          <w:sz w:val="16"/>
          <w:szCs w:val="16"/>
        </w:rPr>
        <w:t>p.</w:t>
      </w:r>
      <w:r>
        <w:rPr>
          <w:rFonts w:cs="Arial"/>
          <w:sz w:val="16"/>
          <w:szCs w:val="16"/>
        </w:rPr>
        <w:t>27</w:t>
      </w:r>
      <w:r w:rsidRPr="003F1F10">
        <w:rPr>
          <w:rFonts w:cs="Arial"/>
          <w:sz w:val="16"/>
          <w:szCs w:val="16"/>
        </w:rPr>
        <w:t>.</w:t>
      </w:r>
    </w:p>
  </w:footnote>
  <w:footnote w:id="26">
    <w:p w14:paraId="29893604" w14:textId="4064CFF4" w:rsidR="008527D7" w:rsidRPr="00766956" w:rsidRDefault="008527D7" w:rsidP="008527D7">
      <w:pPr>
        <w:pStyle w:val="FootnoteText"/>
        <w:rPr>
          <w:rFonts w:cs="Arial"/>
          <w:sz w:val="16"/>
          <w:szCs w:val="16"/>
        </w:rPr>
      </w:pPr>
      <w:r w:rsidRPr="00766956">
        <w:rPr>
          <w:rStyle w:val="FootnoteReference"/>
          <w:rFonts w:cs="Arial"/>
          <w:sz w:val="16"/>
          <w:szCs w:val="16"/>
        </w:rPr>
        <w:footnoteRef/>
      </w:r>
      <w:r w:rsidRPr="00766956">
        <w:rPr>
          <w:rFonts w:cs="Arial"/>
          <w:sz w:val="16"/>
          <w:szCs w:val="16"/>
        </w:rPr>
        <w:t xml:space="preserve"> </w:t>
      </w:r>
      <w:r>
        <w:rPr>
          <w:rFonts w:cs="Arial"/>
          <w:sz w:val="16"/>
          <w:szCs w:val="16"/>
        </w:rPr>
        <w:t xml:space="preserve">NHS England, </w:t>
      </w:r>
      <w:r w:rsidRPr="00D25E78">
        <w:rPr>
          <w:rFonts w:cs="Arial"/>
          <w:i/>
          <w:iCs/>
          <w:sz w:val="16"/>
          <w:szCs w:val="16"/>
        </w:rPr>
        <w:t>PSR Statutory Guidance</w:t>
      </w:r>
      <w:r w:rsidRPr="001718FC">
        <w:rPr>
          <w:rFonts w:cs="Arial"/>
          <w:sz w:val="16"/>
          <w:szCs w:val="16"/>
        </w:rPr>
        <w:t xml:space="preserve">, </w:t>
      </w:r>
      <w:r w:rsidR="001723BE">
        <w:rPr>
          <w:rFonts w:cs="Arial"/>
          <w:sz w:val="16"/>
          <w:szCs w:val="16"/>
        </w:rPr>
        <w:t>April 2025</w:t>
      </w:r>
      <w:r w:rsidRPr="001718FC" w:rsidDel="00622DB1">
        <w:rPr>
          <w:rFonts w:cs="Arial"/>
          <w:sz w:val="16"/>
          <w:szCs w:val="16"/>
        </w:rPr>
        <w:t xml:space="preserve">, </w:t>
      </w:r>
      <w:r w:rsidRPr="001718FC">
        <w:rPr>
          <w:rFonts w:cs="Arial"/>
          <w:sz w:val="16"/>
          <w:szCs w:val="16"/>
        </w:rPr>
        <w:t>p.</w:t>
      </w:r>
      <w:r w:rsidR="001723BE">
        <w:rPr>
          <w:rFonts w:cs="Arial"/>
          <w:sz w:val="16"/>
          <w:szCs w:val="16"/>
        </w:rPr>
        <w:t>28</w:t>
      </w:r>
      <w:r w:rsidRPr="001718FC">
        <w:rPr>
          <w:rFonts w:cs="Arial"/>
          <w:sz w:val="16"/>
          <w:szCs w:val="16"/>
        </w:rPr>
        <w:t>.</w:t>
      </w:r>
    </w:p>
  </w:footnote>
  <w:footnote w:id="27">
    <w:p w14:paraId="54D42006" w14:textId="1CC4EB9E" w:rsidR="00E51D5F" w:rsidRPr="00420E6B" w:rsidRDefault="00E51D5F">
      <w:pPr>
        <w:pStyle w:val="FootnoteText"/>
        <w:rPr>
          <w:sz w:val="16"/>
          <w:szCs w:val="16"/>
        </w:rPr>
      </w:pPr>
      <w:r w:rsidRPr="00420E6B">
        <w:rPr>
          <w:rStyle w:val="FootnoteReference"/>
          <w:sz w:val="16"/>
          <w:szCs w:val="16"/>
        </w:rPr>
        <w:footnoteRef/>
      </w:r>
      <w:r w:rsidRPr="00420E6B">
        <w:rPr>
          <w:sz w:val="16"/>
          <w:szCs w:val="16"/>
        </w:rPr>
        <w:t xml:space="preserve"> </w:t>
      </w:r>
      <w:r w:rsidR="00384611" w:rsidRPr="00BC508D">
        <w:rPr>
          <w:sz w:val="16"/>
          <w:szCs w:val="16"/>
        </w:rPr>
        <w:t>“The first thing that regulation 5(c)(iii) requires the authority to consider is the sustainability, in the sense of the stability of the service, it is actually procuring, that’s the most obvious meaning” (</w:t>
      </w:r>
      <w:r w:rsidR="00420E6B" w:rsidRPr="00BC508D">
        <w:rPr>
          <w:sz w:val="16"/>
          <w:szCs w:val="16"/>
        </w:rPr>
        <w:t xml:space="preserve">YWR Meeting with the Panel, </w:t>
      </w:r>
      <w:r w:rsidR="00D01FAD">
        <w:rPr>
          <w:sz w:val="16"/>
          <w:szCs w:val="16"/>
        </w:rPr>
        <w:t>19 November 2025</w:t>
      </w:r>
      <w:r w:rsidR="00E84870">
        <w:rPr>
          <w:sz w:val="16"/>
          <w:szCs w:val="16"/>
        </w:rPr>
        <w:t>)</w:t>
      </w:r>
      <w:r w:rsidR="00420E6B" w:rsidRPr="00BC508D">
        <w:rPr>
          <w:sz w:val="16"/>
          <w:szCs w:val="16"/>
        </w:rPr>
        <w:t>.</w:t>
      </w:r>
    </w:p>
  </w:footnote>
  <w:footnote w:id="28">
    <w:p w14:paraId="137B8A4C" w14:textId="13A89B94" w:rsidR="009449AA" w:rsidRPr="009449AA" w:rsidRDefault="009449AA">
      <w:pPr>
        <w:pStyle w:val="FootnoteText"/>
        <w:rPr>
          <w:sz w:val="16"/>
          <w:szCs w:val="16"/>
        </w:rPr>
      </w:pPr>
      <w:r w:rsidRPr="009449AA">
        <w:rPr>
          <w:rStyle w:val="FootnoteReference"/>
          <w:sz w:val="16"/>
          <w:szCs w:val="16"/>
        </w:rPr>
        <w:footnoteRef/>
      </w:r>
      <w:r w:rsidRPr="009449AA">
        <w:rPr>
          <w:sz w:val="16"/>
          <w:szCs w:val="16"/>
        </w:rPr>
        <w:t xml:space="preserve"> The Procurement Act, for example, allows contracting authorities to “disregard any tender that offers a price that the contracting authority considers to be abnormally low for performance of the contract” (Procurement Act s.19(3)(c)).</w:t>
      </w:r>
    </w:p>
  </w:footnote>
  <w:footnote w:id="29">
    <w:p w14:paraId="03D4AE22" w14:textId="6136BE70" w:rsidR="00155EB3" w:rsidRPr="00F54B8D" w:rsidRDefault="00155EB3">
      <w:pPr>
        <w:pStyle w:val="FootnoteText"/>
        <w:rPr>
          <w:sz w:val="16"/>
          <w:szCs w:val="16"/>
        </w:rPr>
      </w:pPr>
      <w:r w:rsidRPr="00F54B8D">
        <w:rPr>
          <w:rStyle w:val="FootnoteReference"/>
          <w:sz w:val="16"/>
          <w:szCs w:val="16"/>
        </w:rPr>
        <w:footnoteRef/>
      </w:r>
      <w:r w:rsidRPr="00F54B8D">
        <w:rPr>
          <w:sz w:val="16"/>
          <w:szCs w:val="16"/>
        </w:rPr>
        <w:t xml:space="preserve"> UHL, </w:t>
      </w:r>
      <w:r w:rsidRPr="00F54B8D">
        <w:rPr>
          <w:i/>
          <w:sz w:val="16"/>
          <w:szCs w:val="16"/>
        </w:rPr>
        <w:t>Presentation to the Panel</w:t>
      </w:r>
      <w:r w:rsidRPr="00F54B8D">
        <w:rPr>
          <w:sz w:val="16"/>
          <w:szCs w:val="16"/>
        </w:rPr>
        <w:t>, 24 November 2025.</w:t>
      </w:r>
    </w:p>
  </w:footnote>
  <w:footnote w:id="30">
    <w:p w14:paraId="1AAD6E5B" w14:textId="70D54829" w:rsidR="00875052" w:rsidRPr="00875052" w:rsidRDefault="00875052">
      <w:pPr>
        <w:pStyle w:val="FootnoteText"/>
        <w:rPr>
          <w:sz w:val="16"/>
          <w:szCs w:val="16"/>
        </w:rPr>
      </w:pPr>
      <w:r w:rsidRPr="00875052">
        <w:rPr>
          <w:rStyle w:val="FootnoteReference"/>
          <w:sz w:val="16"/>
          <w:szCs w:val="16"/>
        </w:rPr>
        <w:footnoteRef/>
      </w:r>
      <w:r w:rsidRPr="00875052">
        <w:rPr>
          <w:sz w:val="16"/>
          <w:szCs w:val="16"/>
        </w:rPr>
        <w:t xml:space="preserve"> UHL, </w:t>
      </w:r>
      <w:r w:rsidRPr="00875052">
        <w:rPr>
          <w:i/>
          <w:iCs/>
          <w:sz w:val="16"/>
          <w:szCs w:val="16"/>
        </w:rPr>
        <w:t>Report to Procurement Contracts Committee</w:t>
      </w:r>
      <w:r w:rsidRPr="00875052">
        <w:rPr>
          <w:sz w:val="16"/>
          <w:szCs w:val="16"/>
        </w:rPr>
        <w:t>, 7 July 2025.</w:t>
      </w:r>
    </w:p>
  </w:footnote>
  <w:footnote w:id="31">
    <w:p w14:paraId="18CF12C6" w14:textId="77777777" w:rsidR="00C60A81" w:rsidRPr="00662CCB" w:rsidRDefault="00C60A81" w:rsidP="00C60A81">
      <w:pPr>
        <w:pStyle w:val="FootnoteText"/>
        <w:rPr>
          <w:sz w:val="16"/>
          <w:szCs w:val="16"/>
        </w:rPr>
      </w:pPr>
      <w:r w:rsidRPr="00662CCB">
        <w:rPr>
          <w:rStyle w:val="FootnoteReference"/>
          <w:sz w:val="16"/>
          <w:szCs w:val="16"/>
        </w:rPr>
        <w:footnoteRef/>
      </w:r>
      <w:r w:rsidRPr="00662CCB">
        <w:rPr>
          <w:sz w:val="16"/>
          <w:szCs w:val="16"/>
        </w:rPr>
        <w:t xml:space="preserve"> </w:t>
      </w:r>
      <w:r>
        <w:rPr>
          <w:sz w:val="16"/>
          <w:szCs w:val="16"/>
        </w:rPr>
        <w:t xml:space="preserve">These words have been excised from the report on the basis that the Panel has reasonable grounds to consider that they may be commercially confidential. </w:t>
      </w:r>
    </w:p>
  </w:footnote>
  <w:footnote w:id="32">
    <w:p w14:paraId="3D8E1E7B" w14:textId="1F42B378" w:rsidR="00551D1F" w:rsidRPr="00D724D4" w:rsidRDefault="00551D1F">
      <w:pPr>
        <w:pStyle w:val="FootnoteText"/>
        <w:rPr>
          <w:sz w:val="16"/>
          <w:szCs w:val="16"/>
        </w:rPr>
      </w:pPr>
      <w:r w:rsidRPr="00D724D4">
        <w:rPr>
          <w:rStyle w:val="FootnoteReference"/>
          <w:sz w:val="16"/>
          <w:szCs w:val="16"/>
        </w:rPr>
        <w:footnoteRef/>
      </w:r>
      <w:r w:rsidRPr="00D724D4">
        <w:rPr>
          <w:sz w:val="16"/>
          <w:szCs w:val="16"/>
        </w:rPr>
        <w:t xml:space="preserve"> Independent Panel on Patient Choice and Procurement, </w:t>
      </w:r>
      <w:r w:rsidR="00610DA4" w:rsidRPr="00D724D4">
        <w:rPr>
          <w:i/>
          <w:iCs/>
          <w:sz w:val="16"/>
          <w:szCs w:val="16"/>
        </w:rPr>
        <w:t>CR0008-24 Drug and Alcohol Services in Bath and North East Somerset</w:t>
      </w:r>
      <w:r w:rsidR="00610DA4" w:rsidRPr="00D724D4">
        <w:rPr>
          <w:sz w:val="16"/>
          <w:szCs w:val="16"/>
        </w:rPr>
        <w:t>, February 2025, pp.</w:t>
      </w:r>
      <w:r w:rsidR="00D724D4" w:rsidRPr="00D724D4">
        <w:rPr>
          <w:sz w:val="16"/>
          <w:szCs w:val="16"/>
        </w:rPr>
        <w:t>22-24.</w:t>
      </w:r>
    </w:p>
  </w:footnote>
  <w:footnote w:id="33">
    <w:p w14:paraId="65623A07" w14:textId="089DE16E" w:rsidR="00F56519" w:rsidRPr="00D75698" w:rsidRDefault="00F56519">
      <w:pPr>
        <w:pStyle w:val="FootnoteText"/>
        <w:rPr>
          <w:sz w:val="16"/>
          <w:szCs w:val="16"/>
        </w:rPr>
      </w:pPr>
      <w:r w:rsidRPr="00D75698">
        <w:rPr>
          <w:rStyle w:val="FootnoteReference"/>
          <w:sz w:val="16"/>
          <w:szCs w:val="16"/>
        </w:rPr>
        <w:footnoteRef/>
      </w:r>
      <w:r w:rsidRPr="00D75698">
        <w:rPr>
          <w:sz w:val="16"/>
          <w:szCs w:val="16"/>
        </w:rPr>
        <w:t xml:space="preserve"> The bidder “had submitted the percentage of the NHS payment scheme prices that they would charge rather than the discount that they would offer</w:t>
      </w:r>
      <w:r w:rsidR="00D75698" w:rsidRPr="00D75698">
        <w:rPr>
          <w:sz w:val="16"/>
          <w:szCs w:val="16"/>
        </w:rPr>
        <w:t xml:space="preserve"> and subsequently revised their bid accordingly” (UHL, </w:t>
      </w:r>
      <w:r w:rsidR="00D75698" w:rsidRPr="00D75698">
        <w:rPr>
          <w:i/>
          <w:iCs/>
          <w:sz w:val="16"/>
          <w:szCs w:val="16"/>
        </w:rPr>
        <w:t>Letter to YWR</w:t>
      </w:r>
      <w:r w:rsidR="00D75698" w:rsidRPr="00D75698">
        <w:rPr>
          <w:sz w:val="16"/>
          <w:szCs w:val="16"/>
        </w:rPr>
        <w:t>, 14 October 2025).</w:t>
      </w:r>
    </w:p>
  </w:footnote>
  <w:footnote w:id="34">
    <w:p w14:paraId="4916EC72" w14:textId="564EAEF6" w:rsidR="00DC4834" w:rsidRPr="00DC4834" w:rsidRDefault="00DC4834">
      <w:pPr>
        <w:pStyle w:val="FootnoteText"/>
        <w:rPr>
          <w:sz w:val="16"/>
          <w:szCs w:val="16"/>
        </w:rPr>
      </w:pPr>
      <w:r w:rsidRPr="00DC4834">
        <w:rPr>
          <w:rStyle w:val="FootnoteReference"/>
          <w:sz w:val="16"/>
          <w:szCs w:val="16"/>
        </w:rPr>
        <w:footnoteRef/>
      </w:r>
      <w:r w:rsidRPr="00DC4834">
        <w:rPr>
          <w:sz w:val="16"/>
          <w:szCs w:val="16"/>
        </w:rPr>
        <w:t xml:space="preserve"> UHL, </w:t>
      </w:r>
      <w:r w:rsidRPr="00DC4834">
        <w:rPr>
          <w:i/>
          <w:iCs/>
          <w:sz w:val="16"/>
          <w:szCs w:val="16"/>
        </w:rPr>
        <w:t>Letter to YWR</w:t>
      </w:r>
      <w:r w:rsidRPr="00DC4834">
        <w:rPr>
          <w:sz w:val="16"/>
          <w:szCs w:val="16"/>
        </w:rPr>
        <w:t>, 14 October 2025.</w:t>
      </w:r>
    </w:p>
  </w:footnote>
  <w:footnote w:id="35">
    <w:p w14:paraId="3A99657F" w14:textId="7CE14740" w:rsidR="003A56A0" w:rsidRPr="007D634A" w:rsidRDefault="003A56A0" w:rsidP="003A56A0">
      <w:pPr>
        <w:pStyle w:val="FootnoteText"/>
        <w:rPr>
          <w:sz w:val="16"/>
          <w:szCs w:val="16"/>
        </w:rPr>
      </w:pPr>
      <w:r w:rsidRPr="007D634A">
        <w:rPr>
          <w:rStyle w:val="FootnoteReference"/>
          <w:sz w:val="16"/>
          <w:szCs w:val="16"/>
        </w:rPr>
        <w:footnoteRef/>
      </w:r>
      <w:r w:rsidRPr="007D634A">
        <w:rPr>
          <w:sz w:val="16"/>
          <w:szCs w:val="16"/>
        </w:rPr>
        <w:t xml:space="preserve"> </w:t>
      </w:r>
      <w:r w:rsidR="00E90EA3">
        <w:rPr>
          <w:sz w:val="16"/>
          <w:szCs w:val="16"/>
        </w:rPr>
        <w:t xml:space="preserve">UHL, </w:t>
      </w:r>
      <w:r w:rsidR="00E90EA3" w:rsidRPr="004360CE">
        <w:rPr>
          <w:i/>
          <w:iCs/>
          <w:sz w:val="16"/>
          <w:szCs w:val="16"/>
        </w:rPr>
        <w:t xml:space="preserve">Response to Panel </w:t>
      </w:r>
      <w:r w:rsidR="001333F6">
        <w:rPr>
          <w:i/>
          <w:iCs/>
          <w:sz w:val="16"/>
          <w:szCs w:val="16"/>
        </w:rPr>
        <w:t>q</w:t>
      </w:r>
      <w:r w:rsidR="00E90EA3" w:rsidRPr="004360CE">
        <w:rPr>
          <w:i/>
          <w:iCs/>
          <w:sz w:val="16"/>
          <w:szCs w:val="16"/>
        </w:rPr>
        <w:t>uestion</w:t>
      </w:r>
      <w:r w:rsidR="001333F6">
        <w:rPr>
          <w:i/>
          <w:iCs/>
          <w:sz w:val="16"/>
          <w:szCs w:val="16"/>
        </w:rPr>
        <w:t>s</w:t>
      </w:r>
      <w:r w:rsidR="00E90EA3">
        <w:rPr>
          <w:sz w:val="16"/>
          <w:szCs w:val="16"/>
        </w:rPr>
        <w:t xml:space="preserve">, </w:t>
      </w:r>
      <w:r w:rsidR="004360CE">
        <w:rPr>
          <w:sz w:val="16"/>
          <w:szCs w:val="16"/>
        </w:rPr>
        <w:t>13 November 2025.</w:t>
      </w:r>
    </w:p>
  </w:footnote>
  <w:footnote w:id="36">
    <w:p w14:paraId="7DBF6689" w14:textId="42882E14" w:rsidR="00E80BD6" w:rsidRPr="00BC315A" w:rsidRDefault="00E80BD6">
      <w:pPr>
        <w:pStyle w:val="FootnoteText"/>
        <w:rPr>
          <w:sz w:val="16"/>
          <w:szCs w:val="16"/>
        </w:rPr>
      </w:pPr>
      <w:r w:rsidRPr="00BC315A">
        <w:rPr>
          <w:rStyle w:val="FootnoteReference"/>
          <w:sz w:val="16"/>
          <w:szCs w:val="16"/>
        </w:rPr>
        <w:footnoteRef/>
      </w:r>
      <w:r w:rsidRPr="00BC315A">
        <w:rPr>
          <w:sz w:val="16"/>
          <w:szCs w:val="16"/>
        </w:rPr>
        <w:t xml:space="preserve"> </w:t>
      </w:r>
      <w:r w:rsidR="006E261E" w:rsidRPr="00BC315A">
        <w:rPr>
          <w:sz w:val="16"/>
          <w:szCs w:val="16"/>
        </w:rPr>
        <w:t xml:space="preserve"> UHL, </w:t>
      </w:r>
      <w:r w:rsidR="006E261E" w:rsidRPr="00BC315A">
        <w:rPr>
          <w:i/>
          <w:iCs/>
          <w:sz w:val="16"/>
          <w:szCs w:val="16"/>
        </w:rPr>
        <w:t xml:space="preserve">Response to Panel </w:t>
      </w:r>
      <w:r w:rsidR="00EE093B">
        <w:rPr>
          <w:i/>
          <w:iCs/>
          <w:sz w:val="16"/>
          <w:szCs w:val="16"/>
        </w:rPr>
        <w:t>q</w:t>
      </w:r>
      <w:r w:rsidR="006E261E" w:rsidRPr="00BC315A">
        <w:rPr>
          <w:i/>
          <w:iCs/>
          <w:sz w:val="16"/>
          <w:szCs w:val="16"/>
        </w:rPr>
        <w:t>uestion</w:t>
      </w:r>
      <w:r w:rsidR="00EE093B">
        <w:rPr>
          <w:i/>
          <w:iCs/>
          <w:sz w:val="16"/>
          <w:szCs w:val="16"/>
        </w:rPr>
        <w:t>s</w:t>
      </w:r>
      <w:r w:rsidR="006E261E" w:rsidRPr="00BC315A">
        <w:rPr>
          <w:i/>
          <w:iCs/>
          <w:sz w:val="16"/>
          <w:szCs w:val="16"/>
        </w:rPr>
        <w:t>,</w:t>
      </w:r>
      <w:r w:rsidR="006E261E" w:rsidRPr="00BC315A">
        <w:rPr>
          <w:sz w:val="16"/>
          <w:szCs w:val="16"/>
        </w:rPr>
        <w:t xml:space="preserve"> 13 November 2025</w:t>
      </w:r>
      <w:r w:rsidR="00BC315A">
        <w:rPr>
          <w:sz w:val="16"/>
          <w:szCs w:val="16"/>
        </w:rPr>
        <w:t>.</w:t>
      </w:r>
    </w:p>
  </w:footnote>
  <w:footnote w:id="37">
    <w:p w14:paraId="182E6AFA" w14:textId="77777777" w:rsidR="00E97E88" w:rsidRPr="00360B59" w:rsidRDefault="00E97E88" w:rsidP="00E97E88">
      <w:pPr>
        <w:pStyle w:val="FootnoteText"/>
        <w:rPr>
          <w:sz w:val="16"/>
          <w:szCs w:val="16"/>
        </w:rPr>
      </w:pPr>
      <w:r w:rsidRPr="00360B59">
        <w:rPr>
          <w:rStyle w:val="FootnoteReference"/>
          <w:sz w:val="16"/>
          <w:szCs w:val="16"/>
        </w:rPr>
        <w:footnoteRef/>
      </w:r>
      <w:r w:rsidRPr="00360B59">
        <w:rPr>
          <w:sz w:val="16"/>
          <w:szCs w:val="16"/>
        </w:rPr>
        <w:t xml:space="preserve"> </w:t>
      </w:r>
      <w:r>
        <w:rPr>
          <w:sz w:val="16"/>
          <w:szCs w:val="16"/>
        </w:rPr>
        <w:t>These words have been excised from the report on the basis that the Panel has reasonable grounds to consider that they may be commercially confidential.</w:t>
      </w:r>
    </w:p>
  </w:footnote>
  <w:footnote w:id="38">
    <w:p w14:paraId="3A4646CF" w14:textId="77777777" w:rsidR="00C865E6" w:rsidRPr="00360B59" w:rsidRDefault="00C865E6" w:rsidP="00C865E6">
      <w:pPr>
        <w:pStyle w:val="FootnoteText"/>
        <w:rPr>
          <w:sz w:val="16"/>
          <w:szCs w:val="16"/>
        </w:rPr>
      </w:pPr>
      <w:r w:rsidRPr="00360B59">
        <w:rPr>
          <w:rStyle w:val="FootnoteReference"/>
          <w:sz w:val="16"/>
          <w:szCs w:val="16"/>
        </w:rPr>
        <w:footnoteRef/>
      </w:r>
      <w:r w:rsidRPr="00360B59">
        <w:rPr>
          <w:sz w:val="16"/>
          <w:szCs w:val="16"/>
        </w:rPr>
        <w:t xml:space="preserve"> These words have been excised from the report on the basis that the Panel has reasonable grounds to consider that they may be commercially confidential.</w:t>
      </w:r>
    </w:p>
  </w:footnote>
  <w:footnote w:id="39">
    <w:p w14:paraId="564CE1E8" w14:textId="3DCD30E4" w:rsidR="003D4F11" w:rsidRPr="003D4F11" w:rsidRDefault="003D4F11">
      <w:pPr>
        <w:pStyle w:val="FootnoteText"/>
        <w:rPr>
          <w:sz w:val="16"/>
          <w:szCs w:val="16"/>
        </w:rPr>
      </w:pPr>
      <w:r w:rsidRPr="003D4F11">
        <w:rPr>
          <w:rStyle w:val="FootnoteReference"/>
          <w:sz w:val="16"/>
          <w:szCs w:val="16"/>
        </w:rPr>
        <w:footnoteRef/>
      </w:r>
      <w:r w:rsidRPr="003D4F11">
        <w:rPr>
          <w:sz w:val="16"/>
          <w:szCs w:val="16"/>
        </w:rPr>
        <w:t xml:space="preserve"> UHL, </w:t>
      </w:r>
      <w:r w:rsidRPr="003D4F11">
        <w:rPr>
          <w:i/>
          <w:iCs/>
          <w:sz w:val="16"/>
          <w:szCs w:val="16"/>
        </w:rPr>
        <w:t xml:space="preserve">Response to </w:t>
      </w:r>
      <w:r w:rsidR="00EE093B">
        <w:rPr>
          <w:i/>
          <w:iCs/>
          <w:sz w:val="16"/>
          <w:szCs w:val="16"/>
        </w:rPr>
        <w:t>Panel q</w:t>
      </w:r>
      <w:r w:rsidRPr="003D4F11">
        <w:rPr>
          <w:i/>
          <w:iCs/>
          <w:sz w:val="16"/>
          <w:szCs w:val="16"/>
        </w:rPr>
        <w:t>uestion</w:t>
      </w:r>
      <w:r w:rsidR="00EE093B">
        <w:rPr>
          <w:i/>
          <w:iCs/>
          <w:sz w:val="16"/>
          <w:szCs w:val="16"/>
        </w:rPr>
        <w:t>s</w:t>
      </w:r>
      <w:r w:rsidRPr="003D4F11">
        <w:rPr>
          <w:sz w:val="16"/>
          <w:szCs w:val="16"/>
        </w:rPr>
        <w:t>, 1 December 2025.</w:t>
      </w:r>
    </w:p>
  </w:footnote>
  <w:footnote w:id="40">
    <w:p w14:paraId="00BFEFC9" w14:textId="58BA293E" w:rsidR="00726CC8" w:rsidRPr="00133E5E" w:rsidRDefault="00726CC8">
      <w:pPr>
        <w:pStyle w:val="FootnoteText"/>
        <w:rPr>
          <w:sz w:val="16"/>
          <w:szCs w:val="16"/>
        </w:rPr>
      </w:pPr>
      <w:r w:rsidRPr="00133E5E">
        <w:rPr>
          <w:rStyle w:val="FootnoteReference"/>
          <w:sz w:val="16"/>
          <w:szCs w:val="16"/>
        </w:rPr>
        <w:footnoteRef/>
      </w:r>
      <w:r w:rsidRPr="00133E5E">
        <w:rPr>
          <w:sz w:val="16"/>
          <w:szCs w:val="16"/>
        </w:rPr>
        <w:t xml:space="preserve"> UHL, </w:t>
      </w:r>
      <w:r w:rsidR="00133E5E" w:rsidRPr="00133E5E">
        <w:rPr>
          <w:i/>
          <w:iCs/>
          <w:sz w:val="16"/>
          <w:szCs w:val="16"/>
        </w:rPr>
        <w:t>Response to</w:t>
      </w:r>
      <w:r w:rsidR="00EE093B">
        <w:rPr>
          <w:i/>
          <w:iCs/>
          <w:sz w:val="16"/>
          <w:szCs w:val="16"/>
        </w:rPr>
        <w:t xml:space="preserve"> Panel q</w:t>
      </w:r>
      <w:r w:rsidR="00133E5E" w:rsidRPr="00133E5E">
        <w:rPr>
          <w:i/>
          <w:iCs/>
          <w:sz w:val="16"/>
          <w:szCs w:val="16"/>
        </w:rPr>
        <w:t>uestion</w:t>
      </w:r>
      <w:r w:rsidR="00EE093B">
        <w:rPr>
          <w:i/>
          <w:iCs/>
          <w:sz w:val="16"/>
          <w:szCs w:val="16"/>
        </w:rPr>
        <w:t>s</w:t>
      </w:r>
      <w:r w:rsidR="00133E5E" w:rsidRPr="00133E5E">
        <w:rPr>
          <w:sz w:val="16"/>
          <w:szCs w:val="16"/>
        </w:rPr>
        <w:t>, 5 December 2025.</w:t>
      </w:r>
    </w:p>
  </w:footnote>
  <w:footnote w:id="41">
    <w:p w14:paraId="286D631A" w14:textId="42A2CFEA" w:rsidR="00EC4D57" w:rsidRPr="009C12CE" w:rsidRDefault="00EC4D57">
      <w:pPr>
        <w:pStyle w:val="FootnoteText"/>
        <w:rPr>
          <w:sz w:val="16"/>
          <w:szCs w:val="16"/>
        </w:rPr>
      </w:pPr>
      <w:r w:rsidRPr="009C12CE">
        <w:rPr>
          <w:rStyle w:val="FootnoteReference"/>
          <w:sz w:val="16"/>
          <w:szCs w:val="16"/>
        </w:rPr>
        <w:footnoteRef/>
      </w:r>
      <w:r w:rsidRPr="009C12CE">
        <w:rPr>
          <w:sz w:val="16"/>
          <w:szCs w:val="16"/>
        </w:rPr>
        <w:t xml:space="preserve"> </w:t>
      </w:r>
      <w:r w:rsidR="009C12CE" w:rsidRPr="009C12CE">
        <w:rPr>
          <w:sz w:val="16"/>
          <w:szCs w:val="16"/>
        </w:rPr>
        <w:t xml:space="preserve">These words have been excised from the report on the basis that the Panel has reasonable grounds to consider that they may be commercially confidential. </w:t>
      </w:r>
    </w:p>
  </w:footnote>
  <w:footnote w:id="42">
    <w:p w14:paraId="37DA38CF" w14:textId="77777777" w:rsidR="000B437F" w:rsidRPr="00A42A40" w:rsidRDefault="000B437F" w:rsidP="000B437F">
      <w:pPr>
        <w:pStyle w:val="FootnoteText"/>
        <w:rPr>
          <w:sz w:val="16"/>
          <w:szCs w:val="16"/>
        </w:rPr>
      </w:pPr>
      <w:r w:rsidRPr="00A42A40">
        <w:rPr>
          <w:rStyle w:val="FootnoteReference"/>
          <w:sz w:val="16"/>
          <w:szCs w:val="16"/>
        </w:rPr>
        <w:footnoteRef/>
      </w:r>
      <w:r w:rsidRPr="00A42A40">
        <w:rPr>
          <w:sz w:val="16"/>
          <w:szCs w:val="16"/>
        </w:rPr>
        <w:t xml:space="preserve"> 18 Week Support, </w:t>
      </w:r>
      <w:r w:rsidRPr="00A42A40">
        <w:rPr>
          <w:i/>
          <w:iCs/>
          <w:sz w:val="16"/>
          <w:szCs w:val="16"/>
        </w:rPr>
        <w:t>Updated commercial response</w:t>
      </w:r>
      <w:r w:rsidRPr="00A42A40">
        <w:rPr>
          <w:sz w:val="16"/>
          <w:szCs w:val="16"/>
        </w:rPr>
        <w:t>, undated.</w:t>
      </w:r>
    </w:p>
  </w:footnote>
  <w:footnote w:id="43">
    <w:p w14:paraId="40D2DBE6" w14:textId="77777777" w:rsidR="00DA0A3A" w:rsidRPr="00986448" w:rsidRDefault="00DA0A3A" w:rsidP="00DA0A3A">
      <w:pPr>
        <w:pStyle w:val="FootnoteText"/>
        <w:rPr>
          <w:sz w:val="16"/>
          <w:szCs w:val="16"/>
        </w:rPr>
      </w:pPr>
      <w:r w:rsidRPr="00986448">
        <w:rPr>
          <w:rStyle w:val="FootnoteReference"/>
          <w:sz w:val="16"/>
          <w:szCs w:val="16"/>
        </w:rPr>
        <w:footnoteRef/>
      </w:r>
      <w:r w:rsidRPr="00986448">
        <w:rPr>
          <w:sz w:val="16"/>
          <w:szCs w:val="16"/>
        </w:rPr>
        <w:t xml:space="preserve"> UHL, </w:t>
      </w:r>
      <w:r w:rsidRPr="00986448">
        <w:rPr>
          <w:i/>
          <w:iCs/>
          <w:sz w:val="16"/>
          <w:szCs w:val="16"/>
        </w:rPr>
        <w:t>Procurement Tender Report</w:t>
      </w:r>
      <w:r w:rsidRPr="00986448">
        <w:rPr>
          <w:sz w:val="16"/>
          <w:szCs w:val="16"/>
        </w:rPr>
        <w:t>, 27 June 2025.</w:t>
      </w:r>
    </w:p>
  </w:footnote>
  <w:footnote w:id="44">
    <w:p w14:paraId="59DE0698" w14:textId="21D9150D" w:rsidR="00291E33" w:rsidRPr="003C0E56" w:rsidRDefault="00291E33" w:rsidP="00291E33">
      <w:pPr>
        <w:pStyle w:val="FootnoteText"/>
        <w:rPr>
          <w:sz w:val="16"/>
          <w:szCs w:val="16"/>
        </w:rPr>
      </w:pPr>
      <w:r w:rsidRPr="003C0E56">
        <w:rPr>
          <w:rStyle w:val="FootnoteReference"/>
          <w:sz w:val="16"/>
          <w:szCs w:val="16"/>
        </w:rPr>
        <w:footnoteRef/>
      </w:r>
      <w:r w:rsidRPr="003C0E56">
        <w:rPr>
          <w:sz w:val="16"/>
          <w:szCs w:val="16"/>
        </w:rPr>
        <w:t xml:space="preserve"> UHL, </w:t>
      </w:r>
      <w:r w:rsidRPr="003C0E56">
        <w:rPr>
          <w:i/>
          <w:iCs/>
          <w:sz w:val="16"/>
          <w:szCs w:val="16"/>
        </w:rPr>
        <w:t xml:space="preserve">Response to </w:t>
      </w:r>
      <w:r w:rsidR="00EE093B">
        <w:rPr>
          <w:i/>
          <w:iCs/>
          <w:sz w:val="16"/>
          <w:szCs w:val="16"/>
        </w:rPr>
        <w:t>Panel q</w:t>
      </w:r>
      <w:r w:rsidRPr="003C0E56">
        <w:rPr>
          <w:i/>
          <w:iCs/>
          <w:sz w:val="16"/>
          <w:szCs w:val="16"/>
        </w:rPr>
        <w:t>uestion</w:t>
      </w:r>
      <w:r w:rsidR="00EE093B">
        <w:rPr>
          <w:i/>
          <w:iCs/>
          <w:sz w:val="16"/>
          <w:szCs w:val="16"/>
        </w:rPr>
        <w:t>s</w:t>
      </w:r>
      <w:r w:rsidRPr="003C0E56">
        <w:rPr>
          <w:sz w:val="16"/>
          <w:szCs w:val="16"/>
        </w:rPr>
        <w:t>, 5 December 2025.</w:t>
      </w:r>
    </w:p>
  </w:footnote>
  <w:footnote w:id="45">
    <w:p w14:paraId="368E070B" w14:textId="77777777" w:rsidR="00AD7D0E" w:rsidRPr="00964C5F" w:rsidRDefault="00AD7D0E" w:rsidP="00AD7D0E">
      <w:pPr>
        <w:pStyle w:val="FootnoteText"/>
        <w:rPr>
          <w:sz w:val="16"/>
          <w:szCs w:val="16"/>
        </w:rPr>
      </w:pPr>
      <w:r w:rsidRPr="00964C5F">
        <w:rPr>
          <w:rStyle w:val="FootnoteReference"/>
          <w:sz w:val="16"/>
          <w:szCs w:val="16"/>
        </w:rPr>
        <w:footnoteRef/>
      </w:r>
      <w:r w:rsidRPr="00964C5F">
        <w:rPr>
          <w:sz w:val="16"/>
          <w:szCs w:val="16"/>
        </w:rPr>
        <w:t xml:space="preserve"> UHL, </w:t>
      </w:r>
      <w:r w:rsidRPr="00964C5F">
        <w:rPr>
          <w:i/>
          <w:iCs/>
          <w:sz w:val="16"/>
          <w:szCs w:val="16"/>
        </w:rPr>
        <w:t>Procurement Contracts Committee – Contract Award Recommendations, Paper presented to Trust Leadership Team</w:t>
      </w:r>
      <w:r w:rsidRPr="00964C5F">
        <w:rPr>
          <w:sz w:val="16"/>
          <w:szCs w:val="16"/>
        </w:rPr>
        <w:t>, 22 July 2025.</w:t>
      </w:r>
    </w:p>
  </w:footnote>
  <w:footnote w:id="46">
    <w:p w14:paraId="7D19A685" w14:textId="77777777" w:rsidR="00CC782F" w:rsidRPr="00964C5F" w:rsidRDefault="00CC782F">
      <w:pPr>
        <w:pStyle w:val="FootnoteText"/>
        <w:rPr>
          <w:sz w:val="16"/>
          <w:szCs w:val="16"/>
        </w:rPr>
      </w:pPr>
      <w:r w:rsidRPr="00964C5F">
        <w:rPr>
          <w:rStyle w:val="FootnoteReference"/>
          <w:sz w:val="16"/>
          <w:szCs w:val="16"/>
        </w:rPr>
        <w:footnoteRef/>
      </w:r>
      <w:r w:rsidR="00AD7D0E" w:rsidRPr="00964C5F">
        <w:rPr>
          <w:sz w:val="16"/>
          <w:szCs w:val="16"/>
        </w:rPr>
        <w:t xml:space="preserve"> UHL, </w:t>
      </w:r>
      <w:r w:rsidR="00AD7D0E" w:rsidRPr="00964C5F">
        <w:rPr>
          <w:i/>
          <w:iCs/>
          <w:sz w:val="16"/>
          <w:szCs w:val="16"/>
        </w:rPr>
        <w:t>Procurement Contracts Committee – Contract Award Recommendations, Paper presented to Trust Leadership Team</w:t>
      </w:r>
      <w:r w:rsidR="00AD7D0E" w:rsidRPr="00964C5F">
        <w:rPr>
          <w:sz w:val="16"/>
          <w:szCs w:val="16"/>
        </w:rPr>
        <w:t>, 22 July 2025.</w:t>
      </w:r>
    </w:p>
  </w:footnote>
  <w:footnote w:id="47">
    <w:p w14:paraId="5C1628E3" w14:textId="77777777" w:rsidR="00AD7D0E" w:rsidRPr="005037A5" w:rsidRDefault="00AD7D0E" w:rsidP="00AD7D0E">
      <w:pPr>
        <w:pStyle w:val="FootnoteText"/>
        <w:rPr>
          <w:sz w:val="16"/>
          <w:szCs w:val="16"/>
        </w:rPr>
      </w:pPr>
      <w:r w:rsidRPr="005037A5">
        <w:rPr>
          <w:rStyle w:val="FootnoteReference"/>
          <w:sz w:val="16"/>
          <w:szCs w:val="16"/>
        </w:rPr>
        <w:footnoteRef/>
      </w:r>
      <w:r w:rsidRPr="005037A5">
        <w:rPr>
          <w:sz w:val="16"/>
          <w:szCs w:val="16"/>
        </w:rPr>
        <w:t xml:space="preserve"> UHL, </w:t>
      </w:r>
      <w:r w:rsidRPr="005037A5">
        <w:rPr>
          <w:i/>
          <w:iCs/>
          <w:sz w:val="16"/>
          <w:szCs w:val="16"/>
        </w:rPr>
        <w:t>Actions from Trust Leadership Team meeting on 22 July 2025</w:t>
      </w:r>
      <w:r w:rsidRPr="005037A5">
        <w:rPr>
          <w:sz w:val="16"/>
          <w:szCs w:val="16"/>
        </w:rPr>
        <w:t>, undated.</w:t>
      </w:r>
    </w:p>
  </w:footnote>
  <w:footnote w:id="48">
    <w:p w14:paraId="592B84E0" w14:textId="77777777" w:rsidR="00AD7D0E" w:rsidRPr="005C461A" w:rsidRDefault="00AD7D0E" w:rsidP="00AD7D0E">
      <w:pPr>
        <w:pStyle w:val="FootnoteText"/>
        <w:rPr>
          <w:sz w:val="16"/>
          <w:szCs w:val="16"/>
        </w:rPr>
      </w:pPr>
      <w:r w:rsidRPr="005C461A">
        <w:rPr>
          <w:rStyle w:val="FootnoteReference"/>
          <w:sz w:val="16"/>
          <w:szCs w:val="16"/>
        </w:rPr>
        <w:footnoteRef/>
      </w:r>
      <w:r w:rsidRPr="005C461A">
        <w:rPr>
          <w:sz w:val="16"/>
          <w:szCs w:val="16"/>
        </w:rPr>
        <w:t xml:space="preserve"> UHL, </w:t>
      </w:r>
      <w:r w:rsidRPr="005C461A">
        <w:rPr>
          <w:i/>
          <w:iCs/>
          <w:sz w:val="16"/>
          <w:szCs w:val="16"/>
        </w:rPr>
        <w:t>Confidential minutes of a meeting of the Finance and Investment Committee</w:t>
      </w:r>
      <w:r w:rsidRPr="005C461A">
        <w:rPr>
          <w:sz w:val="16"/>
          <w:szCs w:val="16"/>
        </w:rPr>
        <w:t>, 30 July 2025.</w:t>
      </w:r>
    </w:p>
  </w:footnote>
  <w:footnote w:id="49">
    <w:p w14:paraId="6794D3BB" w14:textId="77777777" w:rsidR="00AC6ACA" w:rsidRPr="005C461A" w:rsidRDefault="00AC6ACA" w:rsidP="00AC6ACA">
      <w:pPr>
        <w:pStyle w:val="FootnoteText"/>
        <w:rPr>
          <w:sz w:val="16"/>
          <w:szCs w:val="16"/>
        </w:rPr>
      </w:pPr>
      <w:r w:rsidRPr="005C461A">
        <w:rPr>
          <w:rStyle w:val="FootnoteReference"/>
          <w:sz w:val="16"/>
          <w:szCs w:val="16"/>
        </w:rPr>
        <w:footnoteRef/>
      </w:r>
      <w:r w:rsidRPr="005C461A">
        <w:rPr>
          <w:sz w:val="16"/>
          <w:szCs w:val="16"/>
        </w:rPr>
        <w:t xml:space="preserve"> UHL, </w:t>
      </w:r>
      <w:r w:rsidRPr="005C461A">
        <w:rPr>
          <w:i/>
          <w:iCs/>
          <w:sz w:val="16"/>
          <w:szCs w:val="16"/>
        </w:rPr>
        <w:t>Confidential minutes of a meeting of the Finance and Investment Committee</w:t>
      </w:r>
      <w:r w:rsidRPr="005C461A">
        <w:rPr>
          <w:sz w:val="16"/>
          <w:szCs w:val="16"/>
        </w:rPr>
        <w:t>, 30 July 2025.</w:t>
      </w:r>
    </w:p>
  </w:footnote>
  <w:footnote w:id="50">
    <w:p w14:paraId="58C237CB" w14:textId="77777777" w:rsidR="00183C16" w:rsidRPr="00E469BF" w:rsidRDefault="00183C16" w:rsidP="00183C16">
      <w:pPr>
        <w:pStyle w:val="FootnoteText"/>
        <w:rPr>
          <w:sz w:val="16"/>
          <w:szCs w:val="16"/>
        </w:rPr>
      </w:pPr>
      <w:r w:rsidRPr="00E469BF">
        <w:rPr>
          <w:rStyle w:val="FootnoteReference"/>
          <w:sz w:val="16"/>
          <w:szCs w:val="16"/>
        </w:rPr>
        <w:footnoteRef/>
      </w:r>
      <w:r w:rsidRPr="00E469BF">
        <w:rPr>
          <w:sz w:val="16"/>
          <w:szCs w:val="16"/>
        </w:rPr>
        <w:t xml:space="preserve"> UHL, </w:t>
      </w:r>
      <w:r w:rsidRPr="00E469BF">
        <w:rPr>
          <w:i/>
          <w:iCs/>
          <w:sz w:val="16"/>
          <w:szCs w:val="16"/>
        </w:rPr>
        <w:t>Confidential minutes of a private meeting of the Trust Board</w:t>
      </w:r>
      <w:r w:rsidRPr="00E469BF">
        <w:rPr>
          <w:sz w:val="16"/>
          <w:szCs w:val="16"/>
        </w:rPr>
        <w:t>, 14 August 2025.</w:t>
      </w:r>
    </w:p>
  </w:footnote>
  <w:footnote w:id="51">
    <w:p w14:paraId="5A5D193C" w14:textId="05AA72C4" w:rsidR="00A277A5" w:rsidRDefault="00A277A5" w:rsidP="00A277A5">
      <w:pPr>
        <w:pStyle w:val="FootnoteText"/>
      </w:pPr>
      <w:r w:rsidRPr="00CF3515">
        <w:rPr>
          <w:rStyle w:val="FootnoteReference"/>
          <w:sz w:val="16"/>
          <w:szCs w:val="16"/>
        </w:rPr>
        <w:footnoteRef/>
      </w:r>
      <w:r w:rsidRPr="00CF3515">
        <w:rPr>
          <w:sz w:val="16"/>
          <w:szCs w:val="16"/>
        </w:rPr>
        <w:t xml:space="preserve"> </w:t>
      </w:r>
      <w:r w:rsidR="00B646BA">
        <w:rPr>
          <w:sz w:val="16"/>
          <w:szCs w:val="16"/>
        </w:rPr>
        <w:t>Panel</w:t>
      </w:r>
      <w:r w:rsidRPr="00CF3515">
        <w:rPr>
          <w:sz w:val="16"/>
          <w:szCs w:val="16"/>
        </w:rPr>
        <w:t xml:space="preserve"> meeting with </w:t>
      </w:r>
      <w:r w:rsidR="00B646BA">
        <w:rPr>
          <w:sz w:val="16"/>
          <w:szCs w:val="16"/>
        </w:rPr>
        <w:t>UHL</w:t>
      </w:r>
      <w:r w:rsidRPr="00CF3515">
        <w:rPr>
          <w:sz w:val="16"/>
          <w:szCs w:val="16"/>
        </w:rPr>
        <w:t>, 24 November 2025</w:t>
      </w:r>
      <w:r>
        <w:rPr>
          <w:sz w:val="16"/>
          <w:szCs w:val="16"/>
        </w:rPr>
        <w:t>.</w:t>
      </w:r>
    </w:p>
  </w:footnote>
  <w:footnote w:id="52">
    <w:p w14:paraId="191BC50D" w14:textId="3064C76C" w:rsidR="00AD7992" w:rsidRDefault="00AD7992" w:rsidP="00AD7992">
      <w:pPr>
        <w:pStyle w:val="FootnoteText"/>
      </w:pPr>
      <w:r w:rsidRPr="00CF3515">
        <w:rPr>
          <w:rStyle w:val="FootnoteReference"/>
          <w:sz w:val="16"/>
          <w:szCs w:val="16"/>
        </w:rPr>
        <w:footnoteRef/>
      </w:r>
      <w:r w:rsidRPr="00CF3515">
        <w:rPr>
          <w:sz w:val="16"/>
          <w:szCs w:val="16"/>
        </w:rPr>
        <w:t xml:space="preserve"> </w:t>
      </w:r>
      <w:r w:rsidR="00B646BA">
        <w:rPr>
          <w:sz w:val="16"/>
          <w:szCs w:val="16"/>
        </w:rPr>
        <w:t>Panel</w:t>
      </w:r>
      <w:r w:rsidRPr="00CF3515">
        <w:rPr>
          <w:sz w:val="16"/>
          <w:szCs w:val="16"/>
        </w:rPr>
        <w:t xml:space="preserve"> meeting with </w:t>
      </w:r>
      <w:r w:rsidR="00B646BA">
        <w:rPr>
          <w:sz w:val="16"/>
          <w:szCs w:val="16"/>
        </w:rPr>
        <w:t>UHL</w:t>
      </w:r>
      <w:r w:rsidRPr="00CF3515">
        <w:rPr>
          <w:sz w:val="16"/>
          <w:szCs w:val="16"/>
        </w:rPr>
        <w:t>, 24 November 2025</w:t>
      </w:r>
      <w:r>
        <w:rPr>
          <w:sz w:val="16"/>
          <w:szCs w:val="16"/>
        </w:rPr>
        <w:t>.</w:t>
      </w:r>
    </w:p>
  </w:footnote>
  <w:footnote w:id="53">
    <w:p w14:paraId="390700BD" w14:textId="1C0438DE" w:rsidR="006C1239" w:rsidRPr="00565355" w:rsidRDefault="006C1239">
      <w:pPr>
        <w:pStyle w:val="FootnoteText"/>
        <w:rPr>
          <w:sz w:val="16"/>
          <w:szCs w:val="16"/>
        </w:rPr>
      </w:pPr>
      <w:r w:rsidRPr="00565355">
        <w:rPr>
          <w:rStyle w:val="FootnoteReference"/>
          <w:sz w:val="16"/>
          <w:szCs w:val="16"/>
        </w:rPr>
        <w:footnoteRef/>
      </w:r>
      <w:r w:rsidRPr="00565355">
        <w:rPr>
          <w:sz w:val="16"/>
          <w:szCs w:val="16"/>
        </w:rPr>
        <w:t xml:space="preserve"> YWR, </w:t>
      </w:r>
      <w:r w:rsidR="00D70F6C" w:rsidRPr="00565355">
        <w:rPr>
          <w:i/>
          <w:iCs/>
          <w:sz w:val="16"/>
          <w:szCs w:val="16"/>
        </w:rPr>
        <w:t xml:space="preserve">Representations to </w:t>
      </w:r>
      <w:r w:rsidR="00F85628" w:rsidRPr="00565355">
        <w:rPr>
          <w:i/>
          <w:iCs/>
          <w:sz w:val="16"/>
          <w:szCs w:val="16"/>
        </w:rPr>
        <w:t>UHL</w:t>
      </w:r>
      <w:r w:rsidR="00F85628" w:rsidRPr="00565355">
        <w:rPr>
          <w:sz w:val="16"/>
          <w:szCs w:val="16"/>
        </w:rPr>
        <w:t xml:space="preserve">, </w:t>
      </w:r>
      <w:r w:rsidR="00565355" w:rsidRPr="00565355">
        <w:rPr>
          <w:sz w:val="16"/>
          <w:szCs w:val="16"/>
        </w:rPr>
        <w:t>9 September 2025.</w:t>
      </w:r>
    </w:p>
  </w:footnote>
  <w:footnote w:id="54">
    <w:p w14:paraId="74254834" w14:textId="2699A99B" w:rsidR="00403394" w:rsidRPr="00470516" w:rsidRDefault="00403394">
      <w:pPr>
        <w:pStyle w:val="FootnoteText"/>
        <w:rPr>
          <w:sz w:val="16"/>
          <w:szCs w:val="16"/>
        </w:rPr>
      </w:pPr>
      <w:r w:rsidRPr="00470516">
        <w:rPr>
          <w:rStyle w:val="FootnoteReference"/>
          <w:sz w:val="16"/>
          <w:szCs w:val="16"/>
        </w:rPr>
        <w:footnoteRef/>
      </w:r>
      <w:r w:rsidRPr="00470516">
        <w:rPr>
          <w:sz w:val="16"/>
          <w:szCs w:val="16"/>
        </w:rPr>
        <w:t xml:space="preserve"> UHL, </w:t>
      </w:r>
      <w:r w:rsidR="00A01E06" w:rsidRPr="00C16DA4">
        <w:rPr>
          <w:i/>
          <w:iCs/>
          <w:sz w:val="16"/>
          <w:szCs w:val="16"/>
        </w:rPr>
        <w:t>Response to YWR representations</w:t>
      </w:r>
      <w:r w:rsidR="00A01E06" w:rsidRPr="00470516">
        <w:rPr>
          <w:sz w:val="16"/>
          <w:szCs w:val="16"/>
        </w:rPr>
        <w:t xml:space="preserve">, </w:t>
      </w:r>
      <w:r w:rsidR="00470516" w:rsidRPr="00470516">
        <w:rPr>
          <w:sz w:val="16"/>
          <w:szCs w:val="16"/>
        </w:rPr>
        <w:t>30 September 2025.</w:t>
      </w:r>
    </w:p>
  </w:footnote>
  <w:footnote w:id="55">
    <w:p w14:paraId="52450B52" w14:textId="2ED8BAB2" w:rsidR="00353AEE" w:rsidRDefault="00353AEE">
      <w:pPr>
        <w:pStyle w:val="FootnoteText"/>
      </w:pPr>
      <w:r w:rsidRPr="004F7F63">
        <w:rPr>
          <w:rStyle w:val="FootnoteReference"/>
          <w:sz w:val="16"/>
          <w:szCs w:val="16"/>
        </w:rPr>
        <w:footnoteRef/>
      </w:r>
      <w:r w:rsidRPr="004F7F63">
        <w:rPr>
          <w:sz w:val="16"/>
          <w:szCs w:val="16"/>
        </w:rPr>
        <w:t xml:space="preserve"> YWR, </w:t>
      </w:r>
      <w:r w:rsidRPr="00301064">
        <w:rPr>
          <w:i/>
          <w:iCs/>
          <w:sz w:val="16"/>
          <w:szCs w:val="16"/>
        </w:rPr>
        <w:t>Letter to UHL re Further competition for Insourced Managed Service</w:t>
      </w:r>
      <w:r w:rsidRPr="004F7F63">
        <w:rPr>
          <w:sz w:val="16"/>
          <w:szCs w:val="16"/>
        </w:rPr>
        <w:t>, 8 October 2025.</w:t>
      </w:r>
    </w:p>
  </w:footnote>
  <w:footnote w:id="56">
    <w:p w14:paraId="5071A71B" w14:textId="63011056" w:rsidR="009D5E7D" w:rsidRPr="00732C47" w:rsidRDefault="009D5E7D">
      <w:pPr>
        <w:pStyle w:val="FootnoteText"/>
        <w:rPr>
          <w:sz w:val="16"/>
          <w:szCs w:val="16"/>
        </w:rPr>
      </w:pPr>
      <w:r w:rsidRPr="00732C47">
        <w:rPr>
          <w:rStyle w:val="FootnoteReference"/>
          <w:sz w:val="16"/>
          <w:szCs w:val="16"/>
        </w:rPr>
        <w:footnoteRef/>
      </w:r>
      <w:r w:rsidRPr="00732C47">
        <w:rPr>
          <w:sz w:val="16"/>
          <w:szCs w:val="16"/>
        </w:rPr>
        <w:t xml:space="preserve"> </w:t>
      </w:r>
      <w:r w:rsidR="00732C47" w:rsidRPr="00732C47">
        <w:rPr>
          <w:sz w:val="16"/>
          <w:szCs w:val="16"/>
        </w:rPr>
        <w:t xml:space="preserve">YWR, </w:t>
      </w:r>
      <w:r w:rsidR="00732C47" w:rsidRPr="00732C47">
        <w:rPr>
          <w:i/>
          <w:iCs/>
          <w:sz w:val="16"/>
          <w:szCs w:val="16"/>
        </w:rPr>
        <w:t>Further representations to UHL</w:t>
      </w:r>
      <w:r w:rsidR="00732C47" w:rsidRPr="00732C47">
        <w:rPr>
          <w:sz w:val="16"/>
          <w:szCs w:val="16"/>
        </w:rPr>
        <w:t>, 8 October 2025.</w:t>
      </w:r>
    </w:p>
  </w:footnote>
  <w:footnote w:id="57">
    <w:p w14:paraId="28E78347" w14:textId="22EA00A9" w:rsidR="00611B04" w:rsidRPr="00611B04" w:rsidRDefault="00611B04">
      <w:pPr>
        <w:pStyle w:val="FootnoteText"/>
        <w:rPr>
          <w:sz w:val="16"/>
          <w:szCs w:val="16"/>
        </w:rPr>
      </w:pPr>
      <w:r w:rsidRPr="00611B04">
        <w:rPr>
          <w:rStyle w:val="FootnoteReference"/>
          <w:sz w:val="16"/>
          <w:szCs w:val="16"/>
        </w:rPr>
        <w:footnoteRef/>
      </w:r>
      <w:r w:rsidRPr="00611B04">
        <w:rPr>
          <w:sz w:val="16"/>
          <w:szCs w:val="16"/>
        </w:rPr>
        <w:t xml:space="preserve"> </w:t>
      </w:r>
      <w:r w:rsidR="00B646BA">
        <w:rPr>
          <w:sz w:val="16"/>
          <w:szCs w:val="16"/>
        </w:rPr>
        <w:t>Panel</w:t>
      </w:r>
      <w:r w:rsidRPr="00611B04">
        <w:rPr>
          <w:sz w:val="16"/>
          <w:szCs w:val="16"/>
        </w:rPr>
        <w:t xml:space="preserve"> meeting with </w:t>
      </w:r>
      <w:r w:rsidR="00B646BA">
        <w:rPr>
          <w:sz w:val="16"/>
          <w:szCs w:val="16"/>
        </w:rPr>
        <w:t>YWR</w:t>
      </w:r>
      <w:r w:rsidRPr="00611B04">
        <w:rPr>
          <w:sz w:val="16"/>
          <w:szCs w:val="16"/>
        </w:rPr>
        <w:t xml:space="preserve">, </w:t>
      </w:r>
      <w:r w:rsidR="00A60039">
        <w:rPr>
          <w:sz w:val="16"/>
          <w:szCs w:val="16"/>
        </w:rPr>
        <w:t>19 November 2025</w:t>
      </w:r>
      <w:r w:rsidRPr="00611B04">
        <w:rPr>
          <w:sz w:val="16"/>
          <w:szCs w:val="16"/>
        </w:rPr>
        <w:t>.</w:t>
      </w:r>
    </w:p>
  </w:footnote>
  <w:footnote w:id="58">
    <w:p w14:paraId="63CA074D" w14:textId="71AAA867" w:rsidR="00746B17" w:rsidRPr="00C3463A" w:rsidRDefault="00746B17">
      <w:pPr>
        <w:pStyle w:val="FootnoteText"/>
        <w:rPr>
          <w:sz w:val="16"/>
          <w:szCs w:val="16"/>
        </w:rPr>
      </w:pPr>
      <w:r w:rsidRPr="00C3463A">
        <w:rPr>
          <w:rStyle w:val="FootnoteReference"/>
          <w:sz w:val="16"/>
          <w:szCs w:val="16"/>
        </w:rPr>
        <w:footnoteRef/>
      </w:r>
      <w:r w:rsidRPr="00C3463A">
        <w:rPr>
          <w:sz w:val="16"/>
          <w:szCs w:val="16"/>
        </w:rPr>
        <w:t xml:space="preserve"> </w:t>
      </w:r>
      <w:r w:rsidR="00B646BA">
        <w:rPr>
          <w:sz w:val="16"/>
          <w:szCs w:val="16"/>
        </w:rPr>
        <w:t>Panel</w:t>
      </w:r>
      <w:r w:rsidR="00424E0D" w:rsidRPr="00C3463A">
        <w:rPr>
          <w:sz w:val="16"/>
          <w:szCs w:val="16"/>
        </w:rPr>
        <w:t xml:space="preserve"> meeting with </w:t>
      </w:r>
      <w:r w:rsidR="00B646BA">
        <w:rPr>
          <w:sz w:val="16"/>
          <w:szCs w:val="16"/>
        </w:rPr>
        <w:t>UHL</w:t>
      </w:r>
      <w:r w:rsidR="00424E0D" w:rsidRPr="00C3463A">
        <w:rPr>
          <w:sz w:val="16"/>
          <w:szCs w:val="16"/>
        </w:rPr>
        <w:t>, 24 November 2025.</w:t>
      </w:r>
    </w:p>
  </w:footnote>
  <w:footnote w:id="59">
    <w:p w14:paraId="284E43E2" w14:textId="7CA8E47D" w:rsidR="00E742DF" w:rsidRPr="00E742DF" w:rsidRDefault="00E742DF">
      <w:pPr>
        <w:pStyle w:val="FootnoteText"/>
        <w:rPr>
          <w:sz w:val="16"/>
          <w:szCs w:val="16"/>
        </w:rPr>
      </w:pPr>
      <w:r w:rsidRPr="00E742DF">
        <w:rPr>
          <w:rStyle w:val="FootnoteReference"/>
          <w:sz w:val="16"/>
          <w:szCs w:val="16"/>
        </w:rPr>
        <w:footnoteRef/>
      </w:r>
      <w:r w:rsidRPr="00E742DF">
        <w:rPr>
          <w:sz w:val="16"/>
          <w:szCs w:val="16"/>
        </w:rPr>
        <w:t xml:space="preserve"> UHL, </w:t>
      </w:r>
      <w:r w:rsidRPr="00E742DF">
        <w:rPr>
          <w:i/>
          <w:iCs/>
          <w:sz w:val="16"/>
          <w:szCs w:val="16"/>
        </w:rPr>
        <w:t>Letter to YWR</w:t>
      </w:r>
      <w:r w:rsidRPr="00E742DF">
        <w:rPr>
          <w:sz w:val="16"/>
          <w:szCs w:val="16"/>
        </w:rPr>
        <w:t>, 14 October 2025.</w:t>
      </w:r>
    </w:p>
  </w:footnote>
  <w:footnote w:id="60">
    <w:p w14:paraId="5904545D" w14:textId="77777777" w:rsidR="00053F87" w:rsidRPr="003C7A98" w:rsidRDefault="00053F87" w:rsidP="00053F87">
      <w:pPr>
        <w:pStyle w:val="FootnoteText"/>
        <w:rPr>
          <w:rFonts w:cs="Arial"/>
          <w:sz w:val="16"/>
          <w:szCs w:val="16"/>
        </w:rPr>
      </w:pPr>
      <w:r w:rsidRPr="003C7A98">
        <w:rPr>
          <w:rStyle w:val="FootnoteReference"/>
          <w:rFonts w:cs="Arial"/>
          <w:sz w:val="16"/>
          <w:szCs w:val="16"/>
        </w:rPr>
        <w:footnoteRef/>
      </w:r>
      <w:r w:rsidRPr="003C7A98">
        <w:rPr>
          <w:rFonts w:cs="Arial"/>
          <w:sz w:val="16"/>
          <w:szCs w:val="16"/>
        </w:rPr>
        <w:t xml:space="preserve"> These cases include</w:t>
      </w:r>
      <w:r>
        <w:rPr>
          <w:rFonts w:cs="Arial"/>
          <w:sz w:val="16"/>
          <w:szCs w:val="16"/>
        </w:rPr>
        <w:t>:</w:t>
      </w:r>
      <w:r w:rsidRPr="003C7A98">
        <w:rPr>
          <w:rFonts w:cs="Arial"/>
          <w:sz w:val="16"/>
          <w:szCs w:val="16"/>
        </w:rPr>
        <w:t xml:space="preserve"> </w:t>
      </w:r>
      <w:r>
        <w:rPr>
          <w:rFonts w:cs="Arial"/>
          <w:sz w:val="16"/>
          <w:szCs w:val="16"/>
        </w:rPr>
        <w:t xml:space="preserve">(i) </w:t>
      </w:r>
      <w:r w:rsidRPr="003C7A98">
        <w:rPr>
          <w:rFonts w:cs="Arial"/>
          <w:sz w:val="16"/>
          <w:szCs w:val="16"/>
        </w:rPr>
        <w:t>CR0015-25 Targeted Lung Healthcare Checks for Shropshire, Telford and Wrekin</w:t>
      </w:r>
      <w:r>
        <w:rPr>
          <w:rFonts w:cs="Arial"/>
          <w:sz w:val="16"/>
          <w:szCs w:val="16"/>
        </w:rPr>
        <w:t>;</w:t>
      </w:r>
      <w:r w:rsidRPr="003C7A98">
        <w:rPr>
          <w:rFonts w:cs="Arial"/>
          <w:sz w:val="16"/>
          <w:szCs w:val="16"/>
        </w:rPr>
        <w:t xml:space="preserve"> </w:t>
      </w:r>
      <w:r>
        <w:rPr>
          <w:rFonts w:cs="Arial"/>
          <w:sz w:val="16"/>
          <w:szCs w:val="16"/>
        </w:rPr>
        <w:t xml:space="preserve">(ii) </w:t>
      </w:r>
      <w:r w:rsidRPr="003C7A98">
        <w:rPr>
          <w:rFonts w:cs="Arial"/>
          <w:sz w:val="16"/>
          <w:szCs w:val="16"/>
        </w:rPr>
        <w:t>CR0018-25 Primary Care Partner (GP Services) for Urgent Treatment Centre at University Hospital Lewisham</w:t>
      </w:r>
      <w:r>
        <w:rPr>
          <w:rFonts w:cs="Arial"/>
          <w:sz w:val="16"/>
          <w:szCs w:val="16"/>
        </w:rPr>
        <w:t>;</w:t>
      </w:r>
      <w:r w:rsidRPr="003C7A98">
        <w:rPr>
          <w:rFonts w:cs="Arial"/>
          <w:sz w:val="16"/>
          <w:szCs w:val="16"/>
        </w:rPr>
        <w:t xml:space="preserve"> and </w:t>
      </w:r>
      <w:r>
        <w:rPr>
          <w:rFonts w:cs="Arial"/>
          <w:sz w:val="16"/>
          <w:szCs w:val="16"/>
        </w:rPr>
        <w:t>(iii) CR0021-25 and CR0022-25 Talking Therapies and Psychological Therapies for Severe Mental Health Problems for Mid and South Essex.</w:t>
      </w:r>
    </w:p>
  </w:footnote>
  <w:footnote w:id="61">
    <w:p w14:paraId="2308B3DF" w14:textId="77777777" w:rsidR="00FD05A0" w:rsidRPr="00E742DF" w:rsidRDefault="00FD05A0" w:rsidP="00FD05A0">
      <w:pPr>
        <w:pStyle w:val="FootnoteText"/>
        <w:rPr>
          <w:sz w:val="16"/>
          <w:szCs w:val="16"/>
        </w:rPr>
      </w:pPr>
      <w:r w:rsidRPr="00E742DF">
        <w:rPr>
          <w:rStyle w:val="FootnoteReference"/>
          <w:sz w:val="16"/>
          <w:szCs w:val="16"/>
        </w:rPr>
        <w:footnoteRef/>
      </w:r>
      <w:r w:rsidRPr="00E742DF">
        <w:rPr>
          <w:sz w:val="16"/>
          <w:szCs w:val="16"/>
        </w:rPr>
        <w:t xml:space="preserve"> UHL, </w:t>
      </w:r>
      <w:r w:rsidRPr="00E742DF">
        <w:rPr>
          <w:i/>
          <w:iCs/>
          <w:sz w:val="16"/>
          <w:szCs w:val="16"/>
        </w:rPr>
        <w:t>Letter to YWR</w:t>
      </w:r>
      <w:r w:rsidRPr="00E742DF">
        <w:rPr>
          <w:sz w:val="16"/>
          <w:szCs w:val="16"/>
        </w:rPr>
        <w:t>, 14 October 2025.</w:t>
      </w:r>
    </w:p>
  </w:footnote>
  <w:footnote w:id="62">
    <w:p w14:paraId="5907D6C9" w14:textId="77777777" w:rsidR="00FB4762" w:rsidRPr="00E742DF" w:rsidRDefault="00FB4762" w:rsidP="00FB4762">
      <w:pPr>
        <w:pStyle w:val="FootnoteText"/>
        <w:rPr>
          <w:sz w:val="16"/>
          <w:szCs w:val="16"/>
        </w:rPr>
      </w:pPr>
      <w:r w:rsidRPr="00E742DF">
        <w:rPr>
          <w:rStyle w:val="FootnoteReference"/>
          <w:sz w:val="16"/>
          <w:szCs w:val="16"/>
        </w:rPr>
        <w:footnoteRef/>
      </w:r>
      <w:r w:rsidRPr="00E742DF">
        <w:rPr>
          <w:sz w:val="16"/>
          <w:szCs w:val="16"/>
        </w:rPr>
        <w:t xml:space="preserve"> UHL, </w:t>
      </w:r>
      <w:r w:rsidRPr="00E742DF">
        <w:rPr>
          <w:i/>
          <w:iCs/>
          <w:sz w:val="16"/>
          <w:szCs w:val="16"/>
        </w:rPr>
        <w:t>Letter to YWR</w:t>
      </w:r>
      <w:r w:rsidRPr="00E742DF">
        <w:rPr>
          <w:sz w:val="16"/>
          <w:szCs w:val="16"/>
        </w:rPr>
        <w:t>, 14 October 2025.</w:t>
      </w:r>
    </w:p>
  </w:footnote>
  <w:footnote w:id="63">
    <w:p w14:paraId="48C2EED8" w14:textId="77777777" w:rsidR="00FB4762" w:rsidRPr="00E742DF" w:rsidRDefault="00FB4762" w:rsidP="00FB4762">
      <w:pPr>
        <w:pStyle w:val="FootnoteText"/>
        <w:rPr>
          <w:sz w:val="16"/>
          <w:szCs w:val="16"/>
        </w:rPr>
      </w:pPr>
      <w:r w:rsidRPr="00E742DF">
        <w:rPr>
          <w:rStyle w:val="FootnoteReference"/>
          <w:sz w:val="16"/>
          <w:szCs w:val="16"/>
        </w:rPr>
        <w:footnoteRef/>
      </w:r>
      <w:r w:rsidRPr="00E742DF">
        <w:rPr>
          <w:sz w:val="16"/>
          <w:szCs w:val="16"/>
        </w:rPr>
        <w:t xml:space="preserve"> UHL, </w:t>
      </w:r>
      <w:r w:rsidRPr="00E742DF">
        <w:rPr>
          <w:i/>
          <w:iCs/>
          <w:sz w:val="16"/>
          <w:szCs w:val="16"/>
        </w:rPr>
        <w:t>Letter to YWR</w:t>
      </w:r>
      <w:r w:rsidRPr="00E742DF">
        <w:rPr>
          <w:sz w:val="16"/>
          <w:szCs w:val="16"/>
        </w:rPr>
        <w:t>, 14 October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7F5"/>
    <w:multiLevelType w:val="hybridMultilevel"/>
    <w:tmpl w:val="91CCB8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40A04"/>
    <w:multiLevelType w:val="hybridMultilevel"/>
    <w:tmpl w:val="450C38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5666A7"/>
    <w:multiLevelType w:val="hybridMultilevel"/>
    <w:tmpl w:val="2F880456"/>
    <w:lvl w:ilvl="0" w:tplc="3FD650F6">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9861291"/>
    <w:multiLevelType w:val="hybridMultilevel"/>
    <w:tmpl w:val="F370A5DA"/>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F2123D5"/>
    <w:multiLevelType w:val="multilevel"/>
    <w:tmpl w:val="3CDE5F5E"/>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0B1026"/>
    <w:multiLevelType w:val="hybridMultilevel"/>
    <w:tmpl w:val="7BD40E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1162A94"/>
    <w:multiLevelType w:val="hybridMultilevel"/>
    <w:tmpl w:val="5E706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22B52"/>
    <w:multiLevelType w:val="hybridMultilevel"/>
    <w:tmpl w:val="6B0E7350"/>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21077E7"/>
    <w:multiLevelType w:val="hybridMultilevel"/>
    <w:tmpl w:val="7AC0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27C41"/>
    <w:multiLevelType w:val="hybridMultilevel"/>
    <w:tmpl w:val="32DC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EC64DE"/>
    <w:multiLevelType w:val="hybridMultilevel"/>
    <w:tmpl w:val="C1A2D8B4"/>
    <w:lvl w:ilvl="0" w:tplc="08090001">
      <w:start w:val="1"/>
      <w:numFmt w:val="bullet"/>
      <w:lvlText w:val=""/>
      <w:lvlJc w:val="left"/>
      <w:pPr>
        <w:ind w:left="2220" w:hanging="360"/>
      </w:pPr>
      <w:rPr>
        <w:rFonts w:ascii="Symbol" w:hAnsi="Symbol" w:hint="default"/>
      </w:rPr>
    </w:lvl>
    <w:lvl w:ilvl="1" w:tplc="08090003">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1" w15:restartNumberingAfterBreak="0">
    <w:nsid w:val="2ED566FE"/>
    <w:multiLevelType w:val="hybridMultilevel"/>
    <w:tmpl w:val="E604CFA6"/>
    <w:lvl w:ilvl="0" w:tplc="0809000F">
      <w:start w:val="1"/>
      <w:numFmt w:val="decimal"/>
      <w:lvlText w:val="%1."/>
      <w:lvlJc w:val="left"/>
      <w:pPr>
        <w:ind w:left="928" w:hanging="360"/>
      </w:p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7211E"/>
    <w:multiLevelType w:val="hybridMultilevel"/>
    <w:tmpl w:val="22CA2908"/>
    <w:lvl w:ilvl="0" w:tplc="BF6081CE">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96E7B"/>
    <w:multiLevelType w:val="hybridMultilevel"/>
    <w:tmpl w:val="5E94D1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02749D"/>
    <w:multiLevelType w:val="hybridMultilevel"/>
    <w:tmpl w:val="0A34F052"/>
    <w:lvl w:ilvl="0" w:tplc="F500862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FE3E3C"/>
    <w:multiLevelType w:val="hybridMultilevel"/>
    <w:tmpl w:val="777E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CD45FEB"/>
    <w:multiLevelType w:val="hybridMultilevel"/>
    <w:tmpl w:val="5B8686E4"/>
    <w:lvl w:ilvl="0" w:tplc="B44C5B1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05413B1"/>
    <w:multiLevelType w:val="hybridMultilevel"/>
    <w:tmpl w:val="2A3C9228"/>
    <w:lvl w:ilvl="0" w:tplc="98BA9D26">
      <w:start w:val="1"/>
      <w:numFmt w:val="bullet"/>
      <w:lvlText w:val=""/>
      <w:lvlJc w:val="left"/>
      <w:pPr>
        <w:ind w:left="1080" w:hanging="360"/>
      </w:pPr>
      <w:rPr>
        <w:rFonts w:ascii="Symbol" w:hAnsi="Symbol"/>
      </w:rPr>
    </w:lvl>
    <w:lvl w:ilvl="1" w:tplc="48E4E59C">
      <w:start w:val="1"/>
      <w:numFmt w:val="bullet"/>
      <w:lvlText w:val=""/>
      <w:lvlJc w:val="left"/>
      <w:pPr>
        <w:ind w:left="1080" w:hanging="360"/>
      </w:pPr>
      <w:rPr>
        <w:rFonts w:ascii="Symbol" w:hAnsi="Symbol"/>
      </w:rPr>
    </w:lvl>
    <w:lvl w:ilvl="2" w:tplc="43F22E00">
      <w:start w:val="1"/>
      <w:numFmt w:val="bullet"/>
      <w:lvlText w:val=""/>
      <w:lvlJc w:val="left"/>
      <w:pPr>
        <w:ind w:left="1080" w:hanging="360"/>
      </w:pPr>
      <w:rPr>
        <w:rFonts w:ascii="Symbol" w:hAnsi="Symbol"/>
      </w:rPr>
    </w:lvl>
    <w:lvl w:ilvl="3" w:tplc="167018BA">
      <w:start w:val="1"/>
      <w:numFmt w:val="bullet"/>
      <w:lvlText w:val=""/>
      <w:lvlJc w:val="left"/>
      <w:pPr>
        <w:ind w:left="1080" w:hanging="360"/>
      </w:pPr>
      <w:rPr>
        <w:rFonts w:ascii="Symbol" w:hAnsi="Symbol"/>
      </w:rPr>
    </w:lvl>
    <w:lvl w:ilvl="4" w:tplc="15D63BB6">
      <w:start w:val="1"/>
      <w:numFmt w:val="bullet"/>
      <w:lvlText w:val=""/>
      <w:lvlJc w:val="left"/>
      <w:pPr>
        <w:ind w:left="1080" w:hanging="360"/>
      </w:pPr>
      <w:rPr>
        <w:rFonts w:ascii="Symbol" w:hAnsi="Symbol"/>
      </w:rPr>
    </w:lvl>
    <w:lvl w:ilvl="5" w:tplc="19A08D12">
      <w:start w:val="1"/>
      <w:numFmt w:val="bullet"/>
      <w:lvlText w:val=""/>
      <w:lvlJc w:val="left"/>
      <w:pPr>
        <w:ind w:left="1080" w:hanging="360"/>
      </w:pPr>
      <w:rPr>
        <w:rFonts w:ascii="Symbol" w:hAnsi="Symbol"/>
      </w:rPr>
    </w:lvl>
    <w:lvl w:ilvl="6" w:tplc="7E6C79CA">
      <w:start w:val="1"/>
      <w:numFmt w:val="bullet"/>
      <w:lvlText w:val=""/>
      <w:lvlJc w:val="left"/>
      <w:pPr>
        <w:ind w:left="1080" w:hanging="360"/>
      </w:pPr>
      <w:rPr>
        <w:rFonts w:ascii="Symbol" w:hAnsi="Symbol"/>
      </w:rPr>
    </w:lvl>
    <w:lvl w:ilvl="7" w:tplc="D4683CD2">
      <w:start w:val="1"/>
      <w:numFmt w:val="bullet"/>
      <w:lvlText w:val=""/>
      <w:lvlJc w:val="left"/>
      <w:pPr>
        <w:ind w:left="1080" w:hanging="360"/>
      </w:pPr>
      <w:rPr>
        <w:rFonts w:ascii="Symbol" w:hAnsi="Symbol"/>
      </w:rPr>
    </w:lvl>
    <w:lvl w:ilvl="8" w:tplc="B84E19D4">
      <w:start w:val="1"/>
      <w:numFmt w:val="bullet"/>
      <w:lvlText w:val=""/>
      <w:lvlJc w:val="left"/>
      <w:pPr>
        <w:ind w:left="1080" w:hanging="360"/>
      </w:pPr>
      <w:rPr>
        <w:rFonts w:ascii="Symbol" w:hAnsi="Symbol"/>
      </w:rPr>
    </w:lvl>
  </w:abstractNum>
  <w:abstractNum w:abstractNumId="18" w15:restartNumberingAfterBreak="0">
    <w:nsid w:val="412D2443"/>
    <w:multiLevelType w:val="hybridMultilevel"/>
    <w:tmpl w:val="5032F1AC"/>
    <w:lvl w:ilvl="0" w:tplc="07BC03AC">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7D13E2"/>
    <w:multiLevelType w:val="hybridMultilevel"/>
    <w:tmpl w:val="D8C0E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DA86B80"/>
    <w:multiLevelType w:val="hybridMultilevel"/>
    <w:tmpl w:val="A3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5918ED"/>
    <w:multiLevelType w:val="hybridMultilevel"/>
    <w:tmpl w:val="E0525EF0"/>
    <w:lvl w:ilvl="0" w:tplc="931ABF48">
      <w:start w:val="1"/>
      <w:numFmt w:val="decimal"/>
      <w:lvlText w:val="%1."/>
      <w:lvlJc w:val="left"/>
      <w:pPr>
        <w:ind w:left="1020" w:hanging="360"/>
      </w:pPr>
    </w:lvl>
    <w:lvl w:ilvl="1" w:tplc="DB746C02">
      <w:start w:val="1"/>
      <w:numFmt w:val="decimal"/>
      <w:lvlText w:val="%2."/>
      <w:lvlJc w:val="left"/>
      <w:pPr>
        <w:ind w:left="1020" w:hanging="360"/>
      </w:pPr>
    </w:lvl>
    <w:lvl w:ilvl="2" w:tplc="EF005184">
      <w:start w:val="1"/>
      <w:numFmt w:val="decimal"/>
      <w:lvlText w:val="%3."/>
      <w:lvlJc w:val="left"/>
      <w:pPr>
        <w:ind w:left="1020" w:hanging="360"/>
      </w:pPr>
    </w:lvl>
    <w:lvl w:ilvl="3" w:tplc="B784B3F4">
      <w:start w:val="1"/>
      <w:numFmt w:val="decimal"/>
      <w:lvlText w:val="%4."/>
      <w:lvlJc w:val="left"/>
      <w:pPr>
        <w:ind w:left="1020" w:hanging="360"/>
      </w:pPr>
    </w:lvl>
    <w:lvl w:ilvl="4" w:tplc="184A1AA2">
      <w:start w:val="1"/>
      <w:numFmt w:val="decimal"/>
      <w:lvlText w:val="%5."/>
      <w:lvlJc w:val="left"/>
      <w:pPr>
        <w:ind w:left="1020" w:hanging="360"/>
      </w:pPr>
    </w:lvl>
    <w:lvl w:ilvl="5" w:tplc="0FD495A4">
      <w:start w:val="1"/>
      <w:numFmt w:val="decimal"/>
      <w:lvlText w:val="%6."/>
      <w:lvlJc w:val="left"/>
      <w:pPr>
        <w:ind w:left="1020" w:hanging="360"/>
      </w:pPr>
    </w:lvl>
    <w:lvl w:ilvl="6" w:tplc="49745A46">
      <w:start w:val="1"/>
      <w:numFmt w:val="decimal"/>
      <w:lvlText w:val="%7."/>
      <w:lvlJc w:val="left"/>
      <w:pPr>
        <w:ind w:left="1020" w:hanging="360"/>
      </w:pPr>
    </w:lvl>
    <w:lvl w:ilvl="7" w:tplc="87568462">
      <w:start w:val="1"/>
      <w:numFmt w:val="decimal"/>
      <w:lvlText w:val="%8."/>
      <w:lvlJc w:val="left"/>
      <w:pPr>
        <w:ind w:left="1020" w:hanging="360"/>
      </w:pPr>
    </w:lvl>
    <w:lvl w:ilvl="8" w:tplc="2BD61ED4">
      <w:start w:val="1"/>
      <w:numFmt w:val="decimal"/>
      <w:lvlText w:val="%9."/>
      <w:lvlJc w:val="left"/>
      <w:pPr>
        <w:ind w:left="1020" w:hanging="360"/>
      </w:pPr>
    </w:lvl>
  </w:abstractNum>
  <w:abstractNum w:abstractNumId="22" w15:restartNumberingAfterBreak="0">
    <w:nsid w:val="612B060E"/>
    <w:multiLevelType w:val="hybridMultilevel"/>
    <w:tmpl w:val="5680D0D2"/>
    <w:lvl w:ilvl="0" w:tplc="1F569316">
      <w:start w:val="1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64AA26C6"/>
    <w:multiLevelType w:val="hybridMultilevel"/>
    <w:tmpl w:val="78168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F43312"/>
    <w:multiLevelType w:val="hybridMultilevel"/>
    <w:tmpl w:val="09D6C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AB57671"/>
    <w:multiLevelType w:val="hybridMultilevel"/>
    <w:tmpl w:val="6038C1E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F32806"/>
    <w:multiLevelType w:val="hybridMultilevel"/>
    <w:tmpl w:val="6CC4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A667D5"/>
    <w:multiLevelType w:val="hybridMultilevel"/>
    <w:tmpl w:val="2FE61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D410E4"/>
    <w:multiLevelType w:val="hybridMultilevel"/>
    <w:tmpl w:val="52D87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8A2E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B85E19"/>
    <w:multiLevelType w:val="hybridMultilevel"/>
    <w:tmpl w:val="75EE9D7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1" w15:restartNumberingAfterBreak="0">
    <w:nsid w:val="7AE9093D"/>
    <w:multiLevelType w:val="multilevel"/>
    <w:tmpl w:val="08090025"/>
    <w:lvl w:ilvl="0">
      <w:start w:val="1"/>
      <w:numFmt w:val="decimal"/>
      <w:pStyle w:val="Heading1"/>
      <w:lvlText w:val="%1"/>
      <w:lvlJc w:val="left"/>
      <w:pPr>
        <w:ind w:left="1425"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E334541"/>
    <w:multiLevelType w:val="hybridMultilevel"/>
    <w:tmpl w:val="3E187C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3816115">
    <w:abstractNumId w:val="0"/>
  </w:num>
  <w:num w:numId="2" w16cid:durableId="447895304">
    <w:abstractNumId w:val="6"/>
  </w:num>
  <w:num w:numId="3" w16cid:durableId="1788968321">
    <w:abstractNumId w:val="1"/>
  </w:num>
  <w:num w:numId="4" w16cid:durableId="84503779">
    <w:abstractNumId w:val="18"/>
  </w:num>
  <w:num w:numId="5" w16cid:durableId="735013521">
    <w:abstractNumId w:val="4"/>
  </w:num>
  <w:num w:numId="6" w16cid:durableId="7029560">
    <w:abstractNumId w:val="4"/>
  </w:num>
  <w:num w:numId="7" w16cid:durableId="1629435474">
    <w:abstractNumId w:val="14"/>
  </w:num>
  <w:num w:numId="8" w16cid:durableId="1644848656">
    <w:abstractNumId w:val="20"/>
  </w:num>
  <w:num w:numId="9" w16cid:durableId="1069158940">
    <w:abstractNumId w:val="32"/>
  </w:num>
  <w:num w:numId="10" w16cid:durableId="66223732">
    <w:abstractNumId w:val="28"/>
  </w:num>
  <w:num w:numId="11" w16cid:durableId="45104576">
    <w:abstractNumId w:val="9"/>
  </w:num>
  <w:num w:numId="12" w16cid:durableId="730158728">
    <w:abstractNumId w:val="27"/>
  </w:num>
  <w:num w:numId="13" w16cid:durableId="535628692">
    <w:abstractNumId w:val="19"/>
  </w:num>
  <w:num w:numId="14" w16cid:durableId="197207422">
    <w:abstractNumId w:val="31"/>
  </w:num>
  <w:num w:numId="15" w16cid:durableId="177431390">
    <w:abstractNumId w:val="23"/>
  </w:num>
  <w:num w:numId="16" w16cid:durableId="1663048386">
    <w:abstractNumId w:val="15"/>
  </w:num>
  <w:num w:numId="17" w16cid:durableId="1311057781">
    <w:abstractNumId w:val="12"/>
  </w:num>
  <w:num w:numId="18" w16cid:durableId="1112435575">
    <w:abstractNumId w:val="22"/>
  </w:num>
  <w:num w:numId="19" w16cid:durableId="1343819765">
    <w:abstractNumId w:val="26"/>
  </w:num>
  <w:num w:numId="20" w16cid:durableId="1711148116">
    <w:abstractNumId w:val="11"/>
  </w:num>
  <w:num w:numId="21" w16cid:durableId="1504011741">
    <w:abstractNumId w:val="2"/>
  </w:num>
  <w:num w:numId="22" w16cid:durableId="500512295">
    <w:abstractNumId w:val="25"/>
  </w:num>
  <w:num w:numId="23" w16cid:durableId="346177896">
    <w:abstractNumId w:val="24"/>
  </w:num>
  <w:num w:numId="24" w16cid:durableId="200897776">
    <w:abstractNumId w:val="21"/>
  </w:num>
  <w:num w:numId="25" w16cid:durableId="1065840783">
    <w:abstractNumId w:val="30"/>
  </w:num>
  <w:num w:numId="26" w16cid:durableId="1494831570">
    <w:abstractNumId w:val="8"/>
  </w:num>
  <w:num w:numId="27" w16cid:durableId="1942906884">
    <w:abstractNumId w:val="10"/>
  </w:num>
  <w:num w:numId="28" w16cid:durableId="1776829478">
    <w:abstractNumId w:val="13"/>
  </w:num>
  <w:num w:numId="29" w16cid:durableId="10954397">
    <w:abstractNumId w:val="5"/>
  </w:num>
  <w:num w:numId="30" w16cid:durableId="2056807496">
    <w:abstractNumId w:val="3"/>
  </w:num>
  <w:num w:numId="31" w16cid:durableId="1112631942">
    <w:abstractNumId w:val="16"/>
  </w:num>
  <w:num w:numId="32" w16cid:durableId="2000843835">
    <w:abstractNumId w:val="29"/>
  </w:num>
  <w:num w:numId="33" w16cid:durableId="726615016">
    <w:abstractNumId w:val="17"/>
  </w:num>
  <w:num w:numId="34" w16cid:durableId="818234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88uKsEVX2jGl7bj7oUbPpuPXBmX3bKFgbDtgU9bxIOJzgxyAwEiSB4yC9bFA/McgonKX9DzmeBsf1KM79QxBug==" w:salt="wcKJOZMcWojBCmXlgVfF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A3"/>
    <w:rsid w:val="00000552"/>
    <w:rsid w:val="000008D4"/>
    <w:rsid w:val="00001628"/>
    <w:rsid w:val="00001BBF"/>
    <w:rsid w:val="00003DF5"/>
    <w:rsid w:val="000042FC"/>
    <w:rsid w:val="0000432F"/>
    <w:rsid w:val="000045A3"/>
    <w:rsid w:val="00004828"/>
    <w:rsid w:val="00004D77"/>
    <w:rsid w:val="00005422"/>
    <w:rsid w:val="00005644"/>
    <w:rsid w:val="000059DC"/>
    <w:rsid w:val="0000684C"/>
    <w:rsid w:val="00006B3A"/>
    <w:rsid w:val="00006B75"/>
    <w:rsid w:val="00006EA7"/>
    <w:rsid w:val="00007753"/>
    <w:rsid w:val="00007C15"/>
    <w:rsid w:val="00007D11"/>
    <w:rsid w:val="00007FD1"/>
    <w:rsid w:val="000102DA"/>
    <w:rsid w:val="00010567"/>
    <w:rsid w:val="00010802"/>
    <w:rsid w:val="00010989"/>
    <w:rsid w:val="00010D4D"/>
    <w:rsid w:val="00010F2C"/>
    <w:rsid w:val="0001123D"/>
    <w:rsid w:val="000112DA"/>
    <w:rsid w:val="0001133B"/>
    <w:rsid w:val="0001144B"/>
    <w:rsid w:val="00011C2A"/>
    <w:rsid w:val="00012192"/>
    <w:rsid w:val="00012636"/>
    <w:rsid w:val="00012690"/>
    <w:rsid w:val="000128AC"/>
    <w:rsid w:val="0001296B"/>
    <w:rsid w:val="00013352"/>
    <w:rsid w:val="0001338B"/>
    <w:rsid w:val="00013861"/>
    <w:rsid w:val="000139A0"/>
    <w:rsid w:val="00013BA4"/>
    <w:rsid w:val="00013DFF"/>
    <w:rsid w:val="00014B22"/>
    <w:rsid w:val="00014B66"/>
    <w:rsid w:val="00014CA0"/>
    <w:rsid w:val="00014E09"/>
    <w:rsid w:val="000151E7"/>
    <w:rsid w:val="0001598B"/>
    <w:rsid w:val="000162D3"/>
    <w:rsid w:val="000165A3"/>
    <w:rsid w:val="000169C5"/>
    <w:rsid w:val="00017057"/>
    <w:rsid w:val="00020C93"/>
    <w:rsid w:val="00020DB5"/>
    <w:rsid w:val="00020FEE"/>
    <w:rsid w:val="0002112F"/>
    <w:rsid w:val="0002231B"/>
    <w:rsid w:val="00022386"/>
    <w:rsid w:val="00022A6E"/>
    <w:rsid w:val="00022BCC"/>
    <w:rsid w:val="00022C2F"/>
    <w:rsid w:val="00023139"/>
    <w:rsid w:val="00023148"/>
    <w:rsid w:val="00023552"/>
    <w:rsid w:val="000235D3"/>
    <w:rsid w:val="0002387E"/>
    <w:rsid w:val="00023BA7"/>
    <w:rsid w:val="00024117"/>
    <w:rsid w:val="00024BF2"/>
    <w:rsid w:val="00024ED1"/>
    <w:rsid w:val="0002545F"/>
    <w:rsid w:val="000258C8"/>
    <w:rsid w:val="00025DC1"/>
    <w:rsid w:val="000264DD"/>
    <w:rsid w:val="000268C3"/>
    <w:rsid w:val="00027376"/>
    <w:rsid w:val="00027B64"/>
    <w:rsid w:val="00027D68"/>
    <w:rsid w:val="00027E6B"/>
    <w:rsid w:val="00027E94"/>
    <w:rsid w:val="00030647"/>
    <w:rsid w:val="000311AE"/>
    <w:rsid w:val="00031656"/>
    <w:rsid w:val="000316F9"/>
    <w:rsid w:val="0003171B"/>
    <w:rsid w:val="00031A5D"/>
    <w:rsid w:val="000329DA"/>
    <w:rsid w:val="00032FED"/>
    <w:rsid w:val="00034580"/>
    <w:rsid w:val="00034997"/>
    <w:rsid w:val="00035AF7"/>
    <w:rsid w:val="00035E3C"/>
    <w:rsid w:val="00035E85"/>
    <w:rsid w:val="00035FCD"/>
    <w:rsid w:val="00035FF0"/>
    <w:rsid w:val="00036660"/>
    <w:rsid w:val="000369F7"/>
    <w:rsid w:val="00036E02"/>
    <w:rsid w:val="000373A2"/>
    <w:rsid w:val="000373FE"/>
    <w:rsid w:val="00037693"/>
    <w:rsid w:val="00037A6B"/>
    <w:rsid w:val="00037B1F"/>
    <w:rsid w:val="00037C6F"/>
    <w:rsid w:val="00037EDC"/>
    <w:rsid w:val="0004017A"/>
    <w:rsid w:val="000411EE"/>
    <w:rsid w:val="000414C3"/>
    <w:rsid w:val="00041D8A"/>
    <w:rsid w:val="00042279"/>
    <w:rsid w:val="000428FC"/>
    <w:rsid w:val="0004369C"/>
    <w:rsid w:val="00043968"/>
    <w:rsid w:val="00044480"/>
    <w:rsid w:val="00044545"/>
    <w:rsid w:val="00044AB8"/>
    <w:rsid w:val="000452DC"/>
    <w:rsid w:val="000457CC"/>
    <w:rsid w:val="00045A73"/>
    <w:rsid w:val="00046014"/>
    <w:rsid w:val="0004665B"/>
    <w:rsid w:val="00046792"/>
    <w:rsid w:val="00046B24"/>
    <w:rsid w:val="00046B3C"/>
    <w:rsid w:val="00047060"/>
    <w:rsid w:val="0004766E"/>
    <w:rsid w:val="00047A16"/>
    <w:rsid w:val="00047F04"/>
    <w:rsid w:val="0005036B"/>
    <w:rsid w:val="000517B2"/>
    <w:rsid w:val="000518F1"/>
    <w:rsid w:val="00051D64"/>
    <w:rsid w:val="00052E1E"/>
    <w:rsid w:val="00053736"/>
    <w:rsid w:val="00053A1D"/>
    <w:rsid w:val="00053F87"/>
    <w:rsid w:val="00053FBE"/>
    <w:rsid w:val="00053FEF"/>
    <w:rsid w:val="00054A32"/>
    <w:rsid w:val="00055335"/>
    <w:rsid w:val="00055680"/>
    <w:rsid w:val="00055693"/>
    <w:rsid w:val="000556B8"/>
    <w:rsid w:val="00055A14"/>
    <w:rsid w:val="00055D30"/>
    <w:rsid w:val="00055F38"/>
    <w:rsid w:val="0005616B"/>
    <w:rsid w:val="000565D9"/>
    <w:rsid w:val="00056D70"/>
    <w:rsid w:val="00057010"/>
    <w:rsid w:val="0005727B"/>
    <w:rsid w:val="0005732E"/>
    <w:rsid w:val="00057390"/>
    <w:rsid w:val="00057411"/>
    <w:rsid w:val="00057A12"/>
    <w:rsid w:val="000604CD"/>
    <w:rsid w:val="000604CF"/>
    <w:rsid w:val="000612F9"/>
    <w:rsid w:val="00061686"/>
    <w:rsid w:val="0006192B"/>
    <w:rsid w:val="00061E1D"/>
    <w:rsid w:val="00061E6C"/>
    <w:rsid w:val="00062713"/>
    <w:rsid w:val="00063026"/>
    <w:rsid w:val="000630CF"/>
    <w:rsid w:val="0006311A"/>
    <w:rsid w:val="000634E2"/>
    <w:rsid w:val="000635F0"/>
    <w:rsid w:val="00063690"/>
    <w:rsid w:val="00063ACD"/>
    <w:rsid w:val="00063B86"/>
    <w:rsid w:val="00063C99"/>
    <w:rsid w:val="00063F88"/>
    <w:rsid w:val="0006424F"/>
    <w:rsid w:val="00064261"/>
    <w:rsid w:val="0006494B"/>
    <w:rsid w:val="0006494F"/>
    <w:rsid w:val="00064BC1"/>
    <w:rsid w:val="0006521C"/>
    <w:rsid w:val="000654DB"/>
    <w:rsid w:val="00065D6D"/>
    <w:rsid w:val="00065F4A"/>
    <w:rsid w:val="00066285"/>
    <w:rsid w:val="000665D8"/>
    <w:rsid w:val="00066ABB"/>
    <w:rsid w:val="00066B0B"/>
    <w:rsid w:val="00066C3B"/>
    <w:rsid w:val="00066F36"/>
    <w:rsid w:val="00067215"/>
    <w:rsid w:val="000672F7"/>
    <w:rsid w:val="000678C9"/>
    <w:rsid w:val="000678FE"/>
    <w:rsid w:val="00070070"/>
    <w:rsid w:val="000700EC"/>
    <w:rsid w:val="0007017F"/>
    <w:rsid w:val="00071D4C"/>
    <w:rsid w:val="000727CB"/>
    <w:rsid w:val="00073217"/>
    <w:rsid w:val="00073523"/>
    <w:rsid w:val="00073930"/>
    <w:rsid w:val="000739FD"/>
    <w:rsid w:val="00073F70"/>
    <w:rsid w:val="00074497"/>
    <w:rsid w:val="00074819"/>
    <w:rsid w:val="000749C8"/>
    <w:rsid w:val="00074A41"/>
    <w:rsid w:val="00074E8A"/>
    <w:rsid w:val="00075660"/>
    <w:rsid w:val="000756F5"/>
    <w:rsid w:val="00075BC2"/>
    <w:rsid w:val="000762C3"/>
    <w:rsid w:val="00076376"/>
    <w:rsid w:val="00076581"/>
    <w:rsid w:val="00076654"/>
    <w:rsid w:val="000766A6"/>
    <w:rsid w:val="0007672D"/>
    <w:rsid w:val="00077049"/>
    <w:rsid w:val="000773F0"/>
    <w:rsid w:val="0007746E"/>
    <w:rsid w:val="00077740"/>
    <w:rsid w:val="00077C0E"/>
    <w:rsid w:val="0008009B"/>
    <w:rsid w:val="000803C6"/>
    <w:rsid w:val="00080469"/>
    <w:rsid w:val="00080A06"/>
    <w:rsid w:val="00080C4E"/>
    <w:rsid w:val="00080E9D"/>
    <w:rsid w:val="00081A8E"/>
    <w:rsid w:val="00081DD7"/>
    <w:rsid w:val="00081F0C"/>
    <w:rsid w:val="00082A33"/>
    <w:rsid w:val="00082AD9"/>
    <w:rsid w:val="00082B33"/>
    <w:rsid w:val="0008387B"/>
    <w:rsid w:val="00083953"/>
    <w:rsid w:val="000839EF"/>
    <w:rsid w:val="00083A00"/>
    <w:rsid w:val="00083B17"/>
    <w:rsid w:val="00083BD5"/>
    <w:rsid w:val="0008409B"/>
    <w:rsid w:val="0008421A"/>
    <w:rsid w:val="00084332"/>
    <w:rsid w:val="000846DE"/>
    <w:rsid w:val="0008475D"/>
    <w:rsid w:val="00084AC2"/>
    <w:rsid w:val="00084DA7"/>
    <w:rsid w:val="00084E60"/>
    <w:rsid w:val="00084F59"/>
    <w:rsid w:val="00085A62"/>
    <w:rsid w:val="00086038"/>
    <w:rsid w:val="0008616B"/>
    <w:rsid w:val="00086478"/>
    <w:rsid w:val="00086584"/>
    <w:rsid w:val="00087C44"/>
    <w:rsid w:val="00090243"/>
    <w:rsid w:val="0009028E"/>
    <w:rsid w:val="00091401"/>
    <w:rsid w:val="000919E2"/>
    <w:rsid w:val="00091FFB"/>
    <w:rsid w:val="000920B9"/>
    <w:rsid w:val="000923FF"/>
    <w:rsid w:val="0009298F"/>
    <w:rsid w:val="00092F72"/>
    <w:rsid w:val="000932E8"/>
    <w:rsid w:val="000934CD"/>
    <w:rsid w:val="00093703"/>
    <w:rsid w:val="00093796"/>
    <w:rsid w:val="000938F4"/>
    <w:rsid w:val="00093B3E"/>
    <w:rsid w:val="00093E8F"/>
    <w:rsid w:val="00094317"/>
    <w:rsid w:val="000947C9"/>
    <w:rsid w:val="000959FE"/>
    <w:rsid w:val="00096D41"/>
    <w:rsid w:val="00096ED2"/>
    <w:rsid w:val="00096F02"/>
    <w:rsid w:val="00097244"/>
    <w:rsid w:val="0009753C"/>
    <w:rsid w:val="00097A00"/>
    <w:rsid w:val="00097A42"/>
    <w:rsid w:val="00097EB4"/>
    <w:rsid w:val="000A04A5"/>
    <w:rsid w:val="000A06B0"/>
    <w:rsid w:val="000A07F5"/>
    <w:rsid w:val="000A0DCC"/>
    <w:rsid w:val="000A0E3E"/>
    <w:rsid w:val="000A0F21"/>
    <w:rsid w:val="000A0F43"/>
    <w:rsid w:val="000A0FA0"/>
    <w:rsid w:val="000A1175"/>
    <w:rsid w:val="000A180B"/>
    <w:rsid w:val="000A1D65"/>
    <w:rsid w:val="000A1E46"/>
    <w:rsid w:val="000A22B2"/>
    <w:rsid w:val="000A2817"/>
    <w:rsid w:val="000A2969"/>
    <w:rsid w:val="000A328D"/>
    <w:rsid w:val="000A3B4F"/>
    <w:rsid w:val="000A4344"/>
    <w:rsid w:val="000A4727"/>
    <w:rsid w:val="000A479F"/>
    <w:rsid w:val="000A4B37"/>
    <w:rsid w:val="000A4E09"/>
    <w:rsid w:val="000A4FCD"/>
    <w:rsid w:val="000A5191"/>
    <w:rsid w:val="000A55C1"/>
    <w:rsid w:val="000A5CCB"/>
    <w:rsid w:val="000A6771"/>
    <w:rsid w:val="000A6965"/>
    <w:rsid w:val="000A70E6"/>
    <w:rsid w:val="000A7D31"/>
    <w:rsid w:val="000B0330"/>
    <w:rsid w:val="000B04B8"/>
    <w:rsid w:val="000B0B6C"/>
    <w:rsid w:val="000B0BBB"/>
    <w:rsid w:val="000B1170"/>
    <w:rsid w:val="000B12FC"/>
    <w:rsid w:val="000B1630"/>
    <w:rsid w:val="000B198B"/>
    <w:rsid w:val="000B2329"/>
    <w:rsid w:val="000B2600"/>
    <w:rsid w:val="000B26F4"/>
    <w:rsid w:val="000B359F"/>
    <w:rsid w:val="000B4270"/>
    <w:rsid w:val="000B4279"/>
    <w:rsid w:val="000B437F"/>
    <w:rsid w:val="000B48DB"/>
    <w:rsid w:val="000B49D2"/>
    <w:rsid w:val="000B4B3B"/>
    <w:rsid w:val="000B4BED"/>
    <w:rsid w:val="000B52FC"/>
    <w:rsid w:val="000B5658"/>
    <w:rsid w:val="000B5CBE"/>
    <w:rsid w:val="000B5CEE"/>
    <w:rsid w:val="000B6CB7"/>
    <w:rsid w:val="000C0688"/>
    <w:rsid w:val="000C08CD"/>
    <w:rsid w:val="000C093F"/>
    <w:rsid w:val="000C0E24"/>
    <w:rsid w:val="000C0F89"/>
    <w:rsid w:val="000C1743"/>
    <w:rsid w:val="000C17F9"/>
    <w:rsid w:val="000C2286"/>
    <w:rsid w:val="000C2A41"/>
    <w:rsid w:val="000C2AA0"/>
    <w:rsid w:val="000C2ADB"/>
    <w:rsid w:val="000C2F5E"/>
    <w:rsid w:val="000C2F75"/>
    <w:rsid w:val="000C3581"/>
    <w:rsid w:val="000C4550"/>
    <w:rsid w:val="000C54DB"/>
    <w:rsid w:val="000C5848"/>
    <w:rsid w:val="000C5AC4"/>
    <w:rsid w:val="000C5C60"/>
    <w:rsid w:val="000C6213"/>
    <w:rsid w:val="000C639E"/>
    <w:rsid w:val="000C6AD0"/>
    <w:rsid w:val="000C6BB7"/>
    <w:rsid w:val="000C6FB4"/>
    <w:rsid w:val="000C7503"/>
    <w:rsid w:val="000C79B1"/>
    <w:rsid w:val="000C7DCA"/>
    <w:rsid w:val="000D01EF"/>
    <w:rsid w:val="000D0406"/>
    <w:rsid w:val="000D0873"/>
    <w:rsid w:val="000D08AE"/>
    <w:rsid w:val="000D09B1"/>
    <w:rsid w:val="000D0D6D"/>
    <w:rsid w:val="000D0F05"/>
    <w:rsid w:val="000D1077"/>
    <w:rsid w:val="000D16DC"/>
    <w:rsid w:val="000D186F"/>
    <w:rsid w:val="000D1BBB"/>
    <w:rsid w:val="000D23C0"/>
    <w:rsid w:val="000D246D"/>
    <w:rsid w:val="000D259A"/>
    <w:rsid w:val="000D27F3"/>
    <w:rsid w:val="000D3888"/>
    <w:rsid w:val="000D3B15"/>
    <w:rsid w:val="000D46CD"/>
    <w:rsid w:val="000D46E2"/>
    <w:rsid w:val="000D49C2"/>
    <w:rsid w:val="000D4D67"/>
    <w:rsid w:val="000D52C8"/>
    <w:rsid w:val="000D563A"/>
    <w:rsid w:val="000D5889"/>
    <w:rsid w:val="000D5CF7"/>
    <w:rsid w:val="000D5DC6"/>
    <w:rsid w:val="000D60A4"/>
    <w:rsid w:val="000D6345"/>
    <w:rsid w:val="000D6593"/>
    <w:rsid w:val="000D6A48"/>
    <w:rsid w:val="000D6C89"/>
    <w:rsid w:val="000D70D8"/>
    <w:rsid w:val="000D7771"/>
    <w:rsid w:val="000D7EBF"/>
    <w:rsid w:val="000E01DC"/>
    <w:rsid w:val="000E02EA"/>
    <w:rsid w:val="000E0469"/>
    <w:rsid w:val="000E0589"/>
    <w:rsid w:val="000E0C4A"/>
    <w:rsid w:val="000E0FC1"/>
    <w:rsid w:val="000E0FED"/>
    <w:rsid w:val="000E1AAB"/>
    <w:rsid w:val="000E1B58"/>
    <w:rsid w:val="000E22F7"/>
    <w:rsid w:val="000E2488"/>
    <w:rsid w:val="000E285D"/>
    <w:rsid w:val="000E2C7C"/>
    <w:rsid w:val="000E2FAE"/>
    <w:rsid w:val="000E2FFF"/>
    <w:rsid w:val="000E322D"/>
    <w:rsid w:val="000E4004"/>
    <w:rsid w:val="000E40C3"/>
    <w:rsid w:val="000E49B3"/>
    <w:rsid w:val="000E4BB4"/>
    <w:rsid w:val="000E4D9C"/>
    <w:rsid w:val="000E4EB7"/>
    <w:rsid w:val="000E4F02"/>
    <w:rsid w:val="000E524B"/>
    <w:rsid w:val="000E5AA0"/>
    <w:rsid w:val="000E60CD"/>
    <w:rsid w:val="000E67F1"/>
    <w:rsid w:val="000E6D80"/>
    <w:rsid w:val="000E6DE8"/>
    <w:rsid w:val="000E6E6C"/>
    <w:rsid w:val="000E79DA"/>
    <w:rsid w:val="000F0693"/>
    <w:rsid w:val="000F0D30"/>
    <w:rsid w:val="000F0E4E"/>
    <w:rsid w:val="000F0EC4"/>
    <w:rsid w:val="000F1410"/>
    <w:rsid w:val="000F1450"/>
    <w:rsid w:val="000F1557"/>
    <w:rsid w:val="000F1664"/>
    <w:rsid w:val="000F1790"/>
    <w:rsid w:val="000F236D"/>
    <w:rsid w:val="000F293E"/>
    <w:rsid w:val="000F2A62"/>
    <w:rsid w:val="000F2C06"/>
    <w:rsid w:val="000F2E9D"/>
    <w:rsid w:val="000F3347"/>
    <w:rsid w:val="000F3622"/>
    <w:rsid w:val="000F38AE"/>
    <w:rsid w:val="000F449E"/>
    <w:rsid w:val="000F4F8D"/>
    <w:rsid w:val="000F57D1"/>
    <w:rsid w:val="000F5E64"/>
    <w:rsid w:val="000F61C7"/>
    <w:rsid w:val="000F6DA5"/>
    <w:rsid w:val="000F6E04"/>
    <w:rsid w:val="000F7232"/>
    <w:rsid w:val="000F7303"/>
    <w:rsid w:val="000F7C7C"/>
    <w:rsid w:val="000F7EAC"/>
    <w:rsid w:val="00100C06"/>
    <w:rsid w:val="00100EE8"/>
    <w:rsid w:val="00101551"/>
    <w:rsid w:val="00102720"/>
    <w:rsid w:val="00102E52"/>
    <w:rsid w:val="001033F2"/>
    <w:rsid w:val="00103450"/>
    <w:rsid w:val="00103700"/>
    <w:rsid w:val="001042D2"/>
    <w:rsid w:val="00104574"/>
    <w:rsid w:val="00104D2F"/>
    <w:rsid w:val="00105AB7"/>
    <w:rsid w:val="0010627D"/>
    <w:rsid w:val="001062A3"/>
    <w:rsid w:val="001065E5"/>
    <w:rsid w:val="00106DA2"/>
    <w:rsid w:val="00107066"/>
    <w:rsid w:val="001075AA"/>
    <w:rsid w:val="0011013F"/>
    <w:rsid w:val="00110783"/>
    <w:rsid w:val="00110983"/>
    <w:rsid w:val="00110BD4"/>
    <w:rsid w:val="001111F6"/>
    <w:rsid w:val="00111588"/>
    <w:rsid w:val="0011161D"/>
    <w:rsid w:val="0011173A"/>
    <w:rsid w:val="0011284A"/>
    <w:rsid w:val="00112BCB"/>
    <w:rsid w:val="00113B65"/>
    <w:rsid w:val="00114333"/>
    <w:rsid w:val="00114D7E"/>
    <w:rsid w:val="00115A22"/>
    <w:rsid w:val="00115A56"/>
    <w:rsid w:val="00115C0B"/>
    <w:rsid w:val="00116C42"/>
    <w:rsid w:val="00117039"/>
    <w:rsid w:val="001172AE"/>
    <w:rsid w:val="0011738E"/>
    <w:rsid w:val="0011744A"/>
    <w:rsid w:val="001175C6"/>
    <w:rsid w:val="00117D49"/>
    <w:rsid w:val="00120028"/>
    <w:rsid w:val="00120443"/>
    <w:rsid w:val="001206B3"/>
    <w:rsid w:val="0012082E"/>
    <w:rsid w:val="00120B5B"/>
    <w:rsid w:val="00121164"/>
    <w:rsid w:val="00121476"/>
    <w:rsid w:val="00122144"/>
    <w:rsid w:val="001224CE"/>
    <w:rsid w:val="001225D8"/>
    <w:rsid w:val="00122CEF"/>
    <w:rsid w:val="00122FB9"/>
    <w:rsid w:val="0012308A"/>
    <w:rsid w:val="001234F6"/>
    <w:rsid w:val="001237A6"/>
    <w:rsid w:val="0012396F"/>
    <w:rsid w:val="00123B86"/>
    <w:rsid w:val="00123DCC"/>
    <w:rsid w:val="00124009"/>
    <w:rsid w:val="00124234"/>
    <w:rsid w:val="001243EE"/>
    <w:rsid w:val="00124759"/>
    <w:rsid w:val="0012509E"/>
    <w:rsid w:val="0012524D"/>
    <w:rsid w:val="001252DE"/>
    <w:rsid w:val="001256A4"/>
    <w:rsid w:val="001256AB"/>
    <w:rsid w:val="00125FA0"/>
    <w:rsid w:val="0012601A"/>
    <w:rsid w:val="001261E4"/>
    <w:rsid w:val="00126363"/>
    <w:rsid w:val="0012654C"/>
    <w:rsid w:val="00126858"/>
    <w:rsid w:val="00126E0D"/>
    <w:rsid w:val="001273A1"/>
    <w:rsid w:val="001276A0"/>
    <w:rsid w:val="00127F4B"/>
    <w:rsid w:val="00127FCB"/>
    <w:rsid w:val="001300F5"/>
    <w:rsid w:val="00130213"/>
    <w:rsid w:val="001303BF"/>
    <w:rsid w:val="00131874"/>
    <w:rsid w:val="001319A2"/>
    <w:rsid w:val="00131BA3"/>
    <w:rsid w:val="00132714"/>
    <w:rsid w:val="0013271E"/>
    <w:rsid w:val="00132805"/>
    <w:rsid w:val="00132C0A"/>
    <w:rsid w:val="00133170"/>
    <w:rsid w:val="001332E2"/>
    <w:rsid w:val="001333F6"/>
    <w:rsid w:val="001334CF"/>
    <w:rsid w:val="001339CB"/>
    <w:rsid w:val="001339EA"/>
    <w:rsid w:val="00133A9B"/>
    <w:rsid w:val="00133E5E"/>
    <w:rsid w:val="00133E78"/>
    <w:rsid w:val="00134320"/>
    <w:rsid w:val="00134784"/>
    <w:rsid w:val="00134FE0"/>
    <w:rsid w:val="00135265"/>
    <w:rsid w:val="00135E1C"/>
    <w:rsid w:val="00135EA3"/>
    <w:rsid w:val="00135FA2"/>
    <w:rsid w:val="00136677"/>
    <w:rsid w:val="00136D76"/>
    <w:rsid w:val="00136FC9"/>
    <w:rsid w:val="0013707A"/>
    <w:rsid w:val="00137DBB"/>
    <w:rsid w:val="00137F76"/>
    <w:rsid w:val="00137FCC"/>
    <w:rsid w:val="00137FF2"/>
    <w:rsid w:val="00140021"/>
    <w:rsid w:val="0014013A"/>
    <w:rsid w:val="00140B92"/>
    <w:rsid w:val="00141113"/>
    <w:rsid w:val="0014124A"/>
    <w:rsid w:val="001412BF"/>
    <w:rsid w:val="001413A0"/>
    <w:rsid w:val="00141B41"/>
    <w:rsid w:val="00141C2F"/>
    <w:rsid w:val="00141EC9"/>
    <w:rsid w:val="001425B3"/>
    <w:rsid w:val="00142608"/>
    <w:rsid w:val="00142830"/>
    <w:rsid w:val="001429F4"/>
    <w:rsid w:val="00142E89"/>
    <w:rsid w:val="00143701"/>
    <w:rsid w:val="00143905"/>
    <w:rsid w:val="00144555"/>
    <w:rsid w:val="0014470B"/>
    <w:rsid w:val="00144C38"/>
    <w:rsid w:val="00144F4C"/>
    <w:rsid w:val="0014507E"/>
    <w:rsid w:val="001451B1"/>
    <w:rsid w:val="00145674"/>
    <w:rsid w:val="0014590C"/>
    <w:rsid w:val="00145DB0"/>
    <w:rsid w:val="00145FDE"/>
    <w:rsid w:val="0014619A"/>
    <w:rsid w:val="00146264"/>
    <w:rsid w:val="0014656C"/>
    <w:rsid w:val="00146647"/>
    <w:rsid w:val="001475D5"/>
    <w:rsid w:val="00147705"/>
    <w:rsid w:val="00147BBE"/>
    <w:rsid w:val="00147C2B"/>
    <w:rsid w:val="00147DA3"/>
    <w:rsid w:val="00147F40"/>
    <w:rsid w:val="00147F9F"/>
    <w:rsid w:val="0015004D"/>
    <w:rsid w:val="0015023F"/>
    <w:rsid w:val="00150635"/>
    <w:rsid w:val="00150816"/>
    <w:rsid w:val="00150D07"/>
    <w:rsid w:val="00151348"/>
    <w:rsid w:val="0015195B"/>
    <w:rsid w:val="00151A0C"/>
    <w:rsid w:val="00151AE8"/>
    <w:rsid w:val="00152675"/>
    <w:rsid w:val="0015279C"/>
    <w:rsid w:val="00152AB6"/>
    <w:rsid w:val="0015300A"/>
    <w:rsid w:val="001534DC"/>
    <w:rsid w:val="00153BC7"/>
    <w:rsid w:val="001541C8"/>
    <w:rsid w:val="00154B35"/>
    <w:rsid w:val="00154D9C"/>
    <w:rsid w:val="001552F4"/>
    <w:rsid w:val="001553C2"/>
    <w:rsid w:val="001556C8"/>
    <w:rsid w:val="001556E4"/>
    <w:rsid w:val="00155B03"/>
    <w:rsid w:val="00155EB3"/>
    <w:rsid w:val="00155F41"/>
    <w:rsid w:val="00156209"/>
    <w:rsid w:val="00156E10"/>
    <w:rsid w:val="00156F3E"/>
    <w:rsid w:val="0015788F"/>
    <w:rsid w:val="00157BBB"/>
    <w:rsid w:val="00157C55"/>
    <w:rsid w:val="0016114B"/>
    <w:rsid w:val="001624DD"/>
    <w:rsid w:val="00162872"/>
    <w:rsid w:val="001628E4"/>
    <w:rsid w:val="00162F81"/>
    <w:rsid w:val="00163439"/>
    <w:rsid w:val="001635C1"/>
    <w:rsid w:val="00163ADE"/>
    <w:rsid w:val="00163DC4"/>
    <w:rsid w:val="001645E3"/>
    <w:rsid w:val="001647B8"/>
    <w:rsid w:val="001648B4"/>
    <w:rsid w:val="001649B7"/>
    <w:rsid w:val="00164B31"/>
    <w:rsid w:val="00164E0D"/>
    <w:rsid w:val="00164F06"/>
    <w:rsid w:val="001653F5"/>
    <w:rsid w:val="00165581"/>
    <w:rsid w:val="001655EF"/>
    <w:rsid w:val="00165979"/>
    <w:rsid w:val="001659BF"/>
    <w:rsid w:val="00166293"/>
    <w:rsid w:val="0016670D"/>
    <w:rsid w:val="00166ED1"/>
    <w:rsid w:val="001679B5"/>
    <w:rsid w:val="001709AA"/>
    <w:rsid w:val="00170EAC"/>
    <w:rsid w:val="00171BF7"/>
    <w:rsid w:val="00171CAD"/>
    <w:rsid w:val="00171FA9"/>
    <w:rsid w:val="00172243"/>
    <w:rsid w:val="001723BE"/>
    <w:rsid w:val="00172855"/>
    <w:rsid w:val="00172A7D"/>
    <w:rsid w:val="00172AF4"/>
    <w:rsid w:val="00172FF1"/>
    <w:rsid w:val="00173168"/>
    <w:rsid w:val="001737B0"/>
    <w:rsid w:val="00173C07"/>
    <w:rsid w:val="00173E3B"/>
    <w:rsid w:val="001741FE"/>
    <w:rsid w:val="001743B5"/>
    <w:rsid w:val="0017497C"/>
    <w:rsid w:val="001750DB"/>
    <w:rsid w:val="00175537"/>
    <w:rsid w:val="001757B6"/>
    <w:rsid w:val="00175CD3"/>
    <w:rsid w:val="00175D79"/>
    <w:rsid w:val="00175E6E"/>
    <w:rsid w:val="001761E6"/>
    <w:rsid w:val="0017668F"/>
    <w:rsid w:val="001767E8"/>
    <w:rsid w:val="0017682D"/>
    <w:rsid w:val="00176B08"/>
    <w:rsid w:val="0017725D"/>
    <w:rsid w:val="00177294"/>
    <w:rsid w:val="00177E7C"/>
    <w:rsid w:val="00177ED3"/>
    <w:rsid w:val="0018073C"/>
    <w:rsid w:val="00180928"/>
    <w:rsid w:val="00180EFA"/>
    <w:rsid w:val="00181E76"/>
    <w:rsid w:val="00182309"/>
    <w:rsid w:val="001824B4"/>
    <w:rsid w:val="001833E9"/>
    <w:rsid w:val="00183C16"/>
    <w:rsid w:val="001843FA"/>
    <w:rsid w:val="001849A9"/>
    <w:rsid w:val="00184DC5"/>
    <w:rsid w:val="00185802"/>
    <w:rsid w:val="0018581E"/>
    <w:rsid w:val="001859CA"/>
    <w:rsid w:val="00185A0C"/>
    <w:rsid w:val="00185B3B"/>
    <w:rsid w:val="00185D28"/>
    <w:rsid w:val="00185FD2"/>
    <w:rsid w:val="00185FD5"/>
    <w:rsid w:val="001868CD"/>
    <w:rsid w:val="00186BA0"/>
    <w:rsid w:val="0018731D"/>
    <w:rsid w:val="0018785A"/>
    <w:rsid w:val="00187A8D"/>
    <w:rsid w:val="00187ECA"/>
    <w:rsid w:val="00187FA9"/>
    <w:rsid w:val="00190319"/>
    <w:rsid w:val="001904F4"/>
    <w:rsid w:val="001906EA"/>
    <w:rsid w:val="00190D36"/>
    <w:rsid w:val="00191142"/>
    <w:rsid w:val="001921A4"/>
    <w:rsid w:val="0019233D"/>
    <w:rsid w:val="0019250A"/>
    <w:rsid w:val="001926B4"/>
    <w:rsid w:val="001928B4"/>
    <w:rsid w:val="00192E4C"/>
    <w:rsid w:val="00193397"/>
    <w:rsid w:val="0019340F"/>
    <w:rsid w:val="001938F8"/>
    <w:rsid w:val="00193D26"/>
    <w:rsid w:val="00194370"/>
    <w:rsid w:val="00194617"/>
    <w:rsid w:val="00194AFD"/>
    <w:rsid w:val="00194F53"/>
    <w:rsid w:val="00195016"/>
    <w:rsid w:val="00195136"/>
    <w:rsid w:val="00195169"/>
    <w:rsid w:val="001953AB"/>
    <w:rsid w:val="00195A51"/>
    <w:rsid w:val="00195CF5"/>
    <w:rsid w:val="00196039"/>
    <w:rsid w:val="00196494"/>
    <w:rsid w:val="00196B66"/>
    <w:rsid w:val="00196D72"/>
    <w:rsid w:val="00196EEE"/>
    <w:rsid w:val="001971B7"/>
    <w:rsid w:val="00197C32"/>
    <w:rsid w:val="001A015D"/>
    <w:rsid w:val="001A0463"/>
    <w:rsid w:val="001A0A3C"/>
    <w:rsid w:val="001A0CDB"/>
    <w:rsid w:val="001A0F0D"/>
    <w:rsid w:val="001A123E"/>
    <w:rsid w:val="001A195F"/>
    <w:rsid w:val="001A1990"/>
    <w:rsid w:val="001A19BD"/>
    <w:rsid w:val="001A1FE8"/>
    <w:rsid w:val="001A2493"/>
    <w:rsid w:val="001A251C"/>
    <w:rsid w:val="001A271A"/>
    <w:rsid w:val="001A28B8"/>
    <w:rsid w:val="001A298B"/>
    <w:rsid w:val="001A2D8D"/>
    <w:rsid w:val="001A2DB4"/>
    <w:rsid w:val="001A2E4C"/>
    <w:rsid w:val="001A3162"/>
    <w:rsid w:val="001A3306"/>
    <w:rsid w:val="001A37E6"/>
    <w:rsid w:val="001A3AB5"/>
    <w:rsid w:val="001A42AD"/>
    <w:rsid w:val="001A49A5"/>
    <w:rsid w:val="001A4D4F"/>
    <w:rsid w:val="001A595E"/>
    <w:rsid w:val="001A61E9"/>
    <w:rsid w:val="001A6225"/>
    <w:rsid w:val="001A66C5"/>
    <w:rsid w:val="001A6DDF"/>
    <w:rsid w:val="001A71CB"/>
    <w:rsid w:val="001A72ED"/>
    <w:rsid w:val="001A7753"/>
    <w:rsid w:val="001A7DC0"/>
    <w:rsid w:val="001A7EA6"/>
    <w:rsid w:val="001B0CBD"/>
    <w:rsid w:val="001B0D64"/>
    <w:rsid w:val="001B0E6B"/>
    <w:rsid w:val="001B1898"/>
    <w:rsid w:val="001B1DCB"/>
    <w:rsid w:val="001B221A"/>
    <w:rsid w:val="001B250F"/>
    <w:rsid w:val="001B2589"/>
    <w:rsid w:val="001B2B29"/>
    <w:rsid w:val="001B30BC"/>
    <w:rsid w:val="001B34D5"/>
    <w:rsid w:val="001B3530"/>
    <w:rsid w:val="001B381D"/>
    <w:rsid w:val="001B3A4E"/>
    <w:rsid w:val="001B3FD6"/>
    <w:rsid w:val="001B43CD"/>
    <w:rsid w:val="001B4587"/>
    <w:rsid w:val="001B47F3"/>
    <w:rsid w:val="001B4928"/>
    <w:rsid w:val="001B4981"/>
    <w:rsid w:val="001B50EF"/>
    <w:rsid w:val="001B52ED"/>
    <w:rsid w:val="001B53F8"/>
    <w:rsid w:val="001B5933"/>
    <w:rsid w:val="001B5DE1"/>
    <w:rsid w:val="001B60F8"/>
    <w:rsid w:val="001B668B"/>
    <w:rsid w:val="001B7192"/>
    <w:rsid w:val="001B7375"/>
    <w:rsid w:val="001B753C"/>
    <w:rsid w:val="001B7A88"/>
    <w:rsid w:val="001C008C"/>
    <w:rsid w:val="001C00E6"/>
    <w:rsid w:val="001C076E"/>
    <w:rsid w:val="001C09F5"/>
    <w:rsid w:val="001C0A1E"/>
    <w:rsid w:val="001C0F24"/>
    <w:rsid w:val="001C11DE"/>
    <w:rsid w:val="001C12D1"/>
    <w:rsid w:val="001C18E1"/>
    <w:rsid w:val="001C1C1E"/>
    <w:rsid w:val="001C1D1F"/>
    <w:rsid w:val="001C201B"/>
    <w:rsid w:val="001C212A"/>
    <w:rsid w:val="001C3533"/>
    <w:rsid w:val="001C3A28"/>
    <w:rsid w:val="001C3CC3"/>
    <w:rsid w:val="001C3D84"/>
    <w:rsid w:val="001C3E3D"/>
    <w:rsid w:val="001C3EAE"/>
    <w:rsid w:val="001C3FE4"/>
    <w:rsid w:val="001C42DE"/>
    <w:rsid w:val="001C43D3"/>
    <w:rsid w:val="001C4402"/>
    <w:rsid w:val="001C4BAB"/>
    <w:rsid w:val="001C4C9F"/>
    <w:rsid w:val="001C4D7D"/>
    <w:rsid w:val="001C4FE5"/>
    <w:rsid w:val="001C4FFF"/>
    <w:rsid w:val="001C516A"/>
    <w:rsid w:val="001C526B"/>
    <w:rsid w:val="001C52FE"/>
    <w:rsid w:val="001C5818"/>
    <w:rsid w:val="001C5B0A"/>
    <w:rsid w:val="001C5C08"/>
    <w:rsid w:val="001C6383"/>
    <w:rsid w:val="001C6898"/>
    <w:rsid w:val="001C7417"/>
    <w:rsid w:val="001C7504"/>
    <w:rsid w:val="001C7771"/>
    <w:rsid w:val="001C7AC4"/>
    <w:rsid w:val="001C7E87"/>
    <w:rsid w:val="001D046D"/>
    <w:rsid w:val="001D04A6"/>
    <w:rsid w:val="001D0589"/>
    <w:rsid w:val="001D096F"/>
    <w:rsid w:val="001D0A2D"/>
    <w:rsid w:val="001D0C08"/>
    <w:rsid w:val="001D0E00"/>
    <w:rsid w:val="001D1067"/>
    <w:rsid w:val="001D1317"/>
    <w:rsid w:val="001D2CA5"/>
    <w:rsid w:val="001D3001"/>
    <w:rsid w:val="001D35D5"/>
    <w:rsid w:val="001D3B8C"/>
    <w:rsid w:val="001D4548"/>
    <w:rsid w:val="001D49EB"/>
    <w:rsid w:val="001D4A15"/>
    <w:rsid w:val="001D4BC6"/>
    <w:rsid w:val="001D527E"/>
    <w:rsid w:val="001D5631"/>
    <w:rsid w:val="001D58AD"/>
    <w:rsid w:val="001D5DC4"/>
    <w:rsid w:val="001D6DF1"/>
    <w:rsid w:val="001D6E7C"/>
    <w:rsid w:val="001D71E7"/>
    <w:rsid w:val="001D7306"/>
    <w:rsid w:val="001D731B"/>
    <w:rsid w:val="001D76E2"/>
    <w:rsid w:val="001D7789"/>
    <w:rsid w:val="001D77BF"/>
    <w:rsid w:val="001D789B"/>
    <w:rsid w:val="001D7910"/>
    <w:rsid w:val="001D797D"/>
    <w:rsid w:val="001E07AC"/>
    <w:rsid w:val="001E0B84"/>
    <w:rsid w:val="001E0F7D"/>
    <w:rsid w:val="001E1110"/>
    <w:rsid w:val="001E15C1"/>
    <w:rsid w:val="001E19A9"/>
    <w:rsid w:val="001E1BF3"/>
    <w:rsid w:val="001E2178"/>
    <w:rsid w:val="001E22E5"/>
    <w:rsid w:val="001E26FC"/>
    <w:rsid w:val="001E2CEB"/>
    <w:rsid w:val="001E3497"/>
    <w:rsid w:val="001E385E"/>
    <w:rsid w:val="001E40D0"/>
    <w:rsid w:val="001E45FC"/>
    <w:rsid w:val="001E4E51"/>
    <w:rsid w:val="001E5264"/>
    <w:rsid w:val="001E577D"/>
    <w:rsid w:val="001E5A7F"/>
    <w:rsid w:val="001E5E3B"/>
    <w:rsid w:val="001E60AE"/>
    <w:rsid w:val="001E6524"/>
    <w:rsid w:val="001E669E"/>
    <w:rsid w:val="001E6FA0"/>
    <w:rsid w:val="001E701E"/>
    <w:rsid w:val="001E79DA"/>
    <w:rsid w:val="001E7CC3"/>
    <w:rsid w:val="001E7D8E"/>
    <w:rsid w:val="001F0CB0"/>
    <w:rsid w:val="001F1698"/>
    <w:rsid w:val="001F1C0B"/>
    <w:rsid w:val="001F2038"/>
    <w:rsid w:val="001F233F"/>
    <w:rsid w:val="001F27E9"/>
    <w:rsid w:val="001F3086"/>
    <w:rsid w:val="001F32B8"/>
    <w:rsid w:val="001F39D7"/>
    <w:rsid w:val="001F3BBD"/>
    <w:rsid w:val="001F3BC8"/>
    <w:rsid w:val="001F47DC"/>
    <w:rsid w:val="001F4E97"/>
    <w:rsid w:val="001F55F9"/>
    <w:rsid w:val="001F5775"/>
    <w:rsid w:val="001F5E5A"/>
    <w:rsid w:val="001F62B7"/>
    <w:rsid w:val="001F66E1"/>
    <w:rsid w:val="001F6B14"/>
    <w:rsid w:val="001F76B6"/>
    <w:rsid w:val="001F7AFC"/>
    <w:rsid w:val="0020022A"/>
    <w:rsid w:val="002006B9"/>
    <w:rsid w:val="002007AF"/>
    <w:rsid w:val="0020118F"/>
    <w:rsid w:val="00201A2F"/>
    <w:rsid w:val="00201AB2"/>
    <w:rsid w:val="002020BF"/>
    <w:rsid w:val="00202A90"/>
    <w:rsid w:val="002030A7"/>
    <w:rsid w:val="002033F4"/>
    <w:rsid w:val="0020358C"/>
    <w:rsid w:val="00203E5A"/>
    <w:rsid w:val="0020401A"/>
    <w:rsid w:val="0020480B"/>
    <w:rsid w:val="0020508E"/>
    <w:rsid w:val="00205259"/>
    <w:rsid w:val="00205798"/>
    <w:rsid w:val="00205F2A"/>
    <w:rsid w:val="0020732D"/>
    <w:rsid w:val="00207E5E"/>
    <w:rsid w:val="00210038"/>
    <w:rsid w:val="00210454"/>
    <w:rsid w:val="002105A9"/>
    <w:rsid w:val="00210A65"/>
    <w:rsid w:val="00210D77"/>
    <w:rsid w:val="0021150D"/>
    <w:rsid w:val="00211D53"/>
    <w:rsid w:val="00212D00"/>
    <w:rsid w:val="00213A60"/>
    <w:rsid w:val="00213AF9"/>
    <w:rsid w:val="0021434C"/>
    <w:rsid w:val="0021437C"/>
    <w:rsid w:val="00214472"/>
    <w:rsid w:val="00214972"/>
    <w:rsid w:val="002159AE"/>
    <w:rsid w:val="00215E05"/>
    <w:rsid w:val="00216151"/>
    <w:rsid w:val="00216154"/>
    <w:rsid w:val="00216609"/>
    <w:rsid w:val="00216716"/>
    <w:rsid w:val="00216732"/>
    <w:rsid w:val="0021676A"/>
    <w:rsid w:val="002167E6"/>
    <w:rsid w:val="00216CF2"/>
    <w:rsid w:val="002179E3"/>
    <w:rsid w:val="0022007E"/>
    <w:rsid w:val="00220584"/>
    <w:rsid w:val="002207FF"/>
    <w:rsid w:val="00220CB6"/>
    <w:rsid w:val="00220E64"/>
    <w:rsid w:val="00221D15"/>
    <w:rsid w:val="00221D88"/>
    <w:rsid w:val="00223286"/>
    <w:rsid w:val="002242B7"/>
    <w:rsid w:val="00224459"/>
    <w:rsid w:val="00224BEF"/>
    <w:rsid w:val="00224FDC"/>
    <w:rsid w:val="002255A4"/>
    <w:rsid w:val="002257D0"/>
    <w:rsid w:val="00225F3E"/>
    <w:rsid w:val="002261B5"/>
    <w:rsid w:val="0022658B"/>
    <w:rsid w:val="0022708D"/>
    <w:rsid w:val="0022744C"/>
    <w:rsid w:val="0022756E"/>
    <w:rsid w:val="00227948"/>
    <w:rsid w:val="00227E8F"/>
    <w:rsid w:val="00230027"/>
    <w:rsid w:val="00230214"/>
    <w:rsid w:val="002306EF"/>
    <w:rsid w:val="00230D8E"/>
    <w:rsid w:val="00231190"/>
    <w:rsid w:val="002314B9"/>
    <w:rsid w:val="00231975"/>
    <w:rsid w:val="00231B43"/>
    <w:rsid w:val="0023212C"/>
    <w:rsid w:val="002329A0"/>
    <w:rsid w:val="0023307A"/>
    <w:rsid w:val="0023413D"/>
    <w:rsid w:val="002341F3"/>
    <w:rsid w:val="002345B7"/>
    <w:rsid w:val="00234BC4"/>
    <w:rsid w:val="00234D2B"/>
    <w:rsid w:val="00235270"/>
    <w:rsid w:val="00235340"/>
    <w:rsid w:val="00235479"/>
    <w:rsid w:val="002356CA"/>
    <w:rsid w:val="00235FD6"/>
    <w:rsid w:val="00236CC7"/>
    <w:rsid w:val="00236F9E"/>
    <w:rsid w:val="002378BA"/>
    <w:rsid w:val="002403CB"/>
    <w:rsid w:val="00240AC6"/>
    <w:rsid w:val="0024237C"/>
    <w:rsid w:val="0024294A"/>
    <w:rsid w:val="00243594"/>
    <w:rsid w:val="002435DA"/>
    <w:rsid w:val="00243F50"/>
    <w:rsid w:val="00244218"/>
    <w:rsid w:val="00244504"/>
    <w:rsid w:val="00244AD8"/>
    <w:rsid w:val="00244D95"/>
    <w:rsid w:val="00245695"/>
    <w:rsid w:val="00245862"/>
    <w:rsid w:val="00245F94"/>
    <w:rsid w:val="002461F3"/>
    <w:rsid w:val="002463DB"/>
    <w:rsid w:val="00246DAD"/>
    <w:rsid w:val="00246E83"/>
    <w:rsid w:val="0024703A"/>
    <w:rsid w:val="00247071"/>
    <w:rsid w:val="002474C2"/>
    <w:rsid w:val="00247575"/>
    <w:rsid w:val="002476B6"/>
    <w:rsid w:val="00247A53"/>
    <w:rsid w:val="00247AA3"/>
    <w:rsid w:val="00247F69"/>
    <w:rsid w:val="00250365"/>
    <w:rsid w:val="00250370"/>
    <w:rsid w:val="002508E6"/>
    <w:rsid w:val="00250D92"/>
    <w:rsid w:val="00250DE3"/>
    <w:rsid w:val="00250E19"/>
    <w:rsid w:val="0025106C"/>
    <w:rsid w:val="0025150C"/>
    <w:rsid w:val="00251EF7"/>
    <w:rsid w:val="00252299"/>
    <w:rsid w:val="0025275A"/>
    <w:rsid w:val="00252D96"/>
    <w:rsid w:val="0025306F"/>
    <w:rsid w:val="002535CC"/>
    <w:rsid w:val="0025381E"/>
    <w:rsid w:val="002538CE"/>
    <w:rsid w:val="00253912"/>
    <w:rsid w:val="002539F1"/>
    <w:rsid w:val="00253A09"/>
    <w:rsid w:val="00253B5E"/>
    <w:rsid w:val="00253DD9"/>
    <w:rsid w:val="0025461F"/>
    <w:rsid w:val="00254649"/>
    <w:rsid w:val="00254D18"/>
    <w:rsid w:val="00254F4D"/>
    <w:rsid w:val="00255117"/>
    <w:rsid w:val="00255952"/>
    <w:rsid w:val="00255A1F"/>
    <w:rsid w:val="00256017"/>
    <w:rsid w:val="002565B0"/>
    <w:rsid w:val="002568EF"/>
    <w:rsid w:val="00256C9E"/>
    <w:rsid w:val="002576CE"/>
    <w:rsid w:val="002579C9"/>
    <w:rsid w:val="00257CCB"/>
    <w:rsid w:val="00257F6C"/>
    <w:rsid w:val="0026081C"/>
    <w:rsid w:val="0026086C"/>
    <w:rsid w:val="00260D26"/>
    <w:rsid w:val="00260FB7"/>
    <w:rsid w:val="00261513"/>
    <w:rsid w:val="0026172A"/>
    <w:rsid w:val="002618E1"/>
    <w:rsid w:val="00261F16"/>
    <w:rsid w:val="002625C2"/>
    <w:rsid w:val="00262A9A"/>
    <w:rsid w:val="0026301B"/>
    <w:rsid w:val="0026337E"/>
    <w:rsid w:val="00263724"/>
    <w:rsid w:val="00263A07"/>
    <w:rsid w:val="00263C77"/>
    <w:rsid w:val="00263D32"/>
    <w:rsid w:val="00263DD5"/>
    <w:rsid w:val="002649ED"/>
    <w:rsid w:val="00264F2D"/>
    <w:rsid w:val="002655B9"/>
    <w:rsid w:val="00265633"/>
    <w:rsid w:val="002658E7"/>
    <w:rsid w:val="002659BC"/>
    <w:rsid w:val="00265D67"/>
    <w:rsid w:val="00265E9F"/>
    <w:rsid w:val="00265FB7"/>
    <w:rsid w:val="00266251"/>
    <w:rsid w:val="0026663E"/>
    <w:rsid w:val="002668C8"/>
    <w:rsid w:val="00270271"/>
    <w:rsid w:val="002707AF"/>
    <w:rsid w:val="00270A1D"/>
    <w:rsid w:val="00271D4C"/>
    <w:rsid w:val="00272002"/>
    <w:rsid w:val="00272090"/>
    <w:rsid w:val="002721D2"/>
    <w:rsid w:val="0027228B"/>
    <w:rsid w:val="0027230F"/>
    <w:rsid w:val="002728E5"/>
    <w:rsid w:val="00272951"/>
    <w:rsid w:val="00273553"/>
    <w:rsid w:val="0027414D"/>
    <w:rsid w:val="002748A5"/>
    <w:rsid w:val="002749B9"/>
    <w:rsid w:val="00274B30"/>
    <w:rsid w:val="00274D2E"/>
    <w:rsid w:val="002752B3"/>
    <w:rsid w:val="002754CF"/>
    <w:rsid w:val="002759B8"/>
    <w:rsid w:val="00275E80"/>
    <w:rsid w:val="00276649"/>
    <w:rsid w:val="002767F5"/>
    <w:rsid w:val="00276A47"/>
    <w:rsid w:val="00276A6B"/>
    <w:rsid w:val="00276E97"/>
    <w:rsid w:val="0027710E"/>
    <w:rsid w:val="0027740A"/>
    <w:rsid w:val="002777F9"/>
    <w:rsid w:val="00277A28"/>
    <w:rsid w:val="00277AF4"/>
    <w:rsid w:val="00277BB7"/>
    <w:rsid w:val="002806B7"/>
    <w:rsid w:val="00280991"/>
    <w:rsid w:val="00280C13"/>
    <w:rsid w:val="0028199E"/>
    <w:rsid w:val="00281C63"/>
    <w:rsid w:val="00282578"/>
    <w:rsid w:val="0028294E"/>
    <w:rsid w:val="00282BB6"/>
    <w:rsid w:val="00282BD5"/>
    <w:rsid w:val="00283551"/>
    <w:rsid w:val="00283820"/>
    <w:rsid w:val="00283914"/>
    <w:rsid w:val="00283C6F"/>
    <w:rsid w:val="00283D18"/>
    <w:rsid w:val="00283E7B"/>
    <w:rsid w:val="00284AEB"/>
    <w:rsid w:val="00284F26"/>
    <w:rsid w:val="00285296"/>
    <w:rsid w:val="0028532E"/>
    <w:rsid w:val="00285661"/>
    <w:rsid w:val="00285816"/>
    <w:rsid w:val="0028599F"/>
    <w:rsid w:val="00285CF5"/>
    <w:rsid w:val="00285FC0"/>
    <w:rsid w:val="002861C9"/>
    <w:rsid w:val="002864E1"/>
    <w:rsid w:val="00286C6B"/>
    <w:rsid w:val="0028721D"/>
    <w:rsid w:val="0028733C"/>
    <w:rsid w:val="00287485"/>
    <w:rsid w:val="00287B75"/>
    <w:rsid w:val="00287DEE"/>
    <w:rsid w:val="002901F7"/>
    <w:rsid w:val="00290BC4"/>
    <w:rsid w:val="002918F5"/>
    <w:rsid w:val="00291C47"/>
    <w:rsid w:val="00291E33"/>
    <w:rsid w:val="00291EFB"/>
    <w:rsid w:val="00291F37"/>
    <w:rsid w:val="00292631"/>
    <w:rsid w:val="00292766"/>
    <w:rsid w:val="00292C7C"/>
    <w:rsid w:val="00292E34"/>
    <w:rsid w:val="00293E45"/>
    <w:rsid w:val="002941B3"/>
    <w:rsid w:val="00294495"/>
    <w:rsid w:val="00294688"/>
    <w:rsid w:val="00294E92"/>
    <w:rsid w:val="00294F06"/>
    <w:rsid w:val="00295D03"/>
    <w:rsid w:val="002960D4"/>
    <w:rsid w:val="00296492"/>
    <w:rsid w:val="002964C3"/>
    <w:rsid w:val="00296768"/>
    <w:rsid w:val="002968D7"/>
    <w:rsid w:val="0029722C"/>
    <w:rsid w:val="00297C62"/>
    <w:rsid w:val="00297DE2"/>
    <w:rsid w:val="00297EDB"/>
    <w:rsid w:val="002A0625"/>
    <w:rsid w:val="002A0940"/>
    <w:rsid w:val="002A113F"/>
    <w:rsid w:val="002A1A13"/>
    <w:rsid w:val="002A1F8C"/>
    <w:rsid w:val="002A21C9"/>
    <w:rsid w:val="002A2A22"/>
    <w:rsid w:val="002A2FDE"/>
    <w:rsid w:val="002A361E"/>
    <w:rsid w:val="002A36B2"/>
    <w:rsid w:val="002A3784"/>
    <w:rsid w:val="002A390C"/>
    <w:rsid w:val="002A4391"/>
    <w:rsid w:val="002A468D"/>
    <w:rsid w:val="002A5176"/>
    <w:rsid w:val="002A5DB5"/>
    <w:rsid w:val="002A5FA2"/>
    <w:rsid w:val="002B0145"/>
    <w:rsid w:val="002B0188"/>
    <w:rsid w:val="002B0767"/>
    <w:rsid w:val="002B0AD5"/>
    <w:rsid w:val="002B0C9C"/>
    <w:rsid w:val="002B0D48"/>
    <w:rsid w:val="002B0DDA"/>
    <w:rsid w:val="002B0FE5"/>
    <w:rsid w:val="002B18F4"/>
    <w:rsid w:val="002B1AA2"/>
    <w:rsid w:val="002B1BA1"/>
    <w:rsid w:val="002B1CD1"/>
    <w:rsid w:val="002B1DE4"/>
    <w:rsid w:val="002B1F06"/>
    <w:rsid w:val="002B27E7"/>
    <w:rsid w:val="002B30AF"/>
    <w:rsid w:val="002B3308"/>
    <w:rsid w:val="002B33A0"/>
    <w:rsid w:val="002B3BF0"/>
    <w:rsid w:val="002B3F80"/>
    <w:rsid w:val="002B4018"/>
    <w:rsid w:val="002B46D1"/>
    <w:rsid w:val="002B4E41"/>
    <w:rsid w:val="002B5414"/>
    <w:rsid w:val="002B56B2"/>
    <w:rsid w:val="002B6260"/>
    <w:rsid w:val="002B6562"/>
    <w:rsid w:val="002B75CC"/>
    <w:rsid w:val="002B7CAA"/>
    <w:rsid w:val="002C00AE"/>
    <w:rsid w:val="002C052B"/>
    <w:rsid w:val="002C0D33"/>
    <w:rsid w:val="002C13B6"/>
    <w:rsid w:val="002C14C4"/>
    <w:rsid w:val="002C1595"/>
    <w:rsid w:val="002C1F22"/>
    <w:rsid w:val="002C2735"/>
    <w:rsid w:val="002C2E53"/>
    <w:rsid w:val="002C3425"/>
    <w:rsid w:val="002C3695"/>
    <w:rsid w:val="002C3933"/>
    <w:rsid w:val="002C42D1"/>
    <w:rsid w:val="002C4388"/>
    <w:rsid w:val="002C4434"/>
    <w:rsid w:val="002C51E6"/>
    <w:rsid w:val="002C56EB"/>
    <w:rsid w:val="002C5727"/>
    <w:rsid w:val="002C5C85"/>
    <w:rsid w:val="002C5F11"/>
    <w:rsid w:val="002C66B4"/>
    <w:rsid w:val="002C67AE"/>
    <w:rsid w:val="002C6B57"/>
    <w:rsid w:val="002C6E7F"/>
    <w:rsid w:val="002C714B"/>
    <w:rsid w:val="002C7334"/>
    <w:rsid w:val="002C7490"/>
    <w:rsid w:val="002D01D0"/>
    <w:rsid w:val="002D02AE"/>
    <w:rsid w:val="002D0494"/>
    <w:rsid w:val="002D0962"/>
    <w:rsid w:val="002D1C02"/>
    <w:rsid w:val="002D1C0D"/>
    <w:rsid w:val="002D1E39"/>
    <w:rsid w:val="002D1E65"/>
    <w:rsid w:val="002D202F"/>
    <w:rsid w:val="002D21B0"/>
    <w:rsid w:val="002D2562"/>
    <w:rsid w:val="002D25EF"/>
    <w:rsid w:val="002D2D97"/>
    <w:rsid w:val="002D3988"/>
    <w:rsid w:val="002D3DB4"/>
    <w:rsid w:val="002D43E8"/>
    <w:rsid w:val="002D4795"/>
    <w:rsid w:val="002D482B"/>
    <w:rsid w:val="002D4D83"/>
    <w:rsid w:val="002D4F47"/>
    <w:rsid w:val="002D5558"/>
    <w:rsid w:val="002D5778"/>
    <w:rsid w:val="002D5C49"/>
    <w:rsid w:val="002D5EA8"/>
    <w:rsid w:val="002D6051"/>
    <w:rsid w:val="002D60FB"/>
    <w:rsid w:val="002D611E"/>
    <w:rsid w:val="002D68CD"/>
    <w:rsid w:val="002D6B8E"/>
    <w:rsid w:val="002D7274"/>
    <w:rsid w:val="002D7803"/>
    <w:rsid w:val="002D782F"/>
    <w:rsid w:val="002E02A7"/>
    <w:rsid w:val="002E0592"/>
    <w:rsid w:val="002E093F"/>
    <w:rsid w:val="002E09F7"/>
    <w:rsid w:val="002E1086"/>
    <w:rsid w:val="002E1180"/>
    <w:rsid w:val="002E137F"/>
    <w:rsid w:val="002E14F8"/>
    <w:rsid w:val="002E1D64"/>
    <w:rsid w:val="002E20E6"/>
    <w:rsid w:val="002E2148"/>
    <w:rsid w:val="002E23A8"/>
    <w:rsid w:val="002E2583"/>
    <w:rsid w:val="002E3A93"/>
    <w:rsid w:val="002E3FF2"/>
    <w:rsid w:val="002E47F3"/>
    <w:rsid w:val="002E4A8E"/>
    <w:rsid w:val="002E4B53"/>
    <w:rsid w:val="002E4CF5"/>
    <w:rsid w:val="002E50D4"/>
    <w:rsid w:val="002E545C"/>
    <w:rsid w:val="002E56BC"/>
    <w:rsid w:val="002E5943"/>
    <w:rsid w:val="002E5A8C"/>
    <w:rsid w:val="002E5DCB"/>
    <w:rsid w:val="002E66DD"/>
    <w:rsid w:val="002E69EA"/>
    <w:rsid w:val="002E7E9C"/>
    <w:rsid w:val="002F04B6"/>
    <w:rsid w:val="002F063E"/>
    <w:rsid w:val="002F0674"/>
    <w:rsid w:val="002F069B"/>
    <w:rsid w:val="002F0939"/>
    <w:rsid w:val="002F0A1A"/>
    <w:rsid w:val="002F0EC3"/>
    <w:rsid w:val="002F18B5"/>
    <w:rsid w:val="002F1A9A"/>
    <w:rsid w:val="002F1FCD"/>
    <w:rsid w:val="002F2528"/>
    <w:rsid w:val="002F260E"/>
    <w:rsid w:val="002F2BA2"/>
    <w:rsid w:val="002F302A"/>
    <w:rsid w:val="002F3896"/>
    <w:rsid w:val="002F396C"/>
    <w:rsid w:val="002F4779"/>
    <w:rsid w:val="002F4FEC"/>
    <w:rsid w:val="002F51E8"/>
    <w:rsid w:val="002F52D4"/>
    <w:rsid w:val="002F5F5E"/>
    <w:rsid w:val="002F63B3"/>
    <w:rsid w:val="002F64E7"/>
    <w:rsid w:val="002F70B8"/>
    <w:rsid w:val="002F77C7"/>
    <w:rsid w:val="002F7C62"/>
    <w:rsid w:val="002F7EFD"/>
    <w:rsid w:val="00300322"/>
    <w:rsid w:val="0030037C"/>
    <w:rsid w:val="00300581"/>
    <w:rsid w:val="0030091C"/>
    <w:rsid w:val="00300D2B"/>
    <w:rsid w:val="00301064"/>
    <w:rsid w:val="00301068"/>
    <w:rsid w:val="003011DD"/>
    <w:rsid w:val="003012AE"/>
    <w:rsid w:val="00301520"/>
    <w:rsid w:val="0030172B"/>
    <w:rsid w:val="0030197B"/>
    <w:rsid w:val="00301A35"/>
    <w:rsid w:val="00301C4B"/>
    <w:rsid w:val="00301E9E"/>
    <w:rsid w:val="00301EDD"/>
    <w:rsid w:val="00302BFF"/>
    <w:rsid w:val="00302CAF"/>
    <w:rsid w:val="00304197"/>
    <w:rsid w:val="0030437B"/>
    <w:rsid w:val="0030458E"/>
    <w:rsid w:val="00304891"/>
    <w:rsid w:val="00304B03"/>
    <w:rsid w:val="00304DEC"/>
    <w:rsid w:val="0030599E"/>
    <w:rsid w:val="003059F7"/>
    <w:rsid w:val="00305FD6"/>
    <w:rsid w:val="00306285"/>
    <w:rsid w:val="0030647B"/>
    <w:rsid w:val="00306736"/>
    <w:rsid w:val="00306950"/>
    <w:rsid w:val="00306A7C"/>
    <w:rsid w:val="00307626"/>
    <w:rsid w:val="003100AB"/>
    <w:rsid w:val="0031069C"/>
    <w:rsid w:val="0031105E"/>
    <w:rsid w:val="003121DE"/>
    <w:rsid w:val="0031222A"/>
    <w:rsid w:val="00312578"/>
    <w:rsid w:val="00312A86"/>
    <w:rsid w:val="0031323A"/>
    <w:rsid w:val="003132CB"/>
    <w:rsid w:val="00313497"/>
    <w:rsid w:val="00313AB8"/>
    <w:rsid w:val="00313ECC"/>
    <w:rsid w:val="00313F1B"/>
    <w:rsid w:val="0031453B"/>
    <w:rsid w:val="00314F08"/>
    <w:rsid w:val="0031523C"/>
    <w:rsid w:val="003159FC"/>
    <w:rsid w:val="003160B6"/>
    <w:rsid w:val="00316898"/>
    <w:rsid w:val="00316959"/>
    <w:rsid w:val="0031725D"/>
    <w:rsid w:val="003177A5"/>
    <w:rsid w:val="00317AE0"/>
    <w:rsid w:val="00317DE6"/>
    <w:rsid w:val="00317DF8"/>
    <w:rsid w:val="00320027"/>
    <w:rsid w:val="0032030D"/>
    <w:rsid w:val="0032092A"/>
    <w:rsid w:val="00320FF0"/>
    <w:rsid w:val="00321079"/>
    <w:rsid w:val="0032124F"/>
    <w:rsid w:val="003216A8"/>
    <w:rsid w:val="003225B8"/>
    <w:rsid w:val="003229DC"/>
    <w:rsid w:val="00322A58"/>
    <w:rsid w:val="00322BBB"/>
    <w:rsid w:val="00322C2D"/>
    <w:rsid w:val="00323128"/>
    <w:rsid w:val="00323ABB"/>
    <w:rsid w:val="00323C2C"/>
    <w:rsid w:val="00324AD7"/>
    <w:rsid w:val="00324AFC"/>
    <w:rsid w:val="003257F9"/>
    <w:rsid w:val="00326813"/>
    <w:rsid w:val="003268E3"/>
    <w:rsid w:val="00327368"/>
    <w:rsid w:val="003273EF"/>
    <w:rsid w:val="00327549"/>
    <w:rsid w:val="00327AC8"/>
    <w:rsid w:val="00330055"/>
    <w:rsid w:val="003305F6"/>
    <w:rsid w:val="00330784"/>
    <w:rsid w:val="00330A43"/>
    <w:rsid w:val="0033115F"/>
    <w:rsid w:val="003315F6"/>
    <w:rsid w:val="0033172E"/>
    <w:rsid w:val="00331E1F"/>
    <w:rsid w:val="00331FD4"/>
    <w:rsid w:val="00331FF0"/>
    <w:rsid w:val="00332323"/>
    <w:rsid w:val="00332870"/>
    <w:rsid w:val="0033295B"/>
    <w:rsid w:val="00332B24"/>
    <w:rsid w:val="00332E6B"/>
    <w:rsid w:val="00332F62"/>
    <w:rsid w:val="0033307E"/>
    <w:rsid w:val="003330B0"/>
    <w:rsid w:val="003338A5"/>
    <w:rsid w:val="00334148"/>
    <w:rsid w:val="00334D90"/>
    <w:rsid w:val="00334DC6"/>
    <w:rsid w:val="00335112"/>
    <w:rsid w:val="0033514B"/>
    <w:rsid w:val="00335829"/>
    <w:rsid w:val="003358B5"/>
    <w:rsid w:val="003358C3"/>
    <w:rsid w:val="00335C12"/>
    <w:rsid w:val="00335F2B"/>
    <w:rsid w:val="00335F44"/>
    <w:rsid w:val="00336083"/>
    <w:rsid w:val="0033618B"/>
    <w:rsid w:val="0033651E"/>
    <w:rsid w:val="003365FE"/>
    <w:rsid w:val="0033660E"/>
    <w:rsid w:val="00337142"/>
    <w:rsid w:val="003373F4"/>
    <w:rsid w:val="0033768D"/>
    <w:rsid w:val="00337795"/>
    <w:rsid w:val="00337ECD"/>
    <w:rsid w:val="0034064E"/>
    <w:rsid w:val="00340E17"/>
    <w:rsid w:val="00340EFC"/>
    <w:rsid w:val="00341457"/>
    <w:rsid w:val="003414DC"/>
    <w:rsid w:val="0034195E"/>
    <w:rsid w:val="00341A37"/>
    <w:rsid w:val="00342A0A"/>
    <w:rsid w:val="00342A37"/>
    <w:rsid w:val="00343150"/>
    <w:rsid w:val="0034324F"/>
    <w:rsid w:val="0034353A"/>
    <w:rsid w:val="00343814"/>
    <w:rsid w:val="00343B20"/>
    <w:rsid w:val="00344231"/>
    <w:rsid w:val="00344805"/>
    <w:rsid w:val="003448E2"/>
    <w:rsid w:val="00344A04"/>
    <w:rsid w:val="00345537"/>
    <w:rsid w:val="00346CB2"/>
    <w:rsid w:val="00346CDE"/>
    <w:rsid w:val="00346E36"/>
    <w:rsid w:val="0034721B"/>
    <w:rsid w:val="00347338"/>
    <w:rsid w:val="0034735B"/>
    <w:rsid w:val="003478E4"/>
    <w:rsid w:val="003479FC"/>
    <w:rsid w:val="00347B1B"/>
    <w:rsid w:val="00350008"/>
    <w:rsid w:val="003500F8"/>
    <w:rsid w:val="00350184"/>
    <w:rsid w:val="0035035D"/>
    <w:rsid w:val="003506BD"/>
    <w:rsid w:val="003506BE"/>
    <w:rsid w:val="00350845"/>
    <w:rsid w:val="00350877"/>
    <w:rsid w:val="00351063"/>
    <w:rsid w:val="0035216B"/>
    <w:rsid w:val="003521F6"/>
    <w:rsid w:val="00352215"/>
    <w:rsid w:val="00352549"/>
    <w:rsid w:val="003525D3"/>
    <w:rsid w:val="00352DAD"/>
    <w:rsid w:val="00353AEE"/>
    <w:rsid w:val="00353C87"/>
    <w:rsid w:val="00353E34"/>
    <w:rsid w:val="003547FE"/>
    <w:rsid w:val="003548A0"/>
    <w:rsid w:val="00354AAF"/>
    <w:rsid w:val="00354B25"/>
    <w:rsid w:val="00355518"/>
    <w:rsid w:val="0035556A"/>
    <w:rsid w:val="003556C3"/>
    <w:rsid w:val="00355A86"/>
    <w:rsid w:val="00355BF9"/>
    <w:rsid w:val="003566A9"/>
    <w:rsid w:val="00357B13"/>
    <w:rsid w:val="00360008"/>
    <w:rsid w:val="003600AC"/>
    <w:rsid w:val="003600F3"/>
    <w:rsid w:val="00360B59"/>
    <w:rsid w:val="00361128"/>
    <w:rsid w:val="0036169F"/>
    <w:rsid w:val="00361791"/>
    <w:rsid w:val="003618C4"/>
    <w:rsid w:val="0036193F"/>
    <w:rsid w:val="0036239B"/>
    <w:rsid w:val="00362A68"/>
    <w:rsid w:val="00362B29"/>
    <w:rsid w:val="00362B9E"/>
    <w:rsid w:val="00363524"/>
    <w:rsid w:val="0036389E"/>
    <w:rsid w:val="00364C52"/>
    <w:rsid w:val="00365FC1"/>
    <w:rsid w:val="00366368"/>
    <w:rsid w:val="003663A4"/>
    <w:rsid w:val="0036676B"/>
    <w:rsid w:val="00366C46"/>
    <w:rsid w:val="00366C80"/>
    <w:rsid w:val="00366C9B"/>
    <w:rsid w:val="00367167"/>
    <w:rsid w:val="00367D4E"/>
    <w:rsid w:val="00370217"/>
    <w:rsid w:val="00370536"/>
    <w:rsid w:val="00370EEB"/>
    <w:rsid w:val="00371051"/>
    <w:rsid w:val="00371989"/>
    <w:rsid w:val="00371C95"/>
    <w:rsid w:val="00371E61"/>
    <w:rsid w:val="003721E6"/>
    <w:rsid w:val="003733C4"/>
    <w:rsid w:val="0037380E"/>
    <w:rsid w:val="00374073"/>
    <w:rsid w:val="0037435A"/>
    <w:rsid w:val="003744F6"/>
    <w:rsid w:val="00374E48"/>
    <w:rsid w:val="00374E98"/>
    <w:rsid w:val="003766A8"/>
    <w:rsid w:val="003767FF"/>
    <w:rsid w:val="00376A57"/>
    <w:rsid w:val="00376D1E"/>
    <w:rsid w:val="00377076"/>
    <w:rsid w:val="003771F5"/>
    <w:rsid w:val="00377556"/>
    <w:rsid w:val="00377B55"/>
    <w:rsid w:val="00377BEA"/>
    <w:rsid w:val="003801F0"/>
    <w:rsid w:val="0038058E"/>
    <w:rsid w:val="00380D5A"/>
    <w:rsid w:val="00380FB9"/>
    <w:rsid w:val="003819DA"/>
    <w:rsid w:val="00382B99"/>
    <w:rsid w:val="003833A2"/>
    <w:rsid w:val="00383A5C"/>
    <w:rsid w:val="00383B68"/>
    <w:rsid w:val="00384366"/>
    <w:rsid w:val="0038443B"/>
    <w:rsid w:val="00384611"/>
    <w:rsid w:val="003846FE"/>
    <w:rsid w:val="003848C7"/>
    <w:rsid w:val="003849CE"/>
    <w:rsid w:val="00384A10"/>
    <w:rsid w:val="003851A2"/>
    <w:rsid w:val="00385202"/>
    <w:rsid w:val="003855B0"/>
    <w:rsid w:val="003861B0"/>
    <w:rsid w:val="00386A32"/>
    <w:rsid w:val="00386E6E"/>
    <w:rsid w:val="00386FB1"/>
    <w:rsid w:val="0038724B"/>
    <w:rsid w:val="003872EA"/>
    <w:rsid w:val="00387344"/>
    <w:rsid w:val="00387C28"/>
    <w:rsid w:val="00387E3C"/>
    <w:rsid w:val="00387F00"/>
    <w:rsid w:val="00387F8F"/>
    <w:rsid w:val="00390610"/>
    <w:rsid w:val="003906F9"/>
    <w:rsid w:val="0039182F"/>
    <w:rsid w:val="0039198E"/>
    <w:rsid w:val="00391EEC"/>
    <w:rsid w:val="003925B5"/>
    <w:rsid w:val="003929B7"/>
    <w:rsid w:val="00392D5F"/>
    <w:rsid w:val="00392D70"/>
    <w:rsid w:val="00392E2B"/>
    <w:rsid w:val="0039315B"/>
    <w:rsid w:val="0039331D"/>
    <w:rsid w:val="0039353D"/>
    <w:rsid w:val="00393F4D"/>
    <w:rsid w:val="00394192"/>
    <w:rsid w:val="0039425B"/>
    <w:rsid w:val="003944EA"/>
    <w:rsid w:val="003945AE"/>
    <w:rsid w:val="00394A0F"/>
    <w:rsid w:val="00394BA4"/>
    <w:rsid w:val="00394EC1"/>
    <w:rsid w:val="00394F16"/>
    <w:rsid w:val="00395041"/>
    <w:rsid w:val="00395129"/>
    <w:rsid w:val="0039532F"/>
    <w:rsid w:val="00395393"/>
    <w:rsid w:val="00395872"/>
    <w:rsid w:val="00395A64"/>
    <w:rsid w:val="00395E1B"/>
    <w:rsid w:val="00396868"/>
    <w:rsid w:val="00396C1E"/>
    <w:rsid w:val="00396D7A"/>
    <w:rsid w:val="00396E80"/>
    <w:rsid w:val="00397204"/>
    <w:rsid w:val="00397273"/>
    <w:rsid w:val="00397468"/>
    <w:rsid w:val="003975F1"/>
    <w:rsid w:val="00397605"/>
    <w:rsid w:val="00397F79"/>
    <w:rsid w:val="003A0334"/>
    <w:rsid w:val="003A037C"/>
    <w:rsid w:val="003A067B"/>
    <w:rsid w:val="003A08B0"/>
    <w:rsid w:val="003A19A3"/>
    <w:rsid w:val="003A19C5"/>
    <w:rsid w:val="003A1BE3"/>
    <w:rsid w:val="003A1CB5"/>
    <w:rsid w:val="003A1DF2"/>
    <w:rsid w:val="003A254B"/>
    <w:rsid w:val="003A292F"/>
    <w:rsid w:val="003A3039"/>
    <w:rsid w:val="003A3F1C"/>
    <w:rsid w:val="003A407A"/>
    <w:rsid w:val="003A4390"/>
    <w:rsid w:val="003A440C"/>
    <w:rsid w:val="003A4450"/>
    <w:rsid w:val="003A46E8"/>
    <w:rsid w:val="003A54E4"/>
    <w:rsid w:val="003A55AC"/>
    <w:rsid w:val="003A56A0"/>
    <w:rsid w:val="003A5A87"/>
    <w:rsid w:val="003A5E04"/>
    <w:rsid w:val="003A6182"/>
    <w:rsid w:val="003A705D"/>
    <w:rsid w:val="003A707D"/>
    <w:rsid w:val="003A74A7"/>
    <w:rsid w:val="003B0977"/>
    <w:rsid w:val="003B1548"/>
    <w:rsid w:val="003B1A3E"/>
    <w:rsid w:val="003B1A85"/>
    <w:rsid w:val="003B28A3"/>
    <w:rsid w:val="003B2BD9"/>
    <w:rsid w:val="003B2E71"/>
    <w:rsid w:val="003B2F63"/>
    <w:rsid w:val="003B36DA"/>
    <w:rsid w:val="003B39DA"/>
    <w:rsid w:val="003B53E9"/>
    <w:rsid w:val="003B5525"/>
    <w:rsid w:val="003B552F"/>
    <w:rsid w:val="003B579B"/>
    <w:rsid w:val="003B61B6"/>
    <w:rsid w:val="003B68E1"/>
    <w:rsid w:val="003B73B5"/>
    <w:rsid w:val="003B7508"/>
    <w:rsid w:val="003B75C4"/>
    <w:rsid w:val="003B777D"/>
    <w:rsid w:val="003C02C7"/>
    <w:rsid w:val="003C03D3"/>
    <w:rsid w:val="003C053C"/>
    <w:rsid w:val="003C0817"/>
    <w:rsid w:val="003C0E56"/>
    <w:rsid w:val="003C103E"/>
    <w:rsid w:val="003C1232"/>
    <w:rsid w:val="003C1B86"/>
    <w:rsid w:val="003C1CC9"/>
    <w:rsid w:val="003C1D9D"/>
    <w:rsid w:val="003C2453"/>
    <w:rsid w:val="003C26C2"/>
    <w:rsid w:val="003C27DA"/>
    <w:rsid w:val="003C28FD"/>
    <w:rsid w:val="003C2A70"/>
    <w:rsid w:val="003C307D"/>
    <w:rsid w:val="003C3286"/>
    <w:rsid w:val="003C3A88"/>
    <w:rsid w:val="003C3CF2"/>
    <w:rsid w:val="003C3E15"/>
    <w:rsid w:val="003C41A0"/>
    <w:rsid w:val="003C41A8"/>
    <w:rsid w:val="003C421F"/>
    <w:rsid w:val="003C4A06"/>
    <w:rsid w:val="003C4C80"/>
    <w:rsid w:val="003C5794"/>
    <w:rsid w:val="003C5951"/>
    <w:rsid w:val="003C5EEF"/>
    <w:rsid w:val="003C6CA7"/>
    <w:rsid w:val="003C6D5C"/>
    <w:rsid w:val="003C6E0E"/>
    <w:rsid w:val="003C71D4"/>
    <w:rsid w:val="003C74AB"/>
    <w:rsid w:val="003C74F9"/>
    <w:rsid w:val="003C79B6"/>
    <w:rsid w:val="003C7B43"/>
    <w:rsid w:val="003C7C95"/>
    <w:rsid w:val="003C7E90"/>
    <w:rsid w:val="003C7FAD"/>
    <w:rsid w:val="003D010F"/>
    <w:rsid w:val="003D0310"/>
    <w:rsid w:val="003D09C9"/>
    <w:rsid w:val="003D18FF"/>
    <w:rsid w:val="003D2423"/>
    <w:rsid w:val="003D26B1"/>
    <w:rsid w:val="003D28D3"/>
    <w:rsid w:val="003D3121"/>
    <w:rsid w:val="003D3310"/>
    <w:rsid w:val="003D3BBB"/>
    <w:rsid w:val="003D3D5A"/>
    <w:rsid w:val="003D3DCB"/>
    <w:rsid w:val="003D3F5B"/>
    <w:rsid w:val="003D4F11"/>
    <w:rsid w:val="003D4FC6"/>
    <w:rsid w:val="003D5125"/>
    <w:rsid w:val="003D5245"/>
    <w:rsid w:val="003D52C9"/>
    <w:rsid w:val="003D55F2"/>
    <w:rsid w:val="003D5605"/>
    <w:rsid w:val="003D5AB4"/>
    <w:rsid w:val="003D62A4"/>
    <w:rsid w:val="003D6457"/>
    <w:rsid w:val="003D6950"/>
    <w:rsid w:val="003D6F3A"/>
    <w:rsid w:val="003D6FF0"/>
    <w:rsid w:val="003D7020"/>
    <w:rsid w:val="003E02DA"/>
    <w:rsid w:val="003E0350"/>
    <w:rsid w:val="003E0DE4"/>
    <w:rsid w:val="003E1121"/>
    <w:rsid w:val="003E12C3"/>
    <w:rsid w:val="003E1B11"/>
    <w:rsid w:val="003E2330"/>
    <w:rsid w:val="003E2CBE"/>
    <w:rsid w:val="003E2D7D"/>
    <w:rsid w:val="003E30BE"/>
    <w:rsid w:val="003E326B"/>
    <w:rsid w:val="003E3501"/>
    <w:rsid w:val="003E361E"/>
    <w:rsid w:val="003E3B3B"/>
    <w:rsid w:val="003E3D82"/>
    <w:rsid w:val="003E453F"/>
    <w:rsid w:val="003E5851"/>
    <w:rsid w:val="003E5D21"/>
    <w:rsid w:val="003E5F7C"/>
    <w:rsid w:val="003E60C6"/>
    <w:rsid w:val="003E62FA"/>
    <w:rsid w:val="003E6399"/>
    <w:rsid w:val="003E7410"/>
    <w:rsid w:val="003E7D29"/>
    <w:rsid w:val="003E7FD4"/>
    <w:rsid w:val="003F0669"/>
    <w:rsid w:val="003F082A"/>
    <w:rsid w:val="003F197F"/>
    <w:rsid w:val="003F2559"/>
    <w:rsid w:val="003F29E6"/>
    <w:rsid w:val="003F2C23"/>
    <w:rsid w:val="003F2EF1"/>
    <w:rsid w:val="003F368C"/>
    <w:rsid w:val="003F4304"/>
    <w:rsid w:val="003F4B2C"/>
    <w:rsid w:val="003F5589"/>
    <w:rsid w:val="003F56A0"/>
    <w:rsid w:val="003F56FC"/>
    <w:rsid w:val="003F582C"/>
    <w:rsid w:val="003F5D4E"/>
    <w:rsid w:val="003F5FF5"/>
    <w:rsid w:val="003F647E"/>
    <w:rsid w:val="003F65B5"/>
    <w:rsid w:val="003F65DC"/>
    <w:rsid w:val="003F6B77"/>
    <w:rsid w:val="003F7A98"/>
    <w:rsid w:val="003F7C03"/>
    <w:rsid w:val="003F7C87"/>
    <w:rsid w:val="004000CF"/>
    <w:rsid w:val="00400289"/>
    <w:rsid w:val="0040053D"/>
    <w:rsid w:val="004006A7"/>
    <w:rsid w:val="004010DB"/>
    <w:rsid w:val="00401C8C"/>
    <w:rsid w:val="004021E1"/>
    <w:rsid w:val="004025C3"/>
    <w:rsid w:val="00402F93"/>
    <w:rsid w:val="004030D0"/>
    <w:rsid w:val="00403306"/>
    <w:rsid w:val="00403394"/>
    <w:rsid w:val="004033C3"/>
    <w:rsid w:val="00403672"/>
    <w:rsid w:val="00403C31"/>
    <w:rsid w:val="00403C77"/>
    <w:rsid w:val="004041DC"/>
    <w:rsid w:val="00404268"/>
    <w:rsid w:val="004045EA"/>
    <w:rsid w:val="004052BF"/>
    <w:rsid w:val="00405533"/>
    <w:rsid w:val="00405BDF"/>
    <w:rsid w:val="00405E53"/>
    <w:rsid w:val="004064F0"/>
    <w:rsid w:val="004068AD"/>
    <w:rsid w:val="00406AD1"/>
    <w:rsid w:val="00407264"/>
    <w:rsid w:val="00407385"/>
    <w:rsid w:val="004074CA"/>
    <w:rsid w:val="0040777A"/>
    <w:rsid w:val="004079C7"/>
    <w:rsid w:val="004100F6"/>
    <w:rsid w:val="004101CD"/>
    <w:rsid w:val="00410F32"/>
    <w:rsid w:val="00411CED"/>
    <w:rsid w:val="00411DEC"/>
    <w:rsid w:val="00411E68"/>
    <w:rsid w:val="0041217C"/>
    <w:rsid w:val="00412FCE"/>
    <w:rsid w:val="00413196"/>
    <w:rsid w:val="004134CD"/>
    <w:rsid w:val="00413998"/>
    <w:rsid w:val="00413C48"/>
    <w:rsid w:val="004141E6"/>
    <w:rsid w:val="00414296"/>
    <w:rsid w:val="004147F0"/>
    <w:rsid w:val="00414813"/>
    <w:rsid w:val="00414D52"/>
    <w:rsid w:val="004155D3"/>
    <w:rsid w:val="004159EC"/>
    <w:rsid w:val="00415F1B"/>
    <w:rsid w:val="00416386"/>
    <w:rsid w:val="004165FC"/>
    <w:rsid w:val="00416C94"/>
    <w:rsid w:val="0041700D"/>
    <w:rsid w:val="00417283"/>
    <w:rsid w:val="0041778F"/>
    <w:rsid w:val="004200C9"/>
    <w:rsid w:val="0042030B"/>
    <w:rsid w:val="00420E6B"/>
    <w:rsid w:val="00421B21"/>
    <w:rsid w:val="00421CF7"/>
    <w:rsid w:val="00421E1E"/>
    <w:rsid w:val="004227E7"/>
    <w:rsid w:val="004229F8"/>
    <w:rsid w:val="00423244"/>
    <w:rsid w:val="00423699"/>
    <w:rsid w:val="00423721"/>
    <w:rsid w:val="00423A00"/>
    <w:rsid w:val="00423F82"/>
    <w:rsid w:val="00423FBC"/>
    <w:rsid w:val="00424E0D"/>
    <w:rsid w:val="00424EF2"/>
    <w:rsid w:val="004253D9"/>
    <w:rsid w:val="00425E37"/>
    <w:rsid w:val="004260D3"/>
    <w:rsid w:val="0042640D"/>
    <w:rsid w:val="004267A1"/>
    <w:rsid w:val="00426CA1"/>
    <w:rsid w:val="004273E4"/>
    <w:rsid w:val="004278FA"/>
    <w:rsid w:val="004279C5"/>
    <w:rsid w:val="00427C9E"/>
    <w:rsid w:val="00427CD2"/>
    <w:rsid w:val="00427FA8"/>
    <w:rsid w:val="00427FE2"/>
    <w:rsid w:val="00430F6A"/>
    <w:rsid w:val="00430F6D"/>
    <w:rsid w:val="004312BC"/>
    <w:rsid w:val="00431384"/>
    <w:rsid w:val="004318B5"/>
    <w:rsid w:val="00431DD2"/>
    <w:rsid w:val="00432232"/>
    <w:rsid w:val="00432613"/>
    <w:rsid w:val="004326CA"/>
    <w:rsid w:val="004327F0"/>
    <w:rsid w:val="00432C70"/>
    <w:rsid w:val="00433178"/>
    <w:rsid w:val="00433543"/>
    <w:rsid w:val="00433593"/>
    <w:rsid w:val="00433906"/>
    <w:rsid w:val="00434070"/>
    <w:rsid w:val="00434946"/>
    <w:rsid w:val="00434D0F"/>
    <w:rsid w:val="0043521D"/>
    <w:rsid w:val="00435879"/>
    <w:rsid w:val="00435A0F"/>
    <w:rsid w:val="004360CE"/>
    <w:rsid w:val="00436685"/>
    <w:rsid w:val="00436815"/>
    <w:rsid w:val="00436D44"/>
    <w:rsid w:val="00437175"/>
    <w:rsid w:val="00437383"/>
    <w:rsid w:val="00437403"/>
    <w:rsid w:val="004375C6"/>
    <w:rsid w:val="0043785E"/>
    <w:rsid w:val="00437A51"/>
    <w:rsid w:val="00437AC4"/>
    <w:rsid w:val="00437C27"/>
    <w:rsid w:val="00437CB0"/>
    <w:rsid w:val="00437DE6"/>
    <w:rsid w:val="00440234"/>
    <w:rsid w:val="0044086F"/>
    <w:rsid w:val="00440D04"/>
    <w:rsid w:val="00440D2E"/>
    <w:rsid w:val="00441957"/>
    <w:rsid w:val="00441F96"/>
    <w:rsid w:val="00442E46"/>
    <w:rsid w:val="00443111"/>
    <w:rsid w:val="0044316C"/>
    <w:rsid w:val="00443839"/>
    <w:rsid w:val="00443B34"/>
    <w:rsid w:val="00443B8B"/>
    <w:rsid w:val="0044426A"/>
    <w:rsid w:val="00444433"/>
    <w:rsid w:val="00444B71"/>
    <w:rsid w:val="00444D20"/>
    <w:rsid w:val="00444D28"/>
    <w:rsid w:val="004455DA"/>
    <w:rsid w:val="0044589A"/>
    <w:rsid w:val="004460F5"/>
    <w:rsid w:val="004469E1"/>
    <w:rsid w:val="0044709C"/>
    <w:rsid w:val="004470E3"/>
    <w:rsid w:val="004476E7"/>
    <w:rsid w:val="004477C5"/>
    <w:rsid w:val="00450A27"/>
    <w:rsid w:val="00450AEE"/>
    <w:rsid w:val="004510F1"/>
    <w:rsid w:val="00451260"/>
    <w:rsid w:val="00451FC7"/>
    <w:rsid w:val="004527AB"/>
    <w:rsid w:val="00452996"/>
    <w:rsid w:val="00452B43"/>
    <w:rsid w:val="004537F2"/>
    <w:rsid w:val="00453C00"/>
    <w:rsid w:val="00454128"/>
    <w:rsid w:val="00454308"/>
    <w:rsid w:val="004543CF"/>
    <w:rsid w:val="004545E5"/>
    <w:rsid w:val="00455139"/>
    <w:rsid w:val="0045515C"/>
    <w:rsid w:val="00455495"/>
    <w:rsid w:val="004557FA"/>
    <w:rsid w:val="0045581F"/>
    <w:rsid w:val="00455BEB"/>
    <w:rsid w:val="00455F9A"/>
    <w:rsid w:val="0045609A"/>
    <w:rsid w:val="004562C4"/>
    <w:rsid w:val="004562CA"/>
    <w:rsid w:val="00456610"/>
    <w:rsid w:val="00456847"/>
    <w:rsid w:val="0045708F"/>
    <w:rsid w:val="004572DE"/>
    <w:rsid w:val="00457474"/>
    <w:rsid w:val="004579B0"/>
    <w:rsid w:val="00457BC7"/>
    <w:rsid w:val="00457FCF"/>
    <w:rsid w:val="004602ED"/>
    <w:rsid w:val="00460D9A"/>
    <w:rsid w:val="004615F4"/>
    <w:rsid w:val="00461B92"/>
    <w:rsid w:val="00461CE7"/>
    <w:rsid w:val="00461E0C"/>
    <w:rsid w:val="00461FD0"/>
    <w:rsid w:val="004625E8"/>
    <w:rsid w:val="00462A57"/>
    <w:rsid w:val="00462A94"/>
    <w:rsid w:val="00462CBD"/>
    <w:rsid w:val="00462D6C"/>
    <w:rsid w:val="004635D4"/>
    <w:rsid w:val="004637FD"/>
    <w:rsid w:val="00463D79"/>
    <w:rsid w:val="004643C2"/>
    <w:rsid w:val="00464A95"/>
    <w:rsid w:val="00464B26"/>
    <w:rsid w:val="00464C95"/>
    <w:rsid w:val="00464E08"/>
    <w:rsid w:val="00465019"/>
    <w:rsid w:val="00465054"/>
    <w:rsid w:val="00465700"/>
    <w:rsid w:val="00465E83"/>
    <w:rsid w:val="004666DD"/>
    <w:rsid w:val="004678B8"/>
    <w:rsid w:val="00470112"/>
    <w:rsid w:val="00470516"/>
    <w:rsid w:val="00471360"/>
    <w:rsid w:val="0047200D"/>
    <w:rsid w:val="00472499"/>
    <w:rsid w:val="004724B3"/>
    <w:rsid w:val="00472563"/>
    <w:rsid w:val="00473554"/>
    <w:rsid w:val="00473960"/>
    <w:rsid w:val="004741BB"/>
    <w:rsid w:val="004741BD"/>
    <w:rsid w:val="004745CD"/>
    <w:rsid w:val="0047493D"/>
    <w:rsid w:val="004749B9"/>
    <w:rsid w:val="00474BB3"/>
    <w:rsid w:val="00475835"/>
    <w:rsid w:val="0047682A"/>
    <w:rsid w:val="00476996"/>
    <w:rsid w:val="00476A5F"/>
    <w:rsid w:val="00476EE8"/>
    <w:rsid w:val="00477067"/>
    <w:rsid w:val="0047724F"/>
    <w:rsid w:val="00477518"/>
    <w:rsid w:val="00477B28"/>
    <w:rsid w:val="00481320"/>
    <w:rsid w:val="004814F9"/>
    <w:rsid w:val="004816C9"/>
    <w:rsid w:val="00481858"/>
    <w:rsid w:val="00481B16"/>
    <w:rsid w:val="00481D82"/>
    <w:rsid w:val="00481DA7"/>
    <w:rsid w:val="004824D1"/>
    <w:rsid w:val="00482D5A"/>
    <w:rsid w:val="00482DE3"/>
    <w:rsid w:val="004839C8"/>
    <w:rsid w:val="0048400E"/>
    <w:rsid w:val="00484484"/>
    <w:rsid w:val="004849CA"/>
    <w:rsid w:val="004849FA"/>
    <w:rsid w:val="00484ABA"/>
    <w:rsid w:val="00484CE3"/>
    <w:rsid w:val="00485108"/>
    <w:rsid w:val="004855CC"/>
    <w:rsid w:val="00485DA5"/>
    <w:rsid w:val="00486427"/>
    <w:rsid w:val="0048700B"/>
    <w:rsid w:val="00487562"/>
    <w:rsid w:val="0048791A"/>
    <w:rsid w:val="00490084"/>
    <w:rsid w:val="0049068B"/>
    <w:rsid w:val="00490958"/>
    <w:rsid w:val="00490D1A"/>
    <w:rsid w:val="0049160C"/>
    <w:rsid w:val="00491FE1"/>
    <w:rsid w:val="00492245"/>
    <w:rsid w:val="004922E0"/>
    <w:rsid w:val="00492568"/>
    <w:rsid w:val="00492727"/>
    <w:rsid w:val="00492DBB"/>
    <w:rsid w:val="00492E8C"/>
    <w:rsid w:val="0049311F"/>
    <w:rsid w:val="004931C1"/>
    <w:rsid w:val="0049331E"/>
    <w:rsid w:val="004939AF"/>
    <w:rsid w:val="00493CD9"/>
    <w:rsid w:val="004941B8"/>
    <w:rsid w:val="00494C4B"/>
    <w:rsid w:val="00494CD9"/>
    <w:rsid w:val="004955A7"/>
    <w:rsid w:val="00496616"/>
    <w:rsid w:val="00496C89"/>
    <w:rsid w:val="00496E4B"/>
    <w:rsid w:val="00497142"/>
    <w:rsid w:val="004974CA"/>
    <w:rsid w:val="00497770"/>
    <w:rsid w:val="00497BE3"/>
    <w:rsid w:val="00497CF9"/>
    <w:rsid w:val="004A0240"/>
    <w:rsid w:val="004A0C4C"/>
    <w:rsid w:val="004A1307"/>
    <w:rsid w:val="004A145D"/>
    <w:rsid w:val="004A151F"/>
    <w:rsid w:val="004A1958"/>
    <w:rsid w:val="004A1C1F"/>
    <w:rsid w:val="004A1E48"/>
    <w:rsid w:val="004A242A"/>
    <w:rsid w:val="004A244E"/>
    <w:rsid w:val="004A269E"/>
    <w:rsid w:val="004A2780"/>
    <w:rsid w:val="004A2977"/>
    <w:rsid w:val="004A343D"/>
    <w:rsid w:val="004A36BA"/>
    <w:rsid w:val="004A3746"/>
    <w:rsid w:val="004A38B4"/>
    <w:rsid w:val="004A3A1E"/>
    <w:rsid w:val="004A3CA8"/>
    <w:rsid w:val="004A4BAB"/>
    <w:rsid w:val="004A4CF9"/>
    <w:rsid w:val="004A4F5E"/>
    <w:rsid w:val="004A57B7"/>
    <w:rsid w:val="004A640F"/>
    <w:rsid w:val="004A69CF"/>
    <w:rsid w:val="004A71B3"/>
    <w:rsid w:val="004A737D"/>
    <w:rsid w:val="004A739D"/>
    <w:rsid w:val="004A774A"/>
    <w:rsid w:val="004B003A"/>
    <w:rsid w:val="004B00A5"/>
    <w:rsid w:val="004B00B1"/>
    <w:rsid w:val="004B043A"/>
    <w:rsid w:val="004B0693"/>
    <w:rsid w:val="004B0C8E"/>
    <w:rsid w:val="004B0CB4"/>
    <w:rsid w:val="004B0D26"/>
    <w:rsid w:val="004B0FC2"/>
    <w:rsid w:val="004B2287"/>
    <w:rsid w:val="004B2298"/>
    <w:rsid w:val="004B2956"/>
    <w:rsid w:val="004B2B6F"/>
    <w:rsid w:val="004B3184"/>
    <w:rsid w:val="004B3598"/>
    <w:rsid w:val="004B39AD"/>
    <w:rsid w:val="004B4368"/>
    <w:rsid w:val="004B4447"/>
    <w:rsid w:val="004B45FF"/>
    <w:rsid w:val="004B483D"/>
    <w:rsid w:val="004B492C"/>
    <w:rsid w:val="004B4979"/>
    <w:rsid w:val="004B4FD4"/>
    <w:rsid w:val="004B5025"/>
    <w:rsid w:val="004B522A"/>
    <w:rsid w:val="004B55FC"/>
    <w:rsid w:val="004B5AD1"/>
    <w:rsid w:val="004B6115"/>
    <w:rsid w:val="004B628A"/>
    <w:rsid w:val="004B675B"/>
    <w:rsid w:val="004B675F"/>
    <w:rsid w:val="004B6E9D"/>
    <w:rsid w:val="004B6F7D"/>
    <w:rsid w:val="004B710D"/>
    <w:rsid w:val="004B714A"/>
    <w:rsid w:val="004B77A7"/>
    <w:rsid w:val="004B77E4"/>
    <w:rsid w:val="004C03F8"/>
    <w:rsid w:val="004C05A1"/>
    <w:rsid w:val="004C0936"/>
    <w:rsid w:val="004C0FA6"/>
    <w:rsid w:val="004C143F"/>
    <w:rsid w:val="004C1444"/>
    <w:rsid w:val="004C17C1"/>
    <w:rsid w:val="004C1BD5"/>
    <w:rsid w:val="004C1F9E"/>
    <w:rsid w:val="004C2243"/>
    <w:rsid w:val="004C24BA"/>
    <w:rsid w:val="004C252E"/>
    <w:rsid w:val="004C270E"/>
    <w:rsid w:val="004C2B1F"/>
    <w:rsid w:val="004C3660"/>
    <w:rsid w:val="004C36C2"/>
    <w:rsid w:val="004C3C22"/>
    <w:rsid w:val="004C3D54"/>
    <w:rsid w:val="004C442D"/>
    <w:rsid w:val="004C44D5"/>
    <w:rsid w:val="004C472C"/>
    <w:rsid w:val="004C4757"/>
    <w:rsid w:val="004C559E"/>
    <w:rsid w:val="004C5957"/>
    <w:rsid w:val="004C596C"/>
    <w:rsid w:val="004C5B1E"/>
    <w:rsid w:val="004C5BE6"/>
    <w:rsid w:val="004C5CE7"/>
    <w:rsid w:val="004C5DD7"/>
    <w:rsid w:val="004C5EA5"/>
    <w:rsid w:val="004C6B38"/>
    <w:rsid w:val="004C6C00"/>
    <w:rsid w:val="004C6EFC"/>
    <w:rsid w:val="004C7A53"/>
    <w:rsid w:val="004C7A5C"/>
    <w:rsid w:val="004C7CA0"/>
    <w:rsid w:val="004D0190"/>
    <w:rsid w:val="004D04F2"/>
    <w:rsid w:val="004D0625"/>
    <w:rsid w:val="004D0A24"/>
    <w:rsid w:val="004D0A32"/>
    <w:rsid w:val="004D0BA6"/>
    <w:rsid w:val="004D143F"/>
    <w:rsid w:val="004D1AF8"/>
    <w:rsid w:val="004D1D69"/>
    <w:rsid w:val="004D22AF"/>
    <w:rsid w:val="004D2FDB"/>
    <w:rsid w:val="004D2FF1"/>
    <w:rsid w:val="004D33B6"/>
    <w:rsid w:val="004D3990"/>
    <w:rsid w:val="004D39D1"/>
    <w:rsid w:val="004D3A46"/>
    <w:rsid w:val="004D3CA0"/>
    <w:rsid w:val="004D45E9"/>
    <w:rsid w:val="004D49BC"/>
    <w:rsid w:val="004D49D4"/>
    <w:rsid w:val="004D4B9B"/>
    <w:rsid w:val="004D4C1D"/>
    <w:rsid w:val="004D5255"/>
    <w:rsid w:val="004D6468"/>
    <w:rsid w:val="004D675F"/>
    <w:rsid w:val="004D6A80"/>
    <w:rsid w:val="004D6CBD"/>
    <w:rsid w:val="004D7A86"/>
    <w:rsid w:val="004D7B96"/>
    <w:rsid w:val="004D7BE8"/>
    <w:rsid w:val="004D7F0F"/>
    <w:rsid w:val="004E07F4"/>
    <w:rsid w:val="004E0905"/>
    <w:rsid w:val="004E0B97"/>
    <w:rsid w:val="004E14B8"/>
    <w:rsid w:val="004E1A3A"/>
    <w:rsid w:val="004E1E48"/>
    <w:rsid w:val="004E1F36"/>
    <w:rsid w:val="004E215F"/>
    <w:rsid w:val="004E25E1"/>
    <w:rsid w:val="004E2DD2"/>
    <w:rsid w:val="004E2EBC"/>
    <w:rsid w:val="004E3591"/>
    <w:rsid w:val="004E395A"/>
    <w:rsid w:val="004E397F"/>
    <w:rsid w:val="004E3AF4"/>
    <w:rsid w:val="004E3B3E"/>
    <w:rsid w:val="004E407B"/>
    <w:rsid w:val="004E4258"/>
    <w:rsid w:val="004E440A"/>
    <w:rsid w:val="004E469D"/>
    <w:rsid w:val="004E4A59"/>
    <w:rsid w:val="004E4CA5"/>
    <w:rsid w:val="004E5417"/>
    <w:rsid w:val="004E5771"/>
    <w:rsid w:val="004E5A34"/>
    <w:rsid w:val="004E5B7A"/>
    <w:rsid w:val="004E5CA5"/>
    <w:rsid w:val="004E5CCA"/>
    <w:rsid w:val="004E65C8"/>
    <w:rsid w:val="004E6D6A"/>
    <w:rsid w:val="004E7142"/>
    <w:rsid w:val="004E7351"/>
    <w:rsid w:val="004E7356"/>
    <w:rsid w:val="004E7428"/>
    <w:rsid w:val="004E74EE"/>
    <w:rsid w:val="004E7B29"/>
    <w:rsid w:val="004F08CB"/>
    <w:rsid w:val="004F102A"/>
    <w:rsid w:val="004F1E9D"/>
    <w:rsid w:val="004F2390"/>
    <w:rsid w:val="004F2876"/>
    <w:rsid w:val="004F2A7A"/>
    <w:rsid w:val="004F3725"/>
    <w:rsid w:val="004F38CE"/>
    <w:rsid w:val="004F3CD5"/>
    <w:rsid w:val="004F4845"/>
    <w:rsid w:val="004F494F"/>
    <w:rsid w:val="004F4D58"/>
    <w:rsid w:val="004F51FB"/>
    <w:rsid w:val="004F55B7"/>
    <w:rsid w:val="004F58D5"/>
    <w:rsid w:val="004F5D9D"/>
    <w:rsid w:val="004F65BD"/>
    <w:rsid w:val="004F670C"/>
    <w:rsid w:val="004F67FF"/>
    <w:rsid w:val="004F6960"/>
    <w:rsid w:val="004F6A32"/>
    <w:rsid w:val="004F6EB9"/>
    <w:rsid w:val="004F7EE7"/>
    <w:rsid w:val="004F7F63"/>
    <w:rsid w:val="005000C7"/>
    <w:rsid w:val="00500889"/>
    <w:rsid w:val="00500B9A"/>
    <w:rsid w:val="00501506"/>
    <w:rsid w:val="00501708"/>
    <w:rsid w:val="005017D9"/>
    <w:rsid w:val="005018C4"/>
    <w:rsid w:val="00501AC3"/>
    <w:rsid w:val="00502067"/>
    <w:rsid w:val="00502297"/>
    <w:rsid w:val="00502AB3"/>
    <w:rsid w:val="00502AC8"/>
    <w:rsid w:val="005037A5"/>
    <w:rsid w:val="00503802"/>
    <w:rsid w:val="00503AFB"/>
    <w:rsid w:val="00503E36"/>
    <w:rsid w:val="0050476E"/>
    <w:rsid w:val="00504D2F"/>
    <w:rsid w:val="0050576A"/>
    <w:rsid w:val="00505E1F"/>
    <w:rsid w:val="005067CD"/>
    <w:rsid w:val="00506D54"/>
    <w:rsid w:val="00506D85"/>
    <w:rsid w:val="0050719A"/>
    <w:rsid w:val="005113C8"/>
    <w:rsid w:val="00511841"/>
    <w:rsid w:val="00511A01"/>
    <w:rsid w:val="00512A52"/>
    <w:rsid w:val="005140CD"/>
    <w:rsid w:val="00514510"/>
    <w:rsid w:val="0051458D"/>
    <w:rsid w:val="00514899"/>
    <w:rsid w:val="00514F82"/>
    <w:rsid w:val="00514FFE"/>
    <w:rsid w:val="00515268"/>
    <w:rsid w:val="00515466"/>
    <w:rsid w:val="00515B85"/>
    <w:rsid w:val="00515E1A"/>
    <w:rsid w:val="00515EB4"/>
    <w:rsid w:val="00516409"/>
    <w:rsid w:val="005166B5"/>
    <w:rsid w:val="00516D21"/>
    <w:rsid w:val="00516D2D"/>
    <w:rsid w:val="00516FC5"/>
    <w:rsid w:val="005170DF"/>
    <w:rsid w:val="00517201"/>
    <w:rsid w:val="00517220"/>
    <w:rsid w:val="005172B7"/>
    <w:rsid w:val="005175DC"/>
    <w:rsid w:val="005178D9"/>
    <w:rsid w:val="00520066"/>
    <w:rsid w:val="005200D2"/>
    <w:rsid w:val="005219DC"/>
    <w:rsid w:val="00521A31"/>
    <w:rsid w:val="00521CB2"/>
    <w:rsid w:val="005224F5"/>
    <w:rsid w:val="005228A4"/>
    <w:rsid w:val="00522921"/>
    <w:rsid w:val="00522A8F"/>
    <w:rsid w:val="005230D0"/>
    <w:rsid w:val="0052344D"/>
    <w:rsid w:val="00523927"/>
    <w:rsid w:val="00523B7B"/>
    <w:rsid w:val="00524A1F"/>
    <w:rsid w:val="00524B1D"/>
    <w:rsid w:val="00525E96"/>
    <w:rsid w:val="00526428"/>
    <w:rsid w:val="00526B14"/>
    <w:rsid w:val="00526C99"/>
    <w:rsid w:val="005270EA"/>
    <w:rsid w:val="00527304"/>
    <w:rsid w:val="005274D6"/>
    <w:rsid w:val="00530A48"/>
    <w:rsid w:val="00530E92"/>
    <w:rsid w:val="005316CF"/>
    <w:rsid w:val="00531A36"/>
    <w:rsid w:val="00531D14"/>
    <w:rsid w:val="00531F3F"/>
    <w:rsid w:val="00532466"/>
    <w:rsid w:val="005326FE"/>
    <w:rsid w:val="00532D5B"/>
    <w:rsid w:val="00532DC4"/>
    <w:rsid w:val="00532FAD"/>
    <w:rsid w:val="005333E0"/>
    <w:rsid w:val="00533470"/>
    <w:rsid w:val="00533D75"/>
    <w:rsid w:val="0053454D"/>
    <w:rsid w:val="00534BBF"/>
    <w:rsid w:val="00534CE4"/>
    <w:rsid w:val="00535A3D"/>
    <w:rsid w:val="00536344"/>
    <w:rsid w:val="005363E4"/>
    <w:rsid w:val="0053650D"/>
    <w:rsid w:val="00536538"/>
    <w:rsid w:val="00536CEC"/>
    <w:rsid w:val="00536FCE"/>
    <w:rsid w:val="00537163"/>
    <w:rsid w:val="00537288"/>
    <w:rsid w:val="00537437"/>
    <w:rsid w:val="00537701"/>
    <w:rsid w:val="00537834"/>
    <w:rsid w:val="005409D1"/>
    <w:rsid w:val="0054101E"/>
    <w:rsid w:val="005413E4"/>
    <w:rsid w:val="0054181E"/>
    <w:rsid w:val="00541A6E"/>
    <w:rsid w:val="00542707"/>
    <w:rsid w:val="00542944"/>
    <w:rsid w:val="00542C7C"/>
    <w:rsid w:val="00542D2B"/>
    <w:rsid w:val="00543C6F"/>
    <w:rsid w:val="00543EDF"/>
    <w:rsid w:val="0054419C"/>
    <w:rsid w:val="0054513A"/>
    <w:rsid w:val="0054513E"/>
    <w:rsid w:val="0054553D"/>
    <w:rsid w:val="00545E88"/>
    <w:rsid w:val="00545FD5"/>
    <w:rsid w:val="00546C9B"/>
    <w:rsid w:val="00547225"/>
    <w:rsid w:val="00547423"/>
    <w:rsid w:val="00547964"/>
    <w:rsid w:val="00550133"/>
    <w:rsid w:val="00550AA2"/>
    <w:rsid w:val="00550D61"/>
    <w:rsid w:val="0055115E"/>
    <w:rsid w:val="005511AC"/>
    <w:rsid w:val="00551D1F"/>
    <w:rsid w:val="0055237F"/>
    <w:rsid w:val="00553B9E"/>
    <w:rsid w:val="00553DE7"/>
    <w:rsid w:val="005544DE"/>
    <w:rsid w:val="00554AD1"/>
    <w:rsid w:val="00555533"/>
    <w:rsid w:val="005557C5"/>
    <w:rsid w:val="00555930"/>
    <w:rsid w:val="00555BBE"/>
    <w:rsid w:val="00556625"/>
    <w:rsid w:val="005574DB"/>
    <w:rsid w:val="005578C0"/>
    <w:rsid w:val="00557F38"/>
    <w:rsid w:val="00561415"/>
    <w:rsid w:val="00561C2C"/>
    <w:rsid w:val="00561CE9"/>
    <w:rsid w:val="00561D6A"/>
    <w:rsid w:val="005620DA"/>
    <w:rsid w:val="005621B7"/>
    <w:rsid w:val="00562562"/>
    <w:rsid w:val="005626D2"/>
    <w:rsid w:val="00562E0F"/>
    <w:rsid w:val="0056308C"/>
    <w:rsid w:val="00564077"/>
    <w:rsid w:val="0056430B"/>
    <w:rsid w:val="00564554"/>
    <w:rsid w:val="00564707"/>
    <w:rsid w:val="00564A99"/>
    <w:rsid w:val="00565355"/>
    <w:rsid w:val="00565515"/>
    <w:rsid w:val="0056555A"/>
    <w:rsid w:val="0056565F"/>
    <w:rsid w:val="0056622B"/>
    <w:rsid w:val="00566472"/>
    <w:rsid w:val="005669E3"/>
    <w:rsid w:val="00566BD2"/>
    <w:rsid w:val="00566CC3"/>
    <w:rsid w:val="005673CA"/>
    <w:rsid w:val="00567BDD"/>
    <w:rsid w:val="00570437"/>
    <w:rsid w:val="00570613"/>
    <w:rsid w:val="00570BB9"/>
    <w:rsid w:val="00571205"/>
    <w:rsid w:val="00571292"/>
    <w:rsid w:val="0057138B"/>
    <w:rsid w:val="00571673"/>
    <w:rsid w:val="005719C9"/>
    <w:rsid w:val="00571AB4"/>
    <w:rsid w:val="00571CBC"/>
    <w:rsid w:val="00571D16"/>
    <w:rsid w:val="005725B4"/>
    <w:rsid w:val="00572726"/>
    <w:rsid w:val="00572911"/>
    <w:rsid w:val="00572FA6"/>
    <w:rsid w:val="00573B8C"/>
    <w:rsid w:val="00573C29"/>
    <w:rsid w:val="00573D55"/>
    <w:rsid w:val="00574366"/>
    <w:rsid w:val="0057547E"/>
    <w:rsid w:val="00575C64"/>
    <w:rsid w:val="005764A7"/>
    <w:rsid w:val="00576588"/>
    <w:rsid w:val="00576A27"/>
    <w:rsid w:val="00576BB2"/>
    <w:rsid w:val="00576E43"/>
    <w:rsid w:val="00576EF3"/>
    <w:rsid w:val="00576F30"/>
    <w:rsid w:val="005777F2"/>
    <w:rsid w:val="00577DEF"/>
    <w:rsid w:val="005803E6"/>
    <w:rsid w:val="0058044E"/>
    <w:rsid w:val="0058045B"/>
    <w:rsid w:val="00580694"/>
    <w:rsid w:val="00580ADC"/>
    <w:rsid w:val="005814DF"/>
    <w:rsid w:val="005820A4"/>
    <w:rsid w:val="00582DD3"/>
    <w:rsid w:val="00583463"/>
    <w:rsid w:val="005839CE"/>
    <w:rsid w:val="00583F52"/>
    <w:rsid w:val="005850C3"/>
    <w:rsid w:val="00585CE7"/>
    <w:rsid w:val="00586009"/>
    <w:rsid w:val="00586266"/>
    <w:rsid w:val="00586B72"/>
    <w:rsid w:val="00586C92"/>
    <w:rsid w:val="005872FD"/>
    <w:rsid w:val="00587419"/>
    <w:rsid w:val="005876E9"/>
    <w:rsid w:val="005877F8"/>
    <w:rsid w:val="00587B82"/>
    <w:rsid w:val="00587EAC"/>
    <w:rsid w:val="0059059C"/>
    <w:rsid w:val="0059083F"/>
    <w:rsid w:val="0059116D"/>
    <w:rsid w:val="00591579"/>
    <w:rsid w:val="00591666"/>
    <w:rsid w:val="0059167D"/>
    <w:rsid w:val="005924A3"/>
    <w:rsid w:val="00592917"/>
    <w:rsid w:val="005939B2"/>
    <w:rsid w:val="00594790"/>
    <w:rsid w:val="0059485B"/>
    <w:rsid w:val="005949F0"/>
    <w:rsid w:val="00594BEC"/>
    <w:rsid w:val="00594D8B"/>
    <w:rsid w:val="00595C11"/>
    <w:rsid w:val="00595D25"/>
    <w:rsid w:val="00595E4F"/>
    <w:rsid w:val="0059608D"/>
    <w:rsid w:val="005960EB"/>
    <w:rsid w:val="00596329"/>
    <w:rsid w:val="005963FB"/>
    <w:rsid w:val="00596543"/>
    <w:rsid w:val="0059688C"/>
    <w:rsid w:val="00596D95"/>
    <w:rsid w:val="00596EBD"/>
    <w:rsid w:val="00597CA8"/>
    <w:rsid w:val="005A03F9"/>
    <w:rsid w:val="005A0A47"/>
    <w:rsid w:val="005A0A4D"/>
    <w:rsid w:val="005A0D04"/>
    <w:rsid w:val="005A1112"/>
    <w:rsid w:val="005A14B1"/>
    <w:rsid w:val="005A14E5"/>
    <w:rsid w:val="005A14EA"/>
    <w:rsid w:val="005A1920"/>
    <w:rsid w:val="005A1B75"/>
    <w:rsid w:val="005A2252"/>
    <w:rsid w:val="005A2657"/>
    <w:rsid w:val="005A27B5"/>
    <w:rsid w:val="005A39EC"/>
    <w:rsid w:val="005A3E52"/>
    <w:rsid w:val="005A3FF0"/>
    <w:rsid w:val="005A4161"/>
    <w:rsid w:val="005A462A"/>
    <w:rsid w:val="005A4AF4"/>
    <w:rsid w:val="005A4CAF"/>
    <w:rsid w:val="005A538B"/>
    <w:rsid w:val="005A53D8"/>
    <w:rsid w:val="005A53FD"/>
    <w:rsid w:val="005A54A4"/>
    <w:rsid w:val="005A6CE6"/>
    <w:rsid w:val="005A71B1"/>
    <w:rsid w:val="005A770E"/>
    <w:rsid w:val="005A7CBE"/>
    <w:rsid w:val="005A7DC9"/>
    <w:rsid w:val="005B0032"/>
    <w:rsid w:val="005B041B"/>
    <w:rsid w:val="005B0540"/>
    <w:rsid w:val="005B07A1"/>
    <w:rsid w:val="005B08C1"/>
    <w:rsid w:val="005B0942"/>
    <w:rsid w:val="005B0D96"/>
    <w:rsid w:val="005B0EE7"/>
    <w:rsid w:val="005B1FE9"/>
    <w:rsid w:val="005B2367"/>
    <w:rsid w:val="005B268A"/>
    <w:rsid w:val="005B2A36"/>
    <w:rsid w:val="005B327F"/>
    <w:rsid w:val="005B3D25"/>
    <w:rsid w:val="005B3E43"/>
    <w:rsid w:val="005B42CA"/>
    <w:rsid w:val="005B4630"/>
    <w:rsid w:val="005B4674"/>
    <w:rsid w:val="005B4999"/>
    <w:rsid w:val="005B49E3"/>
    <w:rsid w:val="005B5B8B"/>
    <w:rsid w:val="005B720C"/>
    <w:rsid w:val="005C0621"/>
    <w:rsid w:val="005C06C1"/>
    <w:rsid w:val="005C0872"/>
    <w:rsid w:val="005C0E9A"/>
    <w:rsid w:val="005C101B"/>
    <w:rsid w:val="005C134D"/>
    <w:rsid w:val="005C14B4"/>
    <w:rsid w:val="005C1895"/>
    <w:rsid w:val="005C2557"/>
    <w:rsid w:val="005C25FF"/>
    <w:rsid w:val="005C2C79"/>
    <w:rsid w:val="005C2CBE"/>
    <w:rsid w:val="005C370A"/>
    <w:rsid w:val="005C3720"/>
    <w:rsid w:val="005C3B62"/>
    <w:rsid w:val="005C42C2"/>
    <w:rsid w:val="005C431E"/>
    <w:rsid w:val="005C444C"/>
    <w:rsid w:val="005C458B"/>
    <w:rsid w:val="005C461A"/>
    <w:rsid w:val="005C4804"/>
    <w:rsid w:val="005C4A35"/>
    <w:rsid w:val="005C5439"/>
    <w:rsid w:val="005C5B27"/>
    <w:rsid w:val="005C5B76"/>
    <w:rsid w:val="005C5BA7"/>
    <w:rsid w:val="005C5BF3"/>
    <w:rsid w:val="005C60C4"/>
    <w:rsid w:val="005C6493"/>
    <w:rsid w:val="005C6528"/>
    <w:rsid w:val="005C67F0"/>
    <w:rsid w:val="005C6A41"/>
    <w:rsid w:val="005C711F"/>
    <w:rsid w:val="005C7302"/>
    <w:rsid w:val="005C76E8"/>
    <w:rsid w:val="005C7741"/>
    <w:rsid w:val="005C776D"/>
    <w:rsid w:val="005C7AB8"/>
    <w:rsid w:val="005C7CCE"/>
    <w:rsid w:val="005D0016"/>
    <w:rsid w:val="005D0845"/>
    <w:rsid w:val="005D108A"/>
    <w:rsid w:val="005D16E7"/>
    <w:rsid w:val="005D1729"/>
    <w:rsid w:val="005D17EF"/>
    <w:rsid w:val="005D1AB5"/>
    <w:rsid w:val="005D1B52"/>
    <w:rsid w:val="005D22D0"/>
    <w:rsid w:val="005D24ED"/>
    <w:rsid w:val="005D2993"/>
    <w:rsid w:val="005D2D18"/>
    <w:rsid w:val="005D435C"/>
    <w:rsid w:val="005D4C82"/>
    <w:rsid w:val="005D4E34"/>
    <w:rsid w:val="005D4F37"/>
    <w:rsid w:val="005D51BA"/>
    <w:rsid w:val="005D530F"/>
    <w:rsid w:val="005D60DB"/>
    <w:rsid w:val="005D659E"/>
    <w:rsid w:val="005D7DAB"/>
    <w:rsid w:val="005E00D1"/>
    <w:rsid w:val="005E01A0"/>
    <w:rsid w:val="005E0492"/>
    <w:rsid w:val="005E0604"/>
    <w:rsid w:val="005E070D"/>
    <w:rsid w:val="005E0A02"/>
    <w:rsid w:val="005E109C"/>
    <w:rsid w:val="005E116C"/>
    <w:rsid w:val="005E1D8E"/>
    <w:rsid w:val="005E2165"/>
    <w:rsid w:val="005E24D4"/>
    <w:rsid w:val="005E26BD"/>
    <w:rsid w:val="005E274A"/>
    <w:rsid w:val="005E2AFB"/>
    <w:rsid w:val="005E3591"/>
    <w:rsid w:val="005E362F"/>
    <w:rsid w:val="005E3CFB"/>
    <w:rsid w:val="005E48C9"/>
    <w:rsid w:val="005E495B"/>
    <w:rsid w:val="005E4E09"/>
    <w:rsid w:val="005E5195"/>
    <w:rsid w:val="005E52E5"/>
    <w:rsid w:val="005E5995"/>
    <w:rsid w:val="005E5DE0"/>
    <w:rsid w:val="005E5FDA"/>
    <w:rsid w:val="005E632F"/>
    <w:rsid w:val="005E68F5"/>
    <w:rsid w:val="005E6B68"/>
    <w:rsid w:val="005E6CD3"/>
    <w:rsid w:val="005E6D50"/>
    <w:rsid w:val="005E70E5"/>
    <w:rsid w:val="005E71A2"/>
    <w:rsid w:val="005E74D4"/>
    <w:rsid w:val="005E76E0"/>
    <w:rsid w:val="005E782A"/>
    <w:rsid w:val="005E7BC1"/>
    <w:rsid w:val="005F047F"/>
    <w:rsid w:val="005F07AA"/>
    <w:rsid w:val="005F0D19"/>
    <w:rsid w:val="005F10CC"/>
    <w:rsid w:val="005F1762"/>
    <w:rsid w:val="005F19A1"/>
    <w:rsid w:val="005F1D94"/>
    <w:rsid w:val="005F1E78"/>
    <w:rsid w:val="005F295B"/>
    <w:rsid w:val="005F2AEB"/>
    <w:rsid w:val="005F34A8"/>
    <w:rsid w:val="005F34C2"/>
    <w:rsid w:val="005F3DBA"/>
    <w:rsid w:val="005F4261"/>
    <w:rsid w:val="005F4C10"/>
    <w:rsid w:val="005F53A9"/>
    <w:rsid w:val="005F568C"/>
    <w:rsid w:val="005F5ECC"/>
    <w:rsid w:val="005F6177"/>
    <w:rsid w:val="005F61A1"/>
    <w:rsid w:val="005F6211"/>
    <w:rsid w:val="005F64DA"/>
    <w:rsid w:val="005F6A69"/>
    <w:rsid w:val="005F6C94"/>
    <w:rsid w:val="005F6F49"/>
    <w:rsid w:val="005F756C"/>
    <w:rsid w:val="0060054A"/>
    <w:rsid w:val="00600856"/>
    <w:rsid w:val="00600C93"/>
    <w:rsid w:val="00601555"/>
    <w:rsid w:val="006015D7"/>
    <w:rsid w:val="006016DD"/>
    <w:rsid w:val="0060194B"/>
    <w:rsid w:val="00601A7B"/>
    <w:rsid w:val="00601D01"/>
    <w:rsid w:val="00602721"/>
    <w:rsid w:val="00602A02"/>
    <w:rsid w:val="00602B14"/>
    <w:rsid w:val="0060352B"/>
    <w:rsid w:val="00603780"/>
    <w:rsid w:val="006038EA"/>
    <w:rsid w:val="00603BC4"/>
    <w:rsid w:val="00603D1F"/>
    <w:rsid w:val="00603F02"/>
    <w:rsid w:val="00603FA2"/>
    <w:rsid w:val="006041AF"/>
    <w:rsid w:val="00604776"/>
    <w:rsid w:val="00604A4C"/>
    <w:rsid w:val="00604D54"/>
    <w:rsid w:val="0060543C"/>
    <w:rsid w:val="0060558A"/>
    <w:rsid w:val="00605C04"/>
    <w:rsid w:val="0060661D"/>
    <w:rsid w:val="00606CD6"/>
    <w:rsid w:val="00606E99"/>
    <w:rsid w:val="00606FA0"/>
    <w:rsid w:val="00606FDF"/>
    <w:rsid w:val="00610385"/>
    <w:rsid w:val="006106CA"/>
    <w:rsid w:val="00610B3C"/>
    <w:rsid w:val="00610DA4"/>
    <w:rsid w:val="00610EEF"/>
    <w:rsid w:val="00611010"/>
    <w:rsid w:val="006114DF"/>
    <w:rsid w:val="00611B04"/>
    <w:rsid w:val="00611D27"/>
    <w:rsid w:val="00611D86"/>
    <w:rsid w:val="006125C6"/>
    <w:rsid w:val="00612F8C"/>
    <w:rsid w:val="006130DA"/>
    <w:rsid w:val="00613AB2"/>
    <w:rsid w:val="00614391"/>
    <w:rsid w:val="0061483B"/>
    <w:rsid w:val="006149BB"/>
    <w:rsid w:val="00614B83"/>
    <w:rsid w:val="00614D19"/>
    <w:rsid w:val="006150FE"/>
    <w:rsid w:val="006156BA"/>
    <w:rsid w:val="00615FD8"/>
    <w:rsid w:val="006162AF"/>
    <w:rsid w:val="0061687C"/>
    <w:rsid w:val="006174DD"/>
    <w:rsid w:val="00617BD5"/>
    <w:rsid w:val="00617D67"/>
    <w:rsid w:val="0062001E"/>
    <w:rsid w:val="006203C2"/>
    <w:rsid w:val="00620FC5"/>
    <w:rsid w:val="006211D2"/>
    <w:rsid w:val="006218C5"/>
    <w:rsid w:val="00621B5B"/>
    <w:rsid w:val="00621B8D"/>
    <w:rsid w:val="00622263"/>
    <w:rsid w:val="0062232D"/>
    <w:rsid w:val="00622412"/>
    <w:rsid w:val="0062250F"/>
    <w:rsid w:val="006226DB"/>
    <w:rsid w:val="00622DB1"/>
    <w:rsid w:val="00622E2E"/>
    <w:rsid w:val="00623058"/>
    <w:rsid w:val="00623A97"/>
    <w:rsid w:val="00623FD4"/>
    <w:rsid w:val="006241B6"/>
    <w:rsid w:val="00624CD9"/>
    <w:rsid w:val="00625113"/>
    <w:rsid w:val="00625843"/>
    <w:rsid w:val="00625EC8"/>
    <w:rsid w:val="00625FFF"/>
    <w:rsid w:val="006261F4"/>
    <w:rsid w:val="0062649F"/>
    <w:rsid w:val="00626555"/>
    <w:rsid w:val="00626E13"/>
    <w:rsid w:val="00627187"/>
    <w:rsid w:val="006273B4"/>
    <w:rsid w:val="00627B98"/>
    <w:rsid w:val="00627C3C"/>
    <w:rsid w:val="00627D13"/>
    <w:rsid w:val="00630269"/>
    <w:rsid w:val="0063107E"/>
    <w:rsid w:val="006312B0"/>
    <w:rsid w:val="0063174E"/>
    <w:rsid w:val="00631C25"/>
    <w:rsid w:val="00632FD5"/>
    <w:rsid w:val="00633D69"/>
    <w:rsid w:val="0063404D"/>
    <w:rsid w:val="006349A9"/>
    <w:rsid w:val="006349FA"/>
    <w:rsid w:val="00634D9E"/>
    <w:rsid w:val="00634ED6"/>
    <w:rsid w:val="0063518F"/>
    <w:rsid w:val="00635925"/>
    <w:rsid w:val="00635D1A"/>
    <w:rsid w:val="00635E88"/>
    <w:rsid w:val="006361DB"/>
    <w:rsid w:val="0063634A"/>
    <w:rsid w:val="0063667B"/>
    <w:rsid w:val="00636704"/>
    <w:rsid w:val="00636B94"/>
    <w:rsid w:val="00636BC6"/>
    <w:rsid w:val="00636E60"/>
    <w:rsid w:val="00636F84"/>
    <w:rsid w:val="00637124"/>
    <w:rsid w:val="0063783B"/>
    <w:rsid w:val="0063798D"/>
    <w:rsid w:val="00637FAC"/>
    <w:rsid w:val="00640150"/>
    <w:rsid w:val="006402C2"/>
    <w:rsid w:val="00640415"/>
    <w:rsid w:val="006406B6"/>
    <w:rsid w:val="0064096C"/>
    <w:rsid w:val="00640E81"/>
    <w:rsid w:val="00640F92"/>
    <w:rsid w:val="00640FC7"/>
    <w:rsid w:val="006414A1"/>
    <w:rsid w:val="006416AF"/>
    <w:rsid w:val="00641A84"/>
    <w:rsid w:val="00641C2C"/>
    <w:rsid w:val="0064239A"/>
    <w:rsid w:val="00642C03"/>
    <w:rsid w:val="00642C11"/>
    <w:rsid w:val="00642CBB"/>
    <w:rsid w:val="00642FB0"/>
    <w:rsid w:val="00643104"/>
    <w:rsid w:val="0064493D"/>
    <w:rsid w:val="00644C9E"/>
    <w:rsid w:val="00645634"/>
    <w:rsid w:val="00645927"/>
    <w:rsid w:val="00645D83"/>
    <w:rsid w:val="00646261"/>
    <w:rsid w:val="00646398"/>
    <w:rsid w:val="0064665F"/>
    <w:rsid w:val="006468BD"/>
    <w:rsid w:val="00646A9A"/>
    <w:rsid w:val="0064705F"/>
    <w:rsid w:val="00647119"/>
    <w:rsid w:val="0064735E"/>
    <w:rsid w:val="00650074"/>
    <w:rsid w:val="00650841"/>
    <w:rsid w:val="00651010"/>
    <w:rsid w:val="0065123D"/>
    <w:rsid w:val="0065188E"/>
    <w:rsid w:val="00651ACB"/>
    <w:rsid w:val="00651F6B"/>
    <w:rsid w:val="00652540"/>
    <w:rsid w:val="006527D3"/>
    <w:rsid w:val="00652AC6"/>
    <w:rsid w:val="00652AD8"/>
    <w:rsid w:val="00652B12"/>
    <w:rsid w:val="00652ED9"/>
    <w:rsid w:val="006531C9"/>
    <w:rsid w:val="00653B41"/>
    <w:rsid w:val="00653C48"/>
    <w:rsid w:val="00653D5C"/>
    <w:rsid w:val="00653DBA"/>
    <w:rsid w:val="00653EC7"/>
    <w:rsid w:val="00653F71"/>
    <w:rsid w:val="0065489E"/>
    <w:rsid w:val="006549FF"/>
    <w:rsid w:val="00654D3D"/>
    <w:rsid w:val="006552AE"/>
    <w:rsid w:val="0065533C"/>
    <w:rsid w:val="00655D02"/>
    <w:rsid w:val="0065621A"/>
    <w:rsid w:val="00656366"/>
    <w:rsid w:val="00656550"/>
    <w:rsid w:val="00656C93"/>
    <w:rsid w:val="006572F9"/>
    <w:rsid w:val="00657637"/>
    <w:rsid w:val="006578BC"/>
    <w:rsid w:val="00657B8B"/>
    <w:rsid w:val="006602D1"/>
    <w:rsid w:val="00660642"/>
    <w:rsid w:val="0066065F"/>
    <w:rsid w:val="00660768"/>
    <w:rsid w:val="00660A2F"/>
    <w:rsid w:val="00661032"/>
    <w:rsid w:val="00661206"/>
    <w:rsid w:val="006616F4"/>
    <w:rsid w:val="00661D68"/>
    <w:rsid w:val="00661DFF"/>
    <w:rsid w:val="0066212A"/>
    <w:rsid w:val="00662311"/>
    <w:rsid w:val="00662CCB"/>
    <w:rsid w:val="00662FC4"/>
    <w:rsid w:val="006638AF"/>
    <w:rsid w:val="00663C6B"/>
    <w:rsid w:val="006640D7"/>
    <w:rsid w:val="006643C2"/>
    <w:rsid w:val="00664740"/>
    <w:rsid w:val="00664979"/>
    <w:rsid w:val="00664C3E"/>
    <w:rsid w:val="00664D83"/>
    <w:rsid w:val="006651C4"/>
    <w:rsid w:val="00665466"/>
    <w:rsid w:val="0066569B"/>
    <w:rsid w:val="0066576B"/>
    <w:rsid w:val="00666144"/>
    <w:rsid w:val="00666742"/>
    <w:rsid w:val="00666C7B"/>
    <w:rsid w:val="00666FAB"/>
    <w:rsid w:val="00667476"/>
    <w:rsid w:val="00667CBD"/>
    <w:rsid w:val="00670139"/>
    <w:rsid w:val="006706CB"/>
    <w:rsid w:val="006707B5"/>
    <w:rsid w:val="00670D5E"/>
    <w:rsid w:val="00670F0E"/>
    <w:rsid w:val="00670FC0"/>
    <w:rsid w:val="006718D5"/>
    <w:rsid w:val="00671D89"/>
    <w:rsid w:val="0067336C"/>
    <w:rsid w:val="006734D2"/>
    <w:rsid w:val="0067401D"/>
    <w:rsid w:val="00674112"/>
    <w:rsid w:val="00674AE3"/>
    <w:rsid w:val="006755DA"/>
    <w:rsid w:val="00675CD0"/>
    <w:rsid w:val="00676058"/>
    <w:rsid w:val="006760C5"/>
    <w:rsid w:val="00676516"/>
    <w:rsid w:val="00676EEC"/>
    <w:rsid w:val="006774A3"/>
    <w:rsid w:val="00677CC3"/>
    <w:rsid w:val="0068003C"/>
    <w:rsid w:val="00680174"/>
    <w:rsid w:val="006801B5"/>
    <w:rsid w:val="0068034D"/>
    <w:rsid w:val="006805E5"/>
    <w:rsid w:val="00680760"/>
    <w:rsid w:val="00680CE7"/>
    <w:rsid w:val="00681152"/>
    <w:rsid w:val="006811A5"/>
    <w:rsid w:val="00681313"/>
    <w:rsid w:val="006814D3"/>
    <w:rsid w:val="00681700"/>
    <w:rsid w:val="00681AD9"/>
    <w:rsid w:val="00681F6F"/>
    <w:rsid w:val="00682075"/>
    <w:rsid w:val="006822B4"/>
    <w:rsid w:val="00682593"/>
    <w:rsid w:val="006827F4"/>
    <w:rsid w:val="00682F4C"/>
    <w:rsid w:val="006831F5"/>
    <w:rsid w:val="00683435"/>
    <w:rsid w:val="006834D1"/>
    <w:rsid w:val="00684712"/>
    <w:rsid w:val="00684D97"/>
    <w:rsid w:val="006851CF"/>
    <w:rsid w:val="0068529D"/>
    <w:rsid w:val="00685389"/>
    <w:rsid w:val="00685452"/>
    <w:rsid w:val="00685B31"/>
    <w:rsid w:val="0068753D"/>
    <w:rsid w:val="00687939"/>
    <w:rsid w:val="00687C41"/>
    <w:rsid w:val="00687E1E"/>
    <w:rsid w:val="00687E67"/>
    <w:rsid w:val="00687F50"/>
    <w:rsid w:val="006901FC"/>
    <w:rsid w:val="0069044C"/>
    <w:rsid w:val="00690AEC"/>
    <w:rsid w:val="00690BBF"/>
    <w:rsid w:val="00690E2C"/>
    <w:rsid w:val="0069141E"/>
    <w:rsid w:val="006914B9"/>
    <w:rsid w:val="0069175E"/>
    <w:rsid w:val="006918B0"/>
    <w:rsid w:val="00691985"/>
    <w:rsid w:val="00691B74"/>
    <w:rsid w:val="00691F46"/>
    <w:rsid w:val="0069240E"/>
    <w:rsid w:val="006928DE"/>
    <w:rsid w:val="00692959"/>
    <w:rsid w:val="00692CCD"/>
    <w:rsid w:val="006931AE"/>
    <w:rsid w:val="0069374F"/>
    <w:rsid w:val="00693799"/>
    <w:rsid w:val="00693BBF"/>
    <w:rsid w:val="00693ED9"/>
    <w:rsid w:val="00694331"/>
    <w:rsid w:val="00694393"/>
    <w:rsid w:val="0069487A"/>
    <w:rsid w:val="00695EF6"/>
    <w:rsid w:val="00695FED"/>
    <w:rsid w:val="0069625B"/>
    <w:rsid w:val="0069639F"/>
    <w:rsid w:val="006963C2"/>
    <w:rsid w:val="006968B7"/>
    <w:rsid w:val="00696935"/>
    <w:rsid w:val="00697523"/>
    <w:rsid w:val="0069757C"/>
    <w:rsid w:val="006A0395"/>
    <w:rsid w:val="006A0AFB"/>
    <w:rsid w:val="006A0E68"/>
    <w:rsid w:val="006A1166"/>
    <w:rsid w:val="006A13DF"/>
    <w:rsid w:val="006A1492"/>
    <w:rsid w:val="006A14F0"/>
    <w:rsid w:val="006A1883"/>
    <w:rsid w:val="006A1904"/>
    <w:rsid w:val="006A1938"/>
    <w:rsid w:val="006A1C15"/>
    <w:rsid w:val="006A204B"/>
    <w:rsid w:val="006A23BD"/>
    <w:rsid w:val="006A2569"/>
    <w:rsid w:val="006A2B4C"/>
    <w:rsid w:val="006A2F5E"/>
    <w:rsid w:val="006A3048"/>
    <w:rsid w:val="006A3367"/>
    <w:rsid w:val="006A336C"/>
    <w:rsid w:val="006A373E"/>
    <w:rsid w:val="006A3DF8"/>
    <w:rsid w:val="006A41F4"/>
    <w:rsid w:val="006A4AE6"/>
    <w:rsid w:val="006A4BFB"/>
    <w:rsid w:val="006A5065"/>
    <w:rsid w:val="006A5226"/>
    <w:rsid w:val="006A588F"/>
    <w:rsid w:val="006A5A98"/>
    <w:rsid w:val="006A5ED4"/>
    <w:rsid w:val="006A61C7"/>
    <w:rsid w:val="006A630E"/>
    <w:rsid w:val="006A6614"/>
    <w:rsid w:val="006A6A4F"/>
    <w:rsid w:val="006A70A7"/>
    <w:rsid w:val="006A7B54"/>
    <w:rsid w:val="006A7E65"/>
    <w:rsid w:val="006A7FBE"/>
    <w:rsid w:val="006B0884"/>
    <w:rsid w:val="006B0A6B"/>
    <w:rsid w:val="006B1741"/>
    <w:rsid w:val="006B1748"/>
    <w:rsid w:val="006B180C"/>
    <w:rsid w:val="006B188D"/>
    <w:rsid w:val="006B1B97"/>
    <w:rsid w:val="006B1C08"/>
    <w:rsid w:val="006B1C89"/>
    <w:rsid w:val="006B1DB6"/>
    <w:rsid w:val="006B1DD5"/>
    <w:rsid w:val="006B1F86"/>
    <w:rsid w:val="006B26FB"/>
    <w:rsid w:val="006B2856"/>
    <w:rsid w:val="006B289E"/>
    <w:rsid w:val="006B2905"/>
    <w:rsid w:val="006B2974"/>
    <w:rsid w:val="006B3631"/>
    <w:rsid w:val="006B378C"/>
    <w:rsid w:val="006B396C"/>
    <w:rsid w:val="006B39F5"/>
    <w:rsid w:val="006B3FA2"/>
    <w:rsid w:val="006B4110"/>
    <w:rsid w:val="006B4618"/>
    <w:rsid w:val="006B4E5B"/>
    <w:rsid w:val="006B513A"/>
    <w:rsid w:val="006B52BB"/>
    <w:rsid w:val="006B5FAC"/>
    <w:rsid w:val="006B6385"/>
    <w:rsid w:val="006B68DB"/>
    <w:rsid w:val="006B6BC5"/>
    <w:rsid w:val="006B6C56"/>
    <w:rsid w:val="006B755E"/>
    <w:rsid w:val="006B763B"/>
    <w:rsid w:val="006B7ACD"/>
    <w:rsid w:val="006B7AE2"/>
    <w:rsid w:val="006C0481"/>
    <w:rsid w:val="006C0CEC"/>
    <w:rsid w:val="006C0F51"/>
    <w:rsid w:val="006C1239"/>
    <w:rsid w:val="006C1441"/>
    <w:rsid w:val="006C15F5"/>
    <w:rsid w:val="006C1A07"/>
    <w:rsid w:val="006C1A2D"/>
    <w:rsid w:val="006C1C0E"/>
    <w:rsid w:val="006C1C1B"/>
    <w:rsid w:val="006C1C4C"/>
    <w:rsid w:val="006C20BD"/>
    <w:rsid w:val="006C245F"/>
    <w:rsid w:val="006C26ED"/>
    <w:rsid w:val="006C3041"/>
    <w:rsid w:val="006C3951"/>
    <w:rsid w:val="006C3C50"/>
    <w:rsid w:val="006C4238"/>
    <w:rsid w:val="006C423C"/>
    <w:rsid w:val="006C4A9A"/>
    <w:rsid w:val="006C4AD1"/>
    <w:rsid w:val="006C5439"/>
    <w:rsid w:val="006C560B"/>
    <w:rsid w:val="006C5706"/>
    <w:rsid w:val="006C57BD"/>
    <w:rsid w:val="006C57F3"/>
    <w:rsid w:val="006C5A1D"/>
    <w:rsid w:val="006C5AEE"/>
    <w:rsid w:val="006C5ED6"/>
    <w:rsid w:val="006C639D"/>
    <w:rsid w:val="006C6608"/>
    <w:rsid w:val="006C67EF"/>
    <w:rsid w:val="006C6953"/>
    <w:rsid w:val="006C7111"/>
    <w:rsid w:val="006C7C86"/>
    <w:rsid w:val="006C7FD7"/>
    <w:rsid w:val="006D055D"/>
    <w:rsid w:val="006D0E64"/>
    <w:rsid w:val="006D10AD"/>
    <w:rsid w:val="006D1253"/>
    <w:rsid w:val="006D175A"/>
    <w:rsid w:val="006D20DA"/>
    <w:rsid w:val="006D2669"/>
    <w:rsid w:val="006D2671"/>
    <w:rsid w:val="006D2852"/>
    <w:rsid w:val="006D2B60"/>
    <w:rsid w:val="006D2D4A"/>
    <w:rsid w:val="006D2D77"/>
    <w:rsid w:val="006D2D92"/>
    <w:rsid w:val="006D2DB8"/>
    <w:rsid w:val="006D3424"/>
    <w:rsid w:val="006D37A3"/>
    <w:rsid w:val="006D3A22"/>
    <w:rsid w:val="006D4606"/>
    <w:rsid w:val="006D4AAD"/>
    <w:rsid w:val="006D4C9E"/>
    <w:rsid w:val="006D4E86"/>
    <w:rsid w:val="006D501E"/>
    <w:rsid w:val="006D54E3"/>
    <w:rsid w:val="006D5B6E"/>
    <w:rsid w:val="006D5DA8"/>
    <w:rsid w:val="006D6084"/>
    <w:rsid w:val="006D6654"/>
    <w:rsid w:val="006D666E"/>
    <w:rsid w:val="006D6CBA"/>
    <w:rsid w:val="006D7037"/>
    <w:rsid w:val="006D71C6"/>
    <w:rsid w:val="006D7393"/>
    <w:rsid w:val="006D7E0C"/>
    <w:rsid w:val="006D7E95"/>
    <w:rsid w:val="006D7FD9"/>
    <w:rsid w:val="006E04C6"/>
    <w:rsid w:val="006E1247"/>
    <w:rsid w:val="006E14DC"/>
    <w:rsid w:val="006E1537"/>
    <w:rsid w:val="006E19D8"/>
    <w:rsid w:val="006E1B5E"/>
    <w:rsid w:val="006E1D8B"/>
    <w:rsid w:val="006E1EF4"/>
    <w:rsid w:val="006E2232"/>
    <w:rsid w:val="006E2399"/>
    <w:rsid w:val="006E261E"/>
    <w:rsid w:val="006E26B9"/>
    <w:rsid w:val="006E2F18"/>
    <w:rsid w:val="006E2FE7"/>
    <w:rsid w:val="006E483C"/>
    <w:rsid w:val="006E4869"/>
    <w:rsid w:val="006E4FE7"/>
    <w:rsid w:val="006E5632"/>
    <w:rsid w:val="006E58BA"/>
    <w:rsid w:val="006E5EC6"/>
    <w:rsid w:val="006E5F0A"/>
    <w:rsid w:val="006E6123"/>
    <w:rsid w:val="006E6147"/>
    <w:rsid w:val="006E696C"/>
    <w:rsid w:val="006E6C84"/>
    <w:rsid w:val="006E731A"/>
    <w:rsid w:val="006E7409"/>
    <w:rsid w:val="006E743B"/>
    <w:rsid w:val="006E7A11"/>
    <w:rsid w:val="006E7D8F"/>
    <w:rsid w:val="006E7F6B"/>
    <w:rsid w:val="006F029E"/>
    <w:rsid w:val="006F0380"/>
    <w:rsid w:val="006F0AD7"/>
    <w:rsid w:val="006F0CE8"/>
    <w:rsid w:val="006F1321"/>
    <w:rsid w:val="006F188D"/>
    <w:rsid w:val="006F1E73"/>
    <w:rsid w:val="006F25EA"/>
    <w:rsid w:val="006F2880"/>
    <w:rsid w:val="006F2ABA"/>
    <w:rsid w:val="006F3E70"/>
    <w:rsid w:val="006F3F52"/>
    <w:rsid w:val="006F448F"/>
    <w:rsid w:val="006F48B0"/>
    <w:rsid w:val="006F4910"/>
    <w:rsid w:val="006F4C48"/>
    <w:rsid w:val="006F59DB"/>
    <w:rsid w:val="006F5A15"/>
    <w:rsid w:val="006F5F2A"/>
    <w:rsid w:val="006F5F40"/>
    <w:rsid w:val="006F6403"/>
    <w:rsid w:val="006F6B04"/>
    <w:rsid w:val="006F73CF"/>
    <w:rsid w:val="006F77C6"/>
    <w:rsid w:val="006F798F"/>
    <w:rsid w:val="006FFEB8"/>
    <w:rsid w:val="007001DE"/>
    <w:rsid w:val="00700267"/>
    <w:rsid w:val="00700811"/>
    <w:rsid w:val="007008B8"/>
    <w:rsid w:val="00700D42"/>
    <w:rsid w:val="00700FAA"/>
    <w:rsid w:val="0070115C"/>
    <w:rsid w:val="00701291"/>
    <w:rsid w:val="007015EE"/>
    <w:rsid w:val="00701D27"/>
    <w:rsid w:val="00701E04"/>
    <w:rsid w:val="00702343"/>
    <w:rsid w:val="007023EC"/>
    <w:rsid w:val="00702556"/>
    <w:rsid w:val="007027F0"/>
    <w:rsid w:val="00702936"/>
    <w:rsid w:val="00702937"/>
    <w:rsid w:val="00702E15"/>
    <w:rsid w:val="00702E16"/>
    <w:rsid w:val="00702E59"/>
    <w:rsid w:val="007031AA"/>
    <w:rsid w:val="007037BE"/>
    <w:rsid w:val="0070387D"/>
    <w:rsid w:val="0070509A"/>
    <w:rsid w:val="007050D1"/>
    <w:rsid w:val="00705334"/>
    <w:rsid w:val="00705599"/>
    <w:rsid w:val="00705631"/>
    <w:rsid w:val="00705816"/>
    <w:rsid w:val="00705B5B"/>
    <w:rsid w:val="00705CA8"/>
    <w:rsid w:val="00705D14"/>
    <w:rsid w:val="0070692F"/>
    <w:rsid w:val="00706C93"/>
    <w:rsid w:val="00707021"/>
    <w:rsid w:val="00707995"/>
    <w:rsid w:val="007079CB"/>
    <w:rsid w:val="00707E2F"/>
    <w:rsid w:val="00707ED0"/>
    <w:rsid w:val="007102AF"/>
    <w:rsid w:val="00710416"/>
    <w:rsid w:val="007107F8"/>
    <w:rsid w:val="007110A4"/>
    <w:rsid w:val="00712244"/>
    <w:rsid w:val="0071243D"/>
    <w:rsid w:val="007124D6"/>
    <w:rsid w:val="007126C1"/>
    <w:rsid w:val="0071308B"/>
    <w:rsid w:val="007130F9"/>
    <w:rsid w:val="007133BA"/>
    <w:rsid w:val="007139CE"/>
    <w:rsid w:val="00713BAD"/>
    <w:rsid w:val="00713BB5"/>
    <w:rsid w:val="0071412A"/>
    <w:rsid w:val="00715207"/>
    <w:rsid w:val="0071559F"/>
    <w:rsid w:val="00715799"/>
    <w:rsid w:val="00715DF8"/>
    <w:rsid w:val="00716EEB"/>
    <w:rsid w:val="00717B80"/>
    <w:rsid w:val="00720507"/>
    <w:rsid w:val="007208AE"/>
    <w:rsid w:val="007208D9"/>
    <w:rsid w:val="00720BFF"/>
    <w:rsid w:val="00720D5F"/>
    <w:rsid w:val="00720E5C"/>
    <w:rsid w:val="00721E4C"/>
    <w:rsid w:val="007222AB"/>
    <w:rsid w:val="0072230B"/>
    <w:rsid w:val="00722338"/>
    <w:rsid w:val="007224C9"/>
    <w:rsid w:val="007225ED"/>
    <w:rsid w:val="0072270F"/>
    <w:rsid w:val="00722950"/>
    <w:rsid w:val="00722DBF"/>
    <w:rsid w:val="0072316F"/>
    <w:rsid w:val="0072344A"/>
    <w:rsid w:val="00723E9C"/>
    <w:rsid w:val="007240CA"/>
    <w:rsid w:val="00724538"/>
    <w:rsid w:val="00724548"/>
    <w:rsid w:val="0072498D"/>
    <w:rsid w:val="007249AD"/>
    <w:rsid w:val="007249F6"/>
    <w:rsid w:val="00724E67"/>
    <w:rsid w:val="007251D6"/>
    <w:rsid w:val="00725252"/>
    <w:rsid w:val="00725882"/>
    <w:rsid w:val="00725DD3"/>
    <w:rsid w:val="0072615A"/>
    <w:rsid w:val="007263FF"/>
    <w:rsid w:val="00726509"/>
    <w:rsid w:val="007265FD"/>
    <w:rsid w:val="00726AB6"/>
    <w:rsid w:val="00726AC3"/>
    <w:rsid w:val="00726CC8"/>
    <w:rsid w:val="00727740"/>
    <w:rsid w:val="007277C0"/>
    <w:rsid w:val="00730169"/>
    <w:rsid w:val="00730265"/>
    <w:rsid w:val="007302BD"/>
    <w:rsid w:val="00730621"/>
    <w:rsid w:val="00730967"/>
    <w:rsid w:val="00730BBB"/>
    <w:rsid w:val="00731334"/>
    <w:rsid w:val="00731538"/>
    <w:rsid w:val="00731558"/>
    <w:rsid w:val="007317DA"/>
    <w:rsid w:val="00731E92"/>
    <w:rsid w:val="007326FA"/>
    <w:rsid w:val="00732C47"/>
    <w:rsid w:val="00732D6F"/>
    <w:rsid w:val="007331F0"/>
    <w:rsid w:val="007334BE"/>
    <w:rsid w:val="00733D06"/>
    <w:rsid w:val="00734229"/>
    <w:rsid w:val="00734354"/>
    <w:rsid w:val="00734602"/>
    <w:rsid w:val="007347F2"/>
    <w:rsid w:val="00734FB6"/>
    <w:rsid w:val="00735047"/>
    <w:rsid w:val="007351BE"/>
    <w:rsid w:val="007353D0"/>
    <w:rsid w:val="00735461"/>
    <w:rsid w:val="0073587E"/>
    <w:rsid w:val="007359E8"/>
    <w:rsid w:val="00735DC7"/>
    <w:rsid w:val="007365C6"/>
    <w:rsid w:val="007366C6"/>
    <w:rsid w:val="00736705"/>
    <w:rsid w:val="00736BDB"/>
    <w:rsid w:val="00736C62"/>
    <w:rsid w:val="00736E67"/>
    <w:rsid w:val="00737493"/>
    <w:rsid w:val="00737A47"/>
    <w:rsid w:val="00737DC9"/>
    <w:rsid w:val="00737EB9"/>
    <w:rsid w:val="00740458"/>
    <w:rsid w:val="00740684"/>
    <w:rsid w:val="00740B08"/>
    <w:rsid w:val="00742037"/>
    <w:rsid w:val="0074214A"/>
    <w:rsid w:val="00742806"/>
    <w:rsid w:val="007429A8"/>
    <w:rsid w:val="00743457"/>
    <w:rsid w:val="007434B5"/>
    <w:rsid w:val="00743581"/>
    <w:rsid w:val="0074434D"/>
    <w:rsid w:val="00744647"/>
    <w:rsid w:val="00744678"/>
    <w:rsid w:val="00744685"/>
    <w:rsid w:val="0074546F"/>
    <w:rsid w:val="00745CB7"/>
    <w:rsid w:val="00745ED4"/>
    <w:rsid w:val="00745FC4"/>
    <w:rsid w:val="00746248"/>
    <w:rsid w:val="0074663D"/>
    <w:rsid w:val="00746B17"/>
    <w:rsid w:val="0074727B"/>
    <w:rsid w:val="00747568"/>
    <w:rsid w:val="00747BB2"/>
    <w:rsid w:val="00750176"/>
    <w:rsid w:val="00750936"/>
    <w:rsid w:val="007524C3"/>
    <w:rsid w:val="007539CB"/>
    <w:rsid w:val="00753A30"/>
    <w:rsid w:val="00753CBC"/>
    <w:rsid w:val="00754142"/>
    <w:rsid w:val="0075440F"/>
    <w:rsid w:val="00754756"/>
    <w:rsid w:val="0075516F"/>
    <w:rsid w:val="00755225"/>
    <w:rsid w:val="007552A4"/>
    <w:rsid w:val="0075637B"/>
    <w:rsid w:val="00756802"/>
    <w:rsid w:val="00756BD4"/>
    <w:rsid w:val="007570CF"/>
    <w:rsid w:val="00757A7D"/>
    <w:rsid w:val="0076036A"/>
    <w:rsid w:val="00760CE8"/>
    <w:rsid w:val="007610DE"/>
    <w:rsid w:val="00761763"/>
    <w:rsid w:val="00761ACF"/>
    <w:rsid w:val="0076274A"/>
    <w:rsid w:val="0076276B"/>
    <w:rsid w:val="00762852"/>
    <w:rsid w:val="00762C35"/>
    <w:rsid w:val="00762ED1"/>
    <w:rsid w:val="007631AE"/>
    <w:rsid w:val="007631DA"/>
    <w:rsid w:val="007633A4"/>
    <w:rsid w:val="00763517"/>
    <w:rsid w:val="007637A6"/>
    <w:rsid w:val="00763F50"/>
    <w:rsid w:val="007645A0"/>
    <w:rsid w:val="0076462B"/>
    <w:rsid w:val="00764A90"/>
    <w:rsid w:val="00764C5B"/>
    <w:rsid w:val="00764DA6"/>
    <w:rsid w:val="00764E8B"/>
    <w:rsid w:val="007655EA"/>
    <w:rsid w:val="007656AE"/>
    <w:rsid w:val="007660F2"/>
    <w:rsid w:val="007663DF"/>
    <w:rsid w:val="0076686C"/>
    <w:rsid w:val="007669F7"/>
    <w:rsid w:val="00770080"/>
    <w:rsid w:val="007701C6"/>
    <w:rsid w:val="00770515"/>
    <w:rsid w:val="00770909"/>
    <w:rsid w:val="0077095C"/>
    <w:rsid w:val="00771322"/>
    <w:rsid w:val="007717A3"/>
    <w:rsid w:val="007717B1"/>
    <w:rsid w:val="00771AD7"/>
    <w:rsid w:val="00771C48"/>
    <w:rsid w:val="00771D71"/>
    <w:rsid w:val="00771DF0"/>
    <w:rsid w:val="00771EAA"/>
    <w:rsid w:val="007722F8"/>
    <w:rsid w:val="007723A1"/>
    <w:rsid w:val="007723D8"/>
    <w:rsid w:val="007727C8"/>
    <w:rsid w:val="007728C4"/>
    <w:rsid w:val="0077326B"/>
    <w:rsid w:val="00773458"/>
    <w:rsid w:val="007735B1"/>
    <w:rsid w:val="00773744"/>
    <w:rsid w:val="00773B95"/>
    <w:rsid w:val="00774877"/>
    <w:rsid w:val="00774902"/>
    <w:rsid w:val="00774EA5"/>
    <w:rsid w:val="007753CA"/>
    <w:rsid w:val="0077598A"/>
    <w:rsid w:val="007759BF"/>
    <w:rsid w:val="007761A2"/>
    <w:rsid w:val="0077644B"/>
    <w:rsid w:val="0077647E"/>
    <w:rsid w:val="007764DA"/>
    <w:rsid w:val="00776A61"/>
    <w:rsid w:val="00776E22"/>
    <w:rsid w:val="00776FD9"/>
    <w:rsid w:val="00777499"/>
    <w:rsid w:val="00777619"/>
    <w:rsid w:val="00777922"/>
    <w:rsid w:val="00780325"/>
    <w:rsid w:val="007804C8"/>
    <w:rsid w:val="007809B7"/>
    <w:rsid w:val="00780CD5"/>
    <w:rsid w:val="00781003"/>
    <w:rsid w:val="007816C2"/>
    <w:rsid w:val="00781D08"/>
    <w:rsid w:val="00781EAB"/>
    <w:rsid w:val="007825EE"/>
    <w:rsid w:val="007826F6"/>
    <w:rsid w:val="00782956"/>
    <w:rsid w:val="00782B13"/>
    <w:rsid w:val="00782E68"/>
    <w:rsid w:val="00782FC3"/>
    <w:rsid w:val="007832CE"/>
    <w:rsid w:val="007835B0"/>
    <w:rsid w:val="007835E5"/>
    <w:rsid w:val="007835F9"/>
    <w:rsid w:val="00783E4A"/>
    <w:rsid w:val="00783EB1"/>
    <w:rsid w:val="00784480"/>
    <w:rsid w:val="0078476D"/>
    <w:rsid w:val="00784CB6"/>
    <w:rsid w:val="0078508B"/>
    <w:rsid w:val="0078512B"/>
    <w:rsid w:val="0078543B"/>
    <w:rsid w:val="00785A28"/>
    <w:rsid w:val="00785B1A"/>
    <w:rsid w:val="007867BD"/>
    <w:rsid w:val="00786851"/>
    <w:rsid w:val="00786E4B"/>
    <w:rsid w:val="00786F73"/>
    <w:rsid w:val="007874D7"/>
    <w:rsid w:val="0078755C"/>
    <w:rsid w:val="00787585"/>
    <w:rsid w:val="00787872"/>
    <w:rsid w:val="00787F89"/>
    <w:rsid w:val="00787F98"/>
    <w:rsid w:val="007890FC"/>
    <w:rsid w:val="0079029F"/>
    <w:rsid w:val="007904C5"/>
    <w:rsid w:val="00790FCB"/>
    <w:rsid w:val="007912E4"/>
    <w:rsid w:val="007913A4"/>
    <w:rsid w:val="007918D7"/>
    <w:rsid w:val="00791C20"/>
    <w:rsid w:val="00791EF5"/>
    <w:rsid w:val="0079282B"/>
    <w:rsid w:val="00792ED6"/>
    <w:rsid w:val="00792F57"/>
    <w:rsid w:val="00793108"/>
    <w:rsid w:val="007933EA"/>
    <w:rsid w:val="007935AE"/>
    <w:rsid w:val="00793BA2"/>
    <w:rsid w:val="00793EF8"/>
    <w:rsid w:val="007940AD"/>
    <w:rsid w:val="00794AF7"/>
    <w:rsid w:val="007950C3"/>
    <w:rsid w:val="00795907"/>
    <w:rsid w:val="0079597D"/>
    <w:rsid w:val="00795E90"/>
    <w:rsid w:val="007964CF"/>
    <w:rsid w:val="0079687D"/>
    <w:rsid w:val="00796A5C"/>
    <w:rsid w:val="00796AFA"/>
    <w:rsid w:val="00796BAD"/>
    <w:rsid w:val="00796D01"/>
    <w:rsid w:val="00796EA5"/>
    <w:rsid w:val="00796EBC"/>
    <w:rsid w:val="00797C5A"/>
    <w:rsid w:val="007A040F"/>
    <w:rsid w:val="007A085F"/>
    <w:rsid w:val="007A1158"/>
    <w:rsid w:val="007A1C1A"/>
    <w:rsid w:val="007A3029"/>
    <w:rsid w:val="007A3CEA"/>
    <w:rsid w:val="007A3D65"/>
    <w:rsid w:val="007A3EF4"/>
    <w:rsid w:val="007A3F75"/>
    <w:rsid w:val="007A46B9"/>
    <w:rsid w:val="007A4AF8"/>
    <w:rsid w:val="007A52C5"/>
    <w:rsid w:val="007A614B"/>
    <w:rsid w:val="007A67DC"/>
    <w:rsid w:val="007A7185"/>
    <w:rsid w:val="007B027C"/>
    <w:rsid w:val="007B0A20"/>
    <w:rsid w:val="007B0A2B"/>
    <w:rsid w:val="007B0B05"/>
    <w:rsid w:val="007B1209"/>
    <w:rsid w:val="007B138F"/>
    <w:rsid w:val="007B1B79"/>
    <w:rsid w:val="007B1E0F"/>
    <w:rsid w:val="007B1F89"/>
    <w:rsid w:val="007B255B"/>
    <w:rsid w:val="007B294A"/>
    <w:rsid w:val="007B2B61"/>
    <w:rsid w:val="007B32B6"/>
    <w:rsid w:val="007B3346"/>
    <w:rsid w:val="007B3621"/>
    <w:rsid w:val="007B3B2F"/>
    <w:rsid w:val="007B401D"/>
    <w:rsid w:val="007B44F0"/>
    <w:rsid w:val="007B4A2F"/>
    <w:rsid w:val="007B5329"/>
    <w:rsid w:val="007B576E"/>
    <w:rsid w:val="007B6E4F"/>
    <w:rsid w:val="007B7012"/>
    <w:rsid w:val="007B7EFF"/>
    <w:rsid w:val="007B7F4D"/>
    <w:rsid w:val="007C0149"/>
    <w:rsid w:val="007C0952"/>
    <w:rsid w:val="007C0F31"/>
    <w:rsid w:val="007C15BB"/>
    <w:rsid w:val="007C1F57"/>
    <w:rsid w:val="007C1FD5"/>
    <w:rsid w:val="007C209F"/>
    <w:rsid w:val="007C238D"/>
    <w:rsid w:val="007C2CC5"/>
    <w:rsid w:val="007C2FB7"/>
    <w:rsid w:val="007C36FE"/>
    <w:rsid w:val="007C3728"/>
    <w:rsid w:val="007C4236"/>
    <w:rsid w:val="007C4BCA"/>
    <w:rsid w:val="007C5821"/>
    <w:rsid w:val="007C5849"/>
    <w:rsid w:val="007C5E7E"/>
    <w:rsid w:val="007C6CC6"/>
    <w:rsid w:val="007C72E2"/>
    <w:rsid w:val="007C7539"/>
    <w:rsid w:val="007C7716"/>
    <w:rsid w:val="007C7B1B"/>
    <w:rsid w:val="007C7F33"/>
    <w:rsid w:val="007D00EB"/>
    <w:rsid w:val="007D0361"/>
    <w:rsid w:val="007D06E1"/>
    <w:rsid w:val="007D098D"/>
    <w:rsid w:val="007D0B31"/>
    <w:rsid w:val="007D11C5"/>
    <w:rsid w:val="007D167D"/>
    <w:rsid w:val="007D1891"/>
    <w:rsid w:val="007D1905"/>
    <w:rsid w:val="007D1F91"/>
    <w:rsid w:val="007D277D"/>
    <w:rsid w:val="007D2785"/>
    <w:rsid w:val="007D28B5"/>
    <w:rsid w:val="007D3009"/>
    <w:rsid w:val="007D3233"/>
    <w:rsid w:val="007D3624"/>
    <w:rsid w:val="007D3809"/>
    <w:rsid w:val="007D3A81"/>
    <w:rsid w:val="007D3EEF"/>
    <w:rsid w:val="007D3F90"/>
    <w:rsid w:val="007D4441"/>
    <w:rsid w:val="007D4896"/>
    <w:rsid w:val="007D4F3D"/>
    <w:rsid w:val="007D50B2"/>
    <w:rsid w:val="007D5148"/>
    <w:rsid w:val="007D514E"/>
    <w:rsid w:val="007D5281"/>
    <w:rsid w:val="007D5557"/>
    <w:rsid w:val="007D56D2"/>
    <w:rsid w:val="007D58C3"/>
    <w:rsid w:val="007D634A"/>
    <w:rsid w:val="007D715D"/>
    <w:rsid w:val="007D7B78"/>
    <w:rsid w:val="007E015D"/>
    <w:rsid w:val="007E0295"/>
    <w:rsid w:val="007E13CB"/>
    <w:rsid w:val="007E1F8D"/>
    <w:rsid w:val="007E2B1B"/>
    <w:rsid w:val="007E2D3B"/>
    <w:rsid w:val="007E2EF8"/>
    <w:rsid w:val="007E3960"/>
    <w:rsid w:val="007E3F2C"/>
    <w:rsid w:val="007E4590"/>
    <w:rsid w:val="007E45B4"/>
    <w:rsid w:val="007E48DB"/>
    <w:rsid w:val="007E4E4B"/>
    <w:rsid w:val="007E4F18"/>
    <w:rsid w:val="007E503D"/>
    <w:rsid w:val="007E52C4"/>
    <w:rsid w:val="007E5DA4"/>
    <w:rsid w:val="007E696A"/>
    <w:rsid w:val="007E69F5"/>
    <w:rsid w:val="007E6A4A"/>
    <w:rsid w:val="007E6A7D"/>
    <w:rsid w:val="007E6C96"/>
    <w:rsid w:val="007E6E78"/>
    <w:rsid w:val="007E7432"/>
    <w:rsid w:val="007E7804"/>
    <w:rsid w:val="007E7880"/>
    <w:rsid w:val="007E7A7C"/>
    <w:rsid w:val="007E7C14"/>
    <w:rsid w:val="007F021A"/>
    <w:rsid w:val="007F06E9"/>
    <w:rsid w:val="007F0BA3"/>
    <w:rsid w:val="007F1428"/>
    <w:rsid w:val="007F19E8"/>
    <w:rsid w:val="007F1E5E"/>
    <w:rsid w:val="007F259A"/>
    <w:rsid w:val="007F2B1C"/>
    <w:rsid w:val="007F332E"/>
    <w:rsid w:val="007F352D"/>
    <w:rsid w:val="007F3999"/>
    <w:rsid w:val="007F3FDE"/>
    <w:rsid w:val="007F409B"/>
    <w:rsid w:val="007F45C2"/>
    <w:rsid w:val="007F4A2D"/>
    <w:rsid w:val="007F6703"/>
    <w:rsid w:val="007F6E1C"/>
    <w:rsid w:val="007F6E3A"/>
    <w:rsid w:val="007F6E40"/>
    <w:rsid w:val="007F6EEF"/>
    <w:rsid w:val="007F7092"/>
    <w:rsid w:val="007F711A"/>
    <w:rsid w:val="007F7424"/>
    <w:rsid w:val="007F7D7C"/>
    <w:rsid w:val="007F7E8D"/>
    <w:rsid w:val="008004E1"/>
    <w:rsid w:val="00800751"/>
    <w:rsid w:val="00800E55"/>
    <w:rsid w:val="00801B9D"/>
    <w:rsid w:val="00801E69"/>
    <w:rsid w:val="00801F1C"/>
    <w:rsid w:val="008020BF"/>
    <w:rsid w:val="00802526"/>
    <w:rsid w:val="0080281D"/>
    <w:rsid w:val="00802C60"/>
    <w:rsid w:val="00802ED0"/>
    <w:rsid w:val="00802FC1"/>
    <w:rsid w:val="0080309B"/>
    <w:rsid w:val="00803598"/>
    <w:rsid w:val="0080391A"/>
    <w:rsid w:val="00803D6C"/>
    <w:rsid w:val="00804465"/>
    <w:rsid w:val="00804D7B"/>
    <w:rsid w:val="00804F4B"/>
    <w:rsid w:val="00805FAA"/>
    <w:rsid w:val="00806945"/>
    <w:rsid w:val="008078A7"/>
    <w:rsid w:val="00807DF6"/>
    <w:rsid w:val="008106A7"/>
    <w:rsid w:val="00811977"/>
    <w:rsid w:val="00811D05"/>
    <w:rsid w:val="00811EA8"/>
    <w:rsid w:val="00812120"/>
    <w:rsid w:val="0081279B"/>
    <w:rsid w:val="00812837"/>
    <w:rsid w:val="00812B38"/>
    <w:rsid w:val="00813224"/>
    <w:rsid w:val="0081339B"/>
    <w:rsid w:val="00814221"/>
    <w:rsid w:val="0081428D"/>
    <w:rsid w:val="00814464"/>
    <w:rsid w:val="0081448C"/>
    <w:rsid w:val="00814AC1"/>
    <w:rsid w:val="00814D27"/>
    <w:rsid w:val="008156B9"/>
    <w:rsid w:val="008159B7"/>
    <w:rsid w:val="00815B25"/>
    <w:rsid w:val="00815CA2"/>
    <w:rsid w:val="00815EAD"/>
    <w:rsid w:val="008160D6"/>
    <w:rsid w:val="008164B7"/>
    <w:rsid w:val="0081688F"/>
    <w:rsid w:val="008174D1"/>
    <w:rsid w:val="00820065"/>
    <w:rsid w:val="00820474"/>
    <w:rsid w:val="008209A9"/>
    <w:rsid w:val="00820D9F"/>
    <w:rsid w:val="008212D7"/>
    <w:rsid w:val="00821720"/>
    <w:rsid w:val="00821B60"/>
    <w:rsid w:val="008220A7"/>
    <w:rsid w:val="00822AD6"/>
    <w:rsid w:val="008233BB"/>
    <w:rsid w:val="00823FDD"/>
    <w:rsid w:val="00823FEC"/>
    <w:rsid w:val="00824F57"/>
    <w:rsid w:val="0082582E"/>
    <w:rsid w:val="008258DC"/>
    <w:rsid w:val="00825C29"/>
    <w:rsid w:val="0082619B"/>
    <w:rsid w:val="00826AF2"/>
    <w:rsid w:val="00826D5C"/>
    <w:rsid w:val="00827180"/>
    <w:rsid w:val="00827561"/>
    <w:rsid w:val="00827591"/>
    <w:rsid w:val="00827C70"/>
    <w:rsid w:val="00830A3A"/>
    <w:rsid w:val="008311CF"/>
    <w:rsid w:val="008311E7"/>
    <w:rsid w:val="00831563"/>
    <w:rsid w:val="008317AE"/>
    <w:rsid w:val="00831D54"/>
    <w:rsid w:val="00832DC0"/>
    <w:rsid w:val="008333DE"/>
    <w:rsid w:val="00833460"/>
    <w:rsid w:val="008335AA"/>
    <w:rsid w:val="00833DEB"/>
    <w:rsid w:val="00833F89"/>
    <w:rsid w:val="0083410B"/>
    <w:rsid w:val="008343FD"/>
    <w:rsid w:val="00834561"/>
    <w:rsid w:val="00834B44"/>
    <w:rsid w:val="00835355"/>
    <w:rsid w:val="008359AA"/>
    <w:rsid w:val="00835D84"/>
    <w:rsid w:val="00836634"/>
    <w:rsid w:val="00836BAF"/>
    <w:rsid w:val="00837242"/>
    <w:rsid w:val="00837EEA"/>
    <w:rsid w:val="0084008E"/>
    <w:rsid w:val="0084010C"/>
    <w:rsid w:val="00840193"/>
    <w:rsid w:val="008425DC"/>
    <w:rsid w:val="00842B77"/>
    <w:rsid w:val="00842C97"/>
    <w:rsid w:val="00842DE4"/>
    <w:rsid w:val="0084305A"/>
    <w:rsid w:val="0084331A"/>
    <w:rsid w:val="008441DF"/>
    <w:rsid w:val="0084446B"/>
    <w:rsid w:val="008447EF"/>
    <w:rsid w:val="008459C1"/>
    <w:rsid w:val="00845AA2"/>
    <w:rsid w:val="008461A2"/>
    <w:rsid w:val="008465B5"/>
    <w:rsid w:val="00846CF2"/>
    <w:rsid w:val="00846EEC"/>
    <w:rsid w:val="00846FCC"/>
    <w:rsid w:val="0084756C"/>
    <w:rsid w:val="008477B1"/>
    <w:rsid w:val="008507A6"/>
    <w:rsid w:val="008507E4"/>
    <w:rsid w:val="0085090B"/>
    <w:rsid w:val="00850A36"/>
    <w:rsid w:val="00850E6C"/>
    <w:rsid w:val="00851406"/>
    <w:rsid w:val="008517FF"/>
    <w:rsid w:val="00851DF5"/>
    <w:rsid w:val="0085201C"/>
    <w:rsid w:val="00852444"/>
    <w:rsid w:val="008524C8"/>
    <w:rsid w:val="008527D7"/>
    <w:rsid w:val="00852DD4"/>
    <w:rsid w:val="00852F25"/>
    <w:rsid w:val="008531EF"/>
    <w:rsid w:val="008533B5"/>
    <w:rsid w:val="00853999"/>
    <w:rsid w:val="00853DA7"/>
    <w:rsid w:val="00854536"/>
    <w:rsid w:val="00854549"/>
    <w:rsid w:val="00854856"/>
    <w:rsid w:val="00854E86"/>
    <w:rsid w:val="00855B79"/>
    <w:rsid w:val="00855C17"/>
    <w:rsid w:val="008565AD"/>
    <w:rsid w:val="00856A83"/>
    <w:rsid w:val="00856FBF"/>
    <w:rsid w:val="0085743A"/>
    <w:rsid w:val="008575B4"/>
    <w:rsid w:val="0085786C"/>
    <w:rsid w:val="008579E2"/>
    <w:rsid w:val="00857C54"/>
    <w:rsid w:val="00857E67"/>
    <w:rsid w:val="00860540"/>
    <w:rsid w:val="0086059C"/>
    <w:rsid w:val="00860C61"/>
    <w:rsid w:val="00860F08"/>
    <w:rsid w:val="0086120F"/>
    <w:rsid w:val="00861268"/>
    <w:rsid w:val="00861931"/>
    <w:rsid w:val="00861DC0"/>
    <w:rsid w:val="00862716"/>
    <w:rsid w:val="00862A2D"/>
    <w:rsid w:val="00862A7E"/>
    <w:rsid w:val="00862C2F"/>
    <w:rsid w:val="00862CA5"/>
    <w:rsid w:val="00862D73"/>
    <w:rsid w:val="008637FF"/>
    <w:rsid w:val="00863F8C"/>
    <w:rsid w:val="00864293"/>
    <w:rsid w:val="00864C55"/>
    <w:rsid w:val="00866073"/>
    <w:rsid w:val="008664CB"/>
    <w:rsid w:val="00866C9F"/>
    <w:rsid w:val="00866DA4"/>
    <w:rsid w:val="00866FD0"/>
    <w:rsid w:val="00867065"/>
    <w:rsid w:val="00867AF6"/>
    <w:rsid w:val="008703C3"/>
    <w:rsid w:val="00870D48"/>
    <w:rsid w:val="00870DFE"/>
    <w:rsid w:val="00871475"/>
    <w:rsid w:val="00872280"/>
    <w:rsid w:val="0087326A"/>
    <w:rsid w:val="00873833"/>
    <w:rsid w:val="00873BE4"/>
    <w:rsid w:val="008742E0"/>
    <w:rsid w:val="008742E8"/>
    <w:rsid w:val="00874763"/>
    <w:rsid w:val="00874A64"/>
    <w:rsid w:val="00875052"/>
    <w:rsid w:val="0087505C"/>
    <w:rsid w:val="0087518B"/>
    <w:rsid w:val="008753C4"/>
    <w:rsid w:val="008755C2"/>
    <w:rsid w:val="00875770"/>
    <w:rsid w:val="0087674C"/>
    <w:rsid w:val="00876A39"/>
    <w:rsid w:val="00877097"/>
    <w:rsid w:val="008771EA"/>
    <w:rsid w:val="00877381"/>
    <w:rsid w:val="00877967"/>
    <w:rsid w:val="00877B67"/>
    <w:rsid w:val="0088008E"/>
    <w:rsid w:val="008808D3"/>
    <w:rsid w:val="00880A65"/>
    <w:rsid w:val="008811C5"/>
    <w:rsid w:val="00881377"/>
    <w:rsid w:val="008818EA"/>
    <w:rsid w:val="00881DD0"/>
    <w:rsid w:val="00881E63"/>
    <w:rsid w:val="0088245A"/>
    <w:rsid w:val="00882896"/>
    <w:rsid w:val="00882C65"/>
    <w:rsid w:val="00882EDE"/>
    <w:rsid w:val="0088306F"/>
    <w:rsid w:val="0088320B"/>
    <w:rsid w:val="00883311"/>
    <w:rsid w:val="00883403"/>
    <w:rsid w:val="00883B34"/>
    <w:rsid w:val="00883D82"/>
    <w:rsid w:val="00884109"/>
    <w:rsid w:val="00884123"/>
    <w:rsid w:val="008843EB"/>
    <w:rsid w:val="0088474F"/>
    <w:rsid w:val="008847E6"/>
    <w:rsid w:val="00884CD8"/>
    <w:rsid w:val="00885290"/>
    <w:rsid w:val="00885375"/>
    <w:rsid w:val="008858B0"/>
    <w:rsid w:val="008859AB"/>
    <w:rsid w:val="00886477"/>
    <w:rsid w:val="008864AD"/>
    <w:rsid w:val="008865CD"/>
    <w:rsid w:val="00886AB8"/>
    <w:rsid w:val="00886D22"/>
    <w:rsid w:val="00886E5B"/>
    <w:rsid w:val="008873DA"/>
    <w:rsid w:val="00887444"/>
    <w:rsid w:val="00887526"/>
    <w:rsid w:val="0088788E"/>
    <w:rsid w:val="00887FE9"/>
    <w:rsid w:val="00890365"/>
    <w:rsid w:val="00890586"/>
    <w:rsid w:val="00890652"/>
    <w:rsid w:val="00890992"/>
    <w:rsid w:val="00890AEC"/>
    <w:rsid w:val="00890ED4"/>
    <w:rsid w:val="0089109E"/>
    <w:rsid w:val="00891319"/>
    <w:rsid w:val="00891A8F"/>
    <w:rsid w:val="00891EAC"/>
    <w:rsid w:val="00891F43"/>
    <w:rsid w:val="008922CB"/>
    <w:rsid w:val="008924FE"/>
    <w:rsid w:val="00892A60"/>
    <w:rsid w:val="00893041"/>
    <w:rsid w:val="0089341B"/>
    <w:rsid w:val="00893A2C"/>
    <w:rsid w:val="00893E10"/>
    <w:rsid w:val="008945E5"/>
    <w:rsid w:val="00894778"/>
    <w:rsid w:val="00895204"/>
    <w:rsid w:val="00895309"/>
    <w:rsid w:val="0089548F"/>
    <w:rsid w:val="008963EB"/>
    <w:rsid w:val="008966B3"/>
    <w:rsid w:val="00896826"/>
    <w:rsid w:val="00896FC0"/>
    <w:rsid w:val="00897033"/>
    <w:rsid w:val="00897043"/>
    <w:rsid w:val="008971C5"/>
    <w:rsid w:val="00897202"/>
    <w:rsid w:val="00897684"/>
    <w:rsid w:val="00897A6A"/>
    <w:rsid w:val="008A052F"/>
    <w:rsid w:val="008A0695"/>
    <w:rsid w:val="008A07F2"/>
    <w:rsid w:val="008A0919"/>
    <w:rsid w:val="008A0C63"/>
    <w:rsid w:val="008A14D0"/>
    <w:rsid w:val="008A1759"/>
    <w:rsid w:val="008A175E"/>
    <w:rsid w:val="008A1A21"/>
    <w:rsid w:val="008A1D99"/>
    <w:rsid w:val="008A2DDF"/>
    <w:rsid w:val="008A3108"/>
    <w:rsid w:val="008A3CD8"/>
    <w:rsid w:val="008A57E0"/>
    <w:rsid w:val="008A6BC3"/>
    <w:rsid w:val="008A6DE8"/>
    <w:rsid w:val="008A6E7D"/>
    <w:rsid w:val="008A736F"/>
    <w:rsid w:val="008A76B7"/>
    <w:rsid w:val="008A7A18"/>
    <w:rsid w:val="008A7AE1"/>
    <w:rsid w:val="008B1023"/>
    <w:rsid w:val="008B24BC"/>
    <w:rsid w:val="008B27EC"/>
    <w:rsid w:val="008B2B54"/>
    <w:rsid w:val="008B2E91"/>
    <w:rsid w:val="008B2FAD"/>
    <w:rsid w:val="008B3209"/>
    <w:rsid w:val="008B3311"/>
    <w:rsid w:val="008B369F"/>
    <w:rsid w:val="008B39DD"/>
    <w:rsid w:val="008B3C9A"/>
    <w:rsid w:val="008B410D"/>
    <w:rsid w:val="008B420E"/>
    <w:rsid w:val="008B495E"/>
    <w:rsid w:val="008B4BCA"/>
    <w:rsid w:val="008B5294"/>
    <w:rsid w:val="008B5498"/>
    <w:rsid w:val="008B5549"/>
    <w:rsid w:val="008B55CC"/>
    <w:rsid w:val="008B5A3B"/>
    <w:rsid w:val="008B5D6B"/>
    <w:rsid w:val="008B6D75"/>
    <w:rsid w:val="008B73D7"/>
    <w:rsid w:val="008B7AB5"/>
    <w:rsid w:val="008B7EBA"/>
    <w:rsid w:val="008C0004"/>
    <w:rsid w:val="008C127B"/>
    <w:rsid w:val="008C18EB"/>
    <w:rsid w:val="008C1ABC"/>
    <w:rsid w:val="008C200E"/>
    <w:rsid w:val="008C2130"/>
    <w:rsid w:val="008C25B5"/>
    <w:rsid w:val="008C2682"/>
    <w:rsid w:val="008C2994"/>
    <w:rsid w:val="008C2A4E"/>
    <w:rsid w:val="008C2BB2"/>
    <w:rsid w:val="008C5313"/>
    <w:rsid w:val="008C5908"/>
    <w:rsid w:val="008C5B4A"/>
    <w:rsid w:val="008C5C8A"/>
    <w:rsid w:val="008C5C90"/>
    <w:rsid w:val="008C5D3A"/>
    <w:rsid w:val="008C62FA"/>
    <w:rsid w:val="008C660F"/>
    <w:rsid w:val="008C682C"/>
    <w:rsid w:val="008C696C"/>
    <w:rsid w:val="008C6B58"/>
    <w:rsid w:val="008C7186"/>
    <w:rsid w:val="008C728B"/>
    <w:rsid w:val="008C7651"/>
    <w:rsid w:val="008C78BB"/>
    <w:rsid w:val="008C78E6"/>
    <w:rsid w:val="008C7ED2"/>
    <w:rsid w:val="008D0307"/>
    <w:rsid w:val="008D0730"/>
    <w:rsid w:val="008D0A93"/>
    <w:rsid w:val="008D109D"/>
    <w:rsid w:val="008D165F"/>
    <w:rsid w:val="008D19B9"/>
    <w:rsid w:val="008D1C78"/>
    <w:rsid w:val="008D1DB1"/>
    <w:rsid w:val="008D23D7"/>
    <w:rsid w:val="008D271C"/>
    <w:rsid w:val="008D31CA"/>
    <w:rsid w:val="008D3550"/>
    <w:rsid w:val="008D487C"/>
    <w:rsid w:val="008D488D"/>
    <w:rsid w:val="008D4C2A"/>
    <w:rsid w:val="008D4ECE"/>
    <w:rsid w:val="008D4F75"/>
    <w:rsid w:val="008D53AF"/>
    <w:rsid w:val="008D5982"/>
    <w:rsid w:val="008D5CBE"/>
    <w:rsid w:val="008D60BD"/>
    <w:rsid w:val="008D62A2"/>
    <w:rsid w:val="008D69D5"/>
    <w:rsid w:val="008D6CE1"/>
    <w:rsid w:val="008D721D"/>
    <w:rsid w:val="008D787D"/>
    <w:rsid w:val="008D7DF5"/>
    <w:rsid w:val="008E029B"/>
    <w:rsid w:val="008E12FA"/>
    <w:rsid w:val="008E16F7"/>
    <w:rsid w:val="008E1701"/>
    <w:rsid w:val="008E1B06"/>
    <w:rsid w:val="008E2326"/>
    <w:rsid w:val="008E2843"/>
    <w:rsid w:val="008E2ABF"/>
    <w:rsid w:val="008E2B85"/>
    <w:rsid w:val="008E316F"/>
    <w:rsid w:val="008E324C"/>
    <w:rsid w:val="008E350C"/>
    <w:rsid w:val="008E370D"/>
    <w:rsid w:val="008E396F"/>
    <w:rsid w:val="008E3B7E"/>
    <w:rsid w:val="008E4115"/>
    <w:rsid w:val="008E4589"/>
    <w:rsid w:val="008E4734"/>
    <w:rsid w:val="008E49B3"/>
    <w:rsid w:val="008E4F45"/>
    <w:rsid w:val="008E534B"/>
    <w:rsid w:val="008E56C0"/>
    <w:rsid w:val="008E5AA0"/>
    <w:rsid w:val="008E5B13"/>
    <w:rsid w:val="008E5E17"/>
    <w:rsid w:val="008E73BE"/>
    <w:rsid w:val="008E75BD"/>
    <w:rsid w:val="008E7BC0"/>
    <w:rsid w:val="008E7BE2"/>
    <w:rsid w:val="008E7FCC"/>
    <w:rsid w:val="008F009E"/>
    <w:rsid w:val="008F033D"/>
    <w:rsid w:val="008F05CD"/>
    <w:rsid w:val="008F1167"/>
    <w:rsid w:val="008F1836"/>
    <w:rsid w:val="008F1903"/>
    <w:rsid w:val="008F2F6B"/>
    <w:rsid w:val="008F2F8C"/>
    <w:rsid w:val="008F343E"/>
    <w:rsid w:val="008F37B8"/>
    <w:rsid w:val="008F3B2C"/>
    <w:rsid w:val="008F469F"/>
    <w:rsid w:val="008F49C8"/>
    <w:rsid w:val="008F4E77"/>
    <w:rsid w:val="008F57C3"/>
    <w:rsid w:val="008F5D00"/>
    <w:rsid w:val="008F6089"/>
    <w:rsid w:val="008F635F"/>
    <w:rsid w:val="008F6440"/>
    <w:rsid w:val="008F65FD"/>
    <w:rsid w:val="008F6D78"/>
    <w:rsid w:val="008F718B"/>
    <w:rsid w:val="008F72BD"/>
    <w:rsid w:val="008F77DA"/>
    <w:rsid w:val="008F7A30"/>
    <w:rsid w:val="008F7A99"/>
    <w:rsid w:val="008F7F20"/>
    <w:rsid w:val="0090020F"/>
    <w:rsid w:val="0090030D"/>
    <w:rsid w:val="009003D1"/>
    <w:rsid w:val="009003D2"/>
    <w:rsid w:val="00900507"/>
    <w:rsid w:val="00900816"/>
    <w:rsid w:val="00900D02"/>
    <w:rsid w:val="00900FF8"/>
    <w:rsid w:val="00901749"/>
    <w:rsid w:val="009026A5"/>
    <w:rsid w:val="009026F6"/>
    <w:rsid w:val="009027CF"/>
    <w:rsid w:val="009034AB"/>
    <w:rsid w:val="00903ABB"/>
    <w:rsid w:val="0090412C"/>
    <w:rsid w:val="009044C0"/>
    <w:rsid w:val="00904592"/>
    <w:rsid w:val="00905173"/>
    <w:rsid w:val="00905217"/>
    <w:rsid w:val="0090534B"/>
    <w:rsid w:val="0090583B"/>
    <w:rsid w:val="00905842"/>
    <w:rsid w:val="0090596A"/>
    <w:rsid w:val="0090599F"/>
    <w:rsid w:val="00905ECF"/>
    <w:rsid w:val="00905F18"/>
    <w:rsid w:val="009062AC"/>
    <w:rsid w:val="00906366"/>
    <w:rsid w:val="0090664A"/>
    <w:rsid w:val="0090694E"/>
    <w:rsid w:val="00906DA6"/>
    <w:rsid w:val="00906F5F"/>
    <w:rsid w:val="00907BC3"/>
    <w:rsid w:val="00907F24"/>
    <w:rsid w:val="0091067D"/>
    <w:rsid w:val="0091127E"/>
    <w:rsid w:val="00911732"/>
    <w:rsid w:val="00911E03"/>
    <w:rsid w:val="00912041"/>
    <w:rsid w:val="0091246E"/>
    <w:rsid w:val="00912705"/>
    <w:rsid w:val="00912C06"/>
    <w:rsid w:val="00913172"/>
    <w:rsid w:val="009138B7"/>
    <w:rsid w:val="0091433C"/>
    <w:rsid w:val="00914584"/>
    <w:rsid w:val="0091463E"/>
    <w:rsid w:val="00914B10"/>
    <w:rsid w:val="00914D1A"/>
    <w:rsid w:val="00914DEC"/>
    <w:rsid w:val="00914F6A"/>
    <w:rsid w:val="00914FC4"/>
    <w:rsid w:val="00915420"/>
    <w:rsid w:val="00915455"/>
    <w:rsid w:val="009154B8"/>
    <w:rsid w:val="0091551E"/>
    <w:rsid w:val="00916294"/>
    <w:rsid w:val="0091640A"/>
    <w:rsid w:val="0091647C"/>
    <w:rsid w:val="0091678D"/>
    <w:rsid w:val="009167D2"/>
    <w:rsid w:val="00916857"/>
    <w:rsid w:val="00916BED"/>
    <w:rsid w:val="009172DA"/>
    <w:rsid w:val="00917E48"/>
    <w:rsid w:val="00917F2C"/>
    <w:rsid w:val="00920489"/>
    <w:rsid w:val="009204CA"/>
    <w:rsid w:val="00920C7A"/>
    <w:rsid w:val="00921162"/>
    <w:rsid w:val="0092146F"/>
    <w:rsid w:val="00921572"/>
    <w:rsid w:val="00922648"/>
    <w:rsid w:val="009232B0"/>
    <w:rsid w:val="00923337"/>
    <w:rsid w:val="00923B39"/>
    <w:rsid w:val="0092596B"/>
    <w:rsid w:val="00925D98"/>
    <w:rsid w:val="00925E41"/>
    <w:rsid w:val="0092674E"/>
    <w:rsid w:val="0092692C"/>
    <w:rsid w:val="00926AD0"/>
    <w:rsid w:val="00926F63"/>
    <w:rsid w:val="00927355"/>
    <w:rsid w:val="009274C8"/>
    <w:rsid w:val="0092774A"/>
    <w:rsid w:val="0092783D"/>
    <w:rsid w:val="009278EE"/>
    <w:rsid w:val="00927B24"/>
    <w:rsid w:val="00927B8C"/>
    <w:rsid w:val="00927BF3"/>
    <w:rsid w:val="009301F9"/>
    <w:rsid w:val="0093042B"/>
    <w:rsid w:val="00930AAE"/>
    <w:rsid w:val="00930AF0"/>
    <w:rsid w:val="00930DFE"/>
    <w:rsid w:val="00931055"/>
    <w:rsid w:val="00931174"/>
    <w:rsid w:val="0093169C"/>
    <w:rsid w:val="0093170B"/>
    <w:rsid w:val="00931795"/>
    <w:rsid w:val="00931B24"/>
    <w:rsid w:val="00931FD3"/>
    <w:rsid w:val="0093223D"/>
    <w:rsid w:val="00932922"/>
    <w:rsid w:val="00932C5B"/>
    <w:rsid w:val="00932D23"/>
    <w:rsid w:val="009330A9"/>
    <w:rsid w:val="009342AE"/>
    <w:rsid w:val="0093468D"/>
    <w:rsid w:val="0093474D"/>
    <w:rsid w:val="00934A85"/>
    <w:rsid w:val="00934EA4"/>
    <w:rsid w:val="009350E2"/>
    <w:rsid w:val="00935154"/>
    <w:rsid w:val="00935449"/>
    <w:rsid w:val="00935A1D"/>
    <w:rsid w:val="00935BA6"/>
    <w:rsid w:val="00935C5E"/>
    <w:rsid w:val="00936588"/>
    <w:rsid w:val="00936C40"/>
    <w:rsid w:val="00936D5B"/>
    <w:rsid w:val="00936DE0"/>
    <w:rsid w:val="00936E72"/>
    <w:rsid w:val="0093705E"/>
    <w:rsid w:val="009371EA"/>
    <w:rsid w:val="0093761A"/>
    <w:rsid w:val="00937908"/>
    <w:rsid w:val="00937A52"/>
    <w:rsid w:val="00937AA2"/>
    <w:rsid w:val="00937C84"/>
    <w:rsid w:val="00937D28"/>
    <w:rsid w:val="00937DE2"/>
    <w:rsid w:val="00937F7A"/>
    <w:rsid w:val="00940E48"/>
    <w:rsid w:val="00940FF1"/>
    <w:rsid w:val="00941078"/>
    <w:rsid w:val="00941CF3"/>
    <w:rsid w:val="0094212C"/>
    <w:rsid w:val="00943104"/>
    <w:rsid w:val="009435C5"/>
    <w:rsid w:val="009435D3"/>
    <w:rsid w:val="0094371A"/>
    <w:rsid w:val="00943884"/>
    <w:rsid w:val="0094461B"/>
    <w:rsid w:val="00944891"/>
    <w:rsid w:val="009449AA"/>
    <w:rsid w:val="00944EC9"/>
    <w:rsid w:val="0094562E"/>
    <w:rsid w:val="009456E6"/>
    <w:rsid w:val="0094576D"/>
    <w:rsid w:val="00945E7F"/>
    <w:rsid w:val="009460F4"/>
    <w:rsid w:val="00947D0C"/>
    <w:rsid w:val="00950374"/>
    <w:rsid w:val="009509D5"/>
    <w:rsid w:val="00950B6A"/>
    <w:rsid w:val="00950DCC"/>
    <w:rsid w:val="00951881"/>
    <w:rsid w:val="00951DC3"/>
    <w:rsid w:val="00952BB1"/>
    <w:rsid w:val="00952F90"/>
    <w:rsid w:val="009530BE"/>
    <w:rsid w:val="00953417"/>
    <w:rsid w:val="00953A3F"/>
    <w:rsid w:val="009542F4"/>
    <w:rsid w:val="009546EF"/>
    <w:rsid w:val="00955666"/>
    <w:rsid w:val="009556CE"/>
    <w:rsid w:val="00955E64"/>
    <w:rsid w:val="00955F4E"/>
    <w:rsid w:val="00955F97"/>
    <w:rsid w:val="00956226"/>
    <w:rsid w:val="009563FA"/>
    <w:rsid w:val="00956ADB"/>
    <w:rsid w:val="00957AC5"/>
    <w:rsid w:val="00957D29"/>
    <w:rsid w:val="00957DC3"/>
    <w:rsid w:val="009602BA"/>
    <w:rsid w:val="00960C7F"/>
    <w:rsid w:val="00960FBD"/>
    <w:rsid w:val="009611B5"/>
    <w:rsid w:val="0096121A"/>
    <w:rsid w:val="00961648"/>
    <w:rsid w:val="00961A65"/>
    <w:rsid w:val="0096201F"/>
    <w:rsid w:val="00962526"/>
    <w:rsid w:val="009634DE"/>
    <w:rsid w:val="00963B5B"/>
    <w:rsid w:val="00964C5F"/>
    <w:rsid w:val="00964E1F"/>
    <w:rsid w:val="00964FEF"/>
    <w:rsid w:val="00965011"/>
    <w:rsid w:val="0096553A"/>
    <w:rsid w:val="00965E9D"/>
    <w:rsid w:val="00966782"/>
    <w:rsid w:val="009667EF"/>
    <w:rsid w:val="00966AB6"/>
    <w:rsid w:val="00966DB6"/>
    <w:rsid w:val="0097069B"/>
    <w:rsid w:val="00970EC3"/>
    <w:rsid w:val="009710C9"/>
    <w:rsid w:val="00971246"/>
    <w:rsid w:val="0097182F"/>
    <w:rsid w:val="00971BB6"/>
    <w:rsid w:val="00971C84"/>
    <w:rsid w:val="00971CFF"/>
    <w:rsid w:val="00972121"/>
    <w:rsid w:val="00972959"/>
    <w:rsid w:val="00972E7A"/>
    <w:rsid w:val="0097372B"/>
    <w:rsid w:val="00973879"/>
    <w:rsid w:val="00974048"/>
    <w:rsid w:val="009744CC"/>
    <w:rsid w:val="009749E0"/>
    <w:rsid w:val="00975A53"/>
    <w:rsid w:val="009762A5"/>
    <w:rsid w:val="00976740"/>
    <w:rsid w:val="0097688C"/>
    <w:rsid w:val="00976AAE"/>
    <w:rsid w:val="00976DA1"/>
    <w:rsid w:val="00976EAD"/>
    <w:rsid w:val="00977490"/>
    <w:rsid w:val="00977530"/>
    <w:rsid w:val="00977C5E"/>
    <w:rsid w:val="00977D6C"/>
    <w:rsid w:val="00977E6C"/>
    <w:rsid w:val="00977F82"/>
    <w:rsid w:val="009802E5"/>
    <w:rsid w:val="009804EA"/>
    <w:rsid w:val="00980AC4"/>
    <w:rsid w:val="00980BBC"/>
    <w:rsid w:val="00980D5B"/>
    <w:rsid w:val="009810C0"/>
    <w:rsid w:val="00981380"/>
    <w:rsid w:val="00981418"/>
    <w:rsid w:val="00981AA5"/>
    <w:rsid w:val="00981D38"/>
    <w:rsid w:val="00982010"/>
    <w:rsid w:val="009820CE"/>
    <w:rsid w:val="00982197"/>
    <w:rsid w:val="00982CDD"/>
    <w:rsid w:val="00982F34"/>
    <w:rsid w:val="00983120"/>
    <w:rsid w:val="00983706"/>
    <w:rsid w:val="009847D4"/>
    <w:rsid w:val="00984AE2"/>
    <w:rsid w:val="00984C85"/>
    <w:rsid w:val="00984CD1"/>
    <w:rsid w:val="00984D92"/>
    <w:rsid w:val="009851DB"/>
    <w:rsid w:val="0098554F"/>
    <w:rsid w:val="00985979"/>
    <w:rsid w:val="00986208"/>
    <w:rsid w:val="00986448"/>
    <w:rsid w:val="00986C9E"/>
    <w:rsid w:val="00987F74"/>
    <w:rsid w:val="009903D4"/>
    <w:rsid w:val="00990ED7"/>
    <w:rsid w:val="00991227"/>
    <w:rsid w:val="009913F2"/>
    <w:rsid w:val="0099173E"/>
    <w:rsid w:val="00991994"/>
    <w:rsid w:val="009919F3"/>
    <w:rsid w:val="00991E74"/>
    <w:rsid w:val="00991F59"/>
    <w:rsid w:val="00991FA6"/>
    <w:rsid w:val="009920E9"/>
    <w:rsid w:val="00992277"/>
    <w:rsid w:val="00992768"/>
    <w:rsid w:val="00992D54"/>
    <w:rsid w:val="00992EED"/>
    <w:rsid w:val="00992EF3"/>
    <w:rsid w:val="00993340"/>
    <w:rsid w:val="00993910"/>
    <w:rsid w:val="00993B66"/>
    <w:rsid w:val="009940E6"/>
    <w:rsid w:val="00994F00"/>
    <w:rsid w:val="009955AA"/>
    <w:rsid w:val="00995888"/>
    <w:rsid w:val="00995EF3"/>
    <w:rsid w:val="009961CC"/>
    <w:rsid w:val="0099632B"/>
    <w:rsid w:val="009971C1"/>
    <w:rsid w:val="00997A59"/>
    <w:rsid w:val="00997C3E"/>
    <w:rsid w:val="00997F10"/>
    <w:rsid w:val="009A0493"/>
    <w:rsid w:val="009A0804"/>
    <w:rsid w:val="009A2A69"/>
    <w:rsid w:val="009A329E"/>
    <w:rsid w:val="009A3739"/>
    <w:rsid w:val="009A3F24"/>
    <w:rsid w:val="009A42A8"/>
    <w:rsid w:val="009A4489"/>
    <w:rsid w:val="009A44E9"/>
    <w:rsid w:val="009A4FDB"/>
    <w:rsid w:val="009A51DD"/>
    <w:rsid w:val="009A6209"/>
    <w:rsid w:val="009A6312"/>
    <w:rsid w:val="009A68C8"/>
    <w:rsid w:val="009A6B16"/>
    <w:rsid w:val="009A6B75"/>
    <w:rsid w:val="009A6DFE"/>
    <w:rsid w:val="009A7815"/>
    <w:rsid w:val="009A7AD2"/>
    <w:rsid w:val="009A7B44"/>
    <w:rsid w:val="009A7D06"/>
    <w:rsid w:val="009B00FE"/>
    <w:rsid w:val="009B0618"/>
    <w:rsid w:val="009B0796"/>
    <w:rsid w:val="009B11B2"/>
    <w:rsid w:val="009B12BB"/>
    <w:rsid w:val="009B178B"/>
    <w:rsid w:val="009B1A67"/>
    <w:rsid w:val="009B247E"/>
    <w:rsid w:val="009B24A2"/>
    <w:rsid w:val="009B28C8"/>
    <w:rsid w:val="009B28FF"/>
    <w:rsid w:val="009B2B66"/>
    <w:rsid w:val="009B2B90"/>
    <w:rsid w:val="009B3004"/>
    <w:rsid w:val="009B44D6"/>
    <w:rsid w:val="009B4EEE"/>
    <w:rsid w:val="009B5B11"/>
    <w:rsid w:val="009B60AD"/>
    <w:rsid w:val="009B6168"/>
    <w:rsid w:val="009B6282"/>
    <w:rsid w:val="009B686A"/>
    <w:rsid w:val="009B6AB7"/>
    <w:rsid w:val="009B6BD3"/>
    <w:rsid w:val="009B6C90"/>
    <w:rsid w:val="009B71D4"/>
    <w:rsid w:val="009B71D6"/>
    <w:rsid w:val="009B7B03"/>
    <w:rsid w:val="009B7EFF"/>
    <w:rsid w:val="009C01CE"/>
    <w:rsid w:val="009C01F2"/>
    <w:rsid w:val="009C0422"/>
    <w:rsid w:val="009C0704"/>
    <w:rsid w:val="009C12CE"/>
    <w:rsid w:val="009C20D4"/>
    <w:rsid w:val="009C2235"/>
    <w:rsid w:val="009C2239"/>
    <w:rsid w:val="009C22C8"/>
    <w:rsid w:val="009C256F"/>
    <w:rsid w:val="009C2982"/>
    <w:rsid w:val="009C30B9"/>
    <w:rsid w:val="009C338F"/>
    <w:rsid w:val="009C347C"/>
    <w:rsid w:val="009C379C"/>
    <w:rsid w:val="009C391D"/>
    <w:rsid w:val="009C3AF2"/>
    <w:rsid w:val="009C406A"/>
    <w:rsid w:val="009C44AE"/>
    <w:rsid w:val="009C48F7"/>
    <w:rsid w:val="009C4AE0"/>
    <w:rsid w:val="009C4B30"/>
    <w:rsid w:val="009C4EB3"/>
    <w:rsid w:val="009C4EE2"/>
    <w:rsid w:val="009C5665"/>
    <w:rsid w:val="009C5DEA"/>
    <w:rsid w:val="009C61DF"/>
    <w:rsid w:val="009C68C5"/>
    <w:rsid w:val="009C6B69"/>
    <w:rsid w:val="009C6E4D"/>
    <w:rsid w:val="009C6E92"/>
    <w:rsid w:val="009C7061"/>
    <w:rsid w:val="009C7099"/>
    <w:rsid w:val="009C7184"/>
    <w:rsid w:val="009C7424"/>
    <w:rsid w:val="009C7661"/>
    <w:rsid w:val="009C7B74"/>
    <w:rsid w:val="009D09F2"/>
    <w:rsid w:val="009D0EE6"/>
    <w:rsid w:val="009D14B6"/>
    <w:rsid w:val="009D15F9"/>
    <w:rsid w:val="009D16CD"/>
    <w:rsid w:val="009D25FE"/>
    <w:rsid w:val="009D2ACA"/>
    <w:rsid w:val="009D2D43"/>
    <w:rsid w:val="009D2F13"/>
    <w:rsid w:val="009D3182"/>
    <w:rsid w:val="009D343B"/>
    <w:rsid w:val="009D4195"/>
    <w:rsid w:val="009D43D7"/>
    <w:rsid w:val="009D4532"/>
    <w:rsid w:val="009D47DE"/>
    <w:rsid w:val="009D48FF"/>
    <w:rsid w:val="009D4EF7"/>
    <w:rsid w:val="009D514E"/>
    <w:rsid w:val="009D542D"/>
    <w:rsid w:val="009D555B"/>
    <w:rsid w:val="009D5576"/>
    <w:rsid w:val="009D577A"/>
    <w:rsid w:val="009D5B14"/>
    <w:rsid w:val="009D5E7D"/>
    <w:rsid w:val="009D6187"/>
    <w:rsid w:val="009D61E2"/>
    <w:rsid w:val="009D64D6"/>
    <w:rsid w:val="009D6570"/>
    <w:rsid w:val="009D66A6"/>
    <w:rsid w:val="009D680E"/>
    <w:rsid w:val="009D792C"/>
    <w:rsid w:val="009D7E76"/>
    <w:rsid w:val="009D7F54"/>
    <w:rsid w:val="009D7FE6"/>
    <w:rsid w:val="009E0135"/>
    <w:rsid w:val="009E03BD"/>
    <w:rsid w:val="009E03EA"/>
    <w:rsid w:val="009E0931"/>
    <w:rsid w:val="009E0D7A"/>
    <w:rsid w:val="009E1812"/>
    <w:rsid w:val="009E1B10"/>
    <w:rsid w:val="009E20B1"/>
    <w:rsid w:val="009E27CA"/>
    <w:rsid w:val="009E289E"/>
    <w:rsid w:val="009E28AE"/>
    <w:rsid w:val="009E299B"/>
    <w:rsid w:val="009E2DDC"/>
    <w:rsid w:val="009E2DF7"/>
    <w:rsid w:val="009E2FCC"/>
    <w:rsid w:val="009E3520"/>
    <w:rsid w:val="009E35E3"/>
    <w:rsid w:val="009E4429"/>
    <w:rsid w:val="009E4C8F"/>
    <w:rsid w:val="009E5133"/>
    <w:rsid w:val="009E5275"/>
    <w:rsid w:val="009E5686"/>
    <w:rsid w:val="009E5879"/>
    <w:rsid w:val="009E5897"/>
    <w:rsid w:val="009E594B"/>
    <w:rsid w:val="009E5C54"/>
    <w:rsid w:val="009E60BE"/>
    <w:rsid w:val="009E6398"/>
    <w:rsid w:val="009E6F4B"/>
    <w:rsid w:val="009E757C"/>
    <w:rsid w:val="009F060E"/>
    <w:rsid w:val="009F06A1"/>
    <w:rsid w:val="009F09E7"/>
    <w:rsid w:val="009F0D46"/>
    <w:rsid w:val="009F0D5B"/>
    <w:rsid w:val="009F0DEB"/>
    <w:rsid w:val="009F0E88"/>
    <w:rsid w:val="009F0E9E"/>
    <w:rsid w:val="009F104A"/>
    <w:rsid w:val="009F16B7"/>
    <w:rsid w:val="009F1D8B"/>
    <w:rsid w:val="009F2976"/>
    <w:rsid w:val="009F29FE"/>
    <w:rsid w:val="009F31DA"/>
    <w:rsid w:val="009F3CF2"/>
    <w:rsid w:val="009F430E"/>
    <w:rsid w:val="009F4769"/>
    <w:rsid w:val="009F4C25"/>
    <w:rsid w:val="009F55AA"/>
    <w:rsid w:val="009F57F4"/>
    <w:rsid w:val="009F5883"/>
    <w:rsid w:val="009F5AE4"/>
    <w:rsid w:val="009F5C69"/>
    <w:rsid w:val="009F63D2"/>
    <w:rsid w:val="009F6A76"/>
    <w:rsid w:val="009F72C2"/>
    <w:rsid w:val="009F798F"/>
    <w:rsid w:val="009F7A1A"/>
    <w:rsid w:val="009F7B44"/>
    <w:rsid w:val="00A00316"/>
    <w:rsid w:val="00A004C6"/>
    <w:rsid w:val="00A005F7"/>
    <w:rsid w:val="00A00686"/>
    <w:rsid w:val="00A00A1A"/>
    <w:rsid w:val="00A01658"/>
    <w:rsid w:val="00A01668"/>
    <w:rsid w:val="00A016FA"/>
    <w:rsid w:val="00A01C8F"/>
    <w:rsid w:val="00A01E06"/>
    <w:rsid w:val="00A02113"/>
    <w:rsid w:val="00A02DD4"/>
    <w:rsid w:val="00A02DEB"/>
    <w:rsid w:val="00A035D2"/>
    <w:rsid w:val="00A0398E"/>
    <w:rsid w:val="00A056CE"/>
    <w:rsid w:val="00A0574F"/>
    <w:rsid w:val="00A05853"/>
    <w:rsid w:val="00A05F6F"/>
    <w:rsid w:val="00A064BE"/>
    <w:rsid w:val="00A06685"/>
    <w:rsid w:val="00A066E9"/>
    <w:rsid w:val="00A06851"/>
    <w:rsid w:val="00A073BE"/>
    <w:rsid w:val="00A07680"/>
    <w:rsid w:val="00A07FAA"/>
    <w:rsid w:val="00A10CC4"/>
    <w:rsid w:val="00A11049"/>
    <w:rsid w:val="00A11D23"/>
    <w:rsid w:val="00A1214A"/>
    <w:rsid w:val="00A1239C"/>
    <w:rsid w:val="00A1248D"/>
    <w:rsid w:val="00A12DAC"/>
    <w:rsid w:val="00A130AA"/>
    <w:rsid w:val="00A13291"/>
    <w:rsid w:val="00A1373E"/>
    <w:rsid w:val="00A139AD"/>
    <w:rsid w:val="00A13ABF"/>
    <w:rsid w:val="00A13CC3"/>
    <w:rsid w:val="00A14B72"/>
    <w:rsid w:val="00A14C23"/>
    <w:rsid w:val="00A15480"/>
    <w:rsid w:val="00A158E4"/>
    <w:rsid w:val="00A15A64"/>
    <w:rsid w:val="00A160F3"/>
    <w:rsid w:val="00A16BE4"/>
    <w:rsid w:val="00A17229"/>
    <w:rsid w:val="00A1724A"/>
    <w:rsid w:val="00A17454"/>
    <w:rsid w:val="00A175AB"/>
    <w:rsid w:val="00A17966"/>
    <w:rsid w:val="00A17A3A"/>
    <w:rsid w:val="00A17B76"/>
    <w:rsid w:val="00A17B7C"/>
    <w:rsid w:val="00A17EEC"/>
    <w:rsid w:val="00A202FD"/>
    <w:rsid w:val="00A21252"/>
    <w:rsid w:val="00A213D6"/>
    <w:rsid w:val="00A21AF8"/>
    <w:rsid w:val="00A21F55"/>
    <w:rsid w:val="00A224A0"/>
    <w:rsid w:val="00A22599"/>
    <w:rsid w:val="00A225E3"/>
    <w:rsid w:val="00A25313"/>
    <w:rsid w:val="00A25AF4"/>
    <w:rsid w:val="00A261B9"/>
    <w:rsid w:val="00A2659E"/>
    <w:rsid w:val="00A268A7"/>
    <w:rsid w:val="00A269D7"/>
    <w:rsid w:val="00A272A6"/>
    <w:rsid w:val="00A27476"/>
    <w:rsid w:val="00A276F1"/>
    <w:rsid w:val="00A277A5"/>
    <w:rsid w:val="00A27D55"/>
    <w:rsid w:val="00A3038C"/>
    <w:rsid w:val="00A30DD2"/>
    <w:rsid w:val="00A3126A"/>
    <w:rsid w:val="00A31A7C"/>
    <w:rsid w:val="00A31FAD"/>
    <w:rsid w:val="00A3210B"/>
    <w:rsid w:val="00A32313"/>
    <w:rsid w:val="00A323E5"/>
    <w:rsid w:val="00A3297D"/>
    <w:rsid w:val="00A32C0D"/>
    <w:rsid w:val="00A334EE"/>
    <w:rsid w:val="00A33B87"/>
    <w:rsid w:val="00A33F38"/>
    <w:rsid w:val="00A3443A"/>
    <w:rsid w:val="00A347DF"/>
    <w:rsid w:val="00A3492C"/>
    <w:rsid w:val="00A34ABA"/>
    <w:rsid w:val="00A34BF7"/>
    <w:rsid w:val="00A35A5F"/>
    <w:rsid w:val="00A35EEF"/>
    <w:rsid w:val="00A36803"/>
    <w:rsid w:val="00A3690E"/>
    <w:rsid w:val="00A36BF7"/>
    <w:rsid w:val="00A3725B"/>
    <w:rsid w:val="00A37E17"/>
    <w:rsid w:val="00A37F9D"/>
    <w:rsid w:val="00A37FBD"/>
    <w:rsid w:val="00A40190"/>
    <w:rsid w:val="00A40295"/>
    <w:rsid w:val="00A41E90"/>
    <w:rsid w:val="00A42757"/>
    <w:rsid w:val="00A42A40"/>
    <w:rsid w:val="00A42C2E"/>
    <w:rsid w:val="00A42F31"/>
    <w:rsid w:val="00A4336B"/>
    <w:rsid w:val="00A4365C"/>
    <w:rsid w:val="00A43A0C"/>
    <w:rsid w:val="00A43BFE"/>
    <w:rsid w:val="00A4427E"/>
    <w:rsid w:val="00A44707"/>
    <w:rsid w:val="00A44BD8"/>
    <w:rsid w:val="00A44E95"/>
    <w:rsid w:val="00A44E9F"/>
    <w:rsid w:val="00A451E5"/>
    <w:rsid w:val="00A45433"/>
    <w:rsid w:val="00A45CCA"/>
    <w:rsid w:val="00A45CD2"/>
    <w:rsid w:val="00A45F39"/>
    <w:rsid w:val="00A460C0"/>
    <w:rsid w:val="00A46123"/>
    <w:rsid w:val="00A46537"/>
    <w:rsid w:val="00A467F8"/>
    <w:rsid w:val="00A46804"/>
    <w:rsid w:val="00A46B7C"/>
    <w:rsid w:val="00A46DB3"/>
    <w:rsid w:val="00A47754"/>
    <w:rsid w:val="00A47923"/>
    <w:rsid w:val="00A47C13"/>
    <w:rsid w:val="00A47C84"/>
    <w:rsid w:val="00A502D9"/>
    <w:rsid w:val="00A5070B"/>
    <w:rsid w:val="00A50B2E"/>
    <w:rsid w:val="00A50B33"/>
    <w:rsid w:val="00A5156A"/>
    <w:rsid w:val="00A51B4D"/>
    <w:rsid w:val="00A51D5F"/>
    <w:rsid w:val="00A529FD"/>
    <w:rsid w:val="00A52CC8"/>
    <w:rsid w:val="00A530E8"/>
    <w:rsid w:val="00A5396C"/>
    <w:rsid w:val="00A53FFB"/>
    <w:rsid w:val="00A5426F"/>
    <w:rsid w:val="00A54454"/>
    <w:rsid w:val="00A5489D"/>
    <w:rsid w:val="00A548D1"/>
    <w:rsid w:val="00A55573"/>
    <w:rsid w:val="00A55B9B"/>
    <w:rsid w:val="00A55FE9"/>
    <w:rsid w:val="00A56693"/>
    <w:rsid w:val="00A56EB5"/>
    <w:rsid w:val="00A570F4"/>
    <w:rsid w:val="00A5755F"/>
    <w:rsid w:val="00A57BF2"/>
    <w:rsid w:val="00A60039"/>
    <w:rsid w:val="00A60116"/>
    <w:rsid w:val="00A60A37"/>
    <w:rsid w:val="00A61CBA"/>
    <w:rsid w:val="00A61DE0"/>
    <w:rsid w:val="00A623B7"/>
    <w:rsid w:val="00A62DDA"/>
    <w:rsid w:val="00A62E0B"/>
    <w:rsid w:val="00A62F06"/>
    <w:rsid w:val="00A6484C"/>
    <w:rsid w:val="00A64FCD"/>
    <w:rsid w:val="00A65F20"/>
    <w:rsid w:val="00A6609E"/>
    <w:rsid w:val="00A662B6"/>
    <w:rsid w:val="00A662D6"/>
    <w:rsid w:val="00A6642C"/>
    <w:rsid w:val="00A67029"/>
    <w:rsid w:val="00A673A9"/>
    <w:rsid w:val="00A6750A"/>
    <w:rsid w:val="00A6763A"/>
    <w:rsid w:val="00A67699"/>
    <w:rsid w:val="00A70951"/>
    <w:rsid w:val="00A70B7F"/>
    <w:rsid w:val="00A70D0B"/>
    <w:rsid w:val="00A70E58"/>
    <w:rsid w:val="00A71291"/>
    <w:rsid w:val="00A715B7"/>
    <w:rsid w:val="00A7186C"/>
    <w:rsid w:val="00A71E02"/>
    <w:rsid w:val="00A72320"/>
    <w:rsid w:val="00A730BA"/>
    <w:rsid w:val="00A73216"/>
    <w:rsid w:val="00A7356E"/>
    <w:rsid w:val="00A73884"/>
    <w:rsid w:val="00A74655"/>
    <w:rsid w:val="00A7489E"/>
    <w:rsid w:val="00A7553F"/>
    <w:rsid w:val="00A75944"/>
    <w:rsid w:val="00A7597A"/>
    <w:rsid w:val="00A75B80"/>
    <w:rsid w:val="00A761B6"/>
    <w:rsid w:val="00A76329"/>
    <w:rsid w:val="00A767BF"/>
    <w:rsid w:val="00A76FCD"/>
    <w:rsid w:val="00A77389"/>
    <w:rsid w:val="00A77509"/>
    <w:rsid w:val="00A7786D"/>
    <w:rsid w:val="00A77980"/>
    <w:rsid w:val="00A77A29"/>
    <w:rsid w:val="00A77B46"/>
    <w:rsid w:val="00A8023B"/>
    <w:rsid w:val="00A81A67"/>
    <w:rsid w:val="00A81B3F"/>
    <w:rsid w:val="00A82393"/>
    <w:rsid w:val="00A82C6C"/>
    <w:rsid w:val="00A82CB0"/>
    <w:rsid w:val="00A83358"/>
    <w:rsid w:val="00A834F7"/>
    <w:rsid w:val="00A83A07"/>
    <w:rsid w:val="00A84462"/>
    <w:rsid w:val="00A84965"/>
    <w:rsid w:val="00A84CF8"/>
    <w:rsid w:val="00A8582D"/>
    <w:rsid w:val="00A85FE1"/>
    <w:rsid w:val="00A86111"/>
    <w:rsid w:val="00A873B7"/>
    <w:rsid w:val="00A8744E"/>
    <w:rsid w:val="00A874C2"/>
    <w:rsid w:val="00A90653"/>
    <w:rsid w:val="00A90923"/>
    <w:rsid w:val="00A90DDF"/>
    <w:rsid w:val="00A90E23"/>
    <w:rsid w:val="00A91AF4"/>
    <w:rsid w:val="00A91E79"/>
    <w:rsid w:val="00A92423"/>
    <w:rsid w:val="00A9317C"/>
    <w:rsid w:val="00A9336E"/>
    <w:rsid w:val="00A935F8"/>
    <w:rsid w:val="00A93964"/>
    <w:rsid w:val="00A93CEB"/>
    <w:rsid w:val="00A9446F"/>
    <w:rsid w:val="00A94731"/>
    <w:rsid w:val="00A94BD8"/>
    <w:rsid w:val="00A95020"/>
    <w:rsid w:val="00A952E4"/>
    <w:rsid w:val="00A954E7"/>
    <w:rsid w:val="00A95EEE"/>
    <w:rsid w:val="00A95F2D"/>
    <w:rsid w:val="00A9657C"/>
    <w:rsid w:val="00A96763"/>
    <w:rsid w:val="00A96ABA"/>
    <w:rsid w:val="00A96B2F"/>
    <w:rsid w:val="00A96E26"/>
    <w:rsid w:val="00A970E5"/>
    <w:rsid w:val="00A976BA"/>
    <w:rsid w:val="00AA024E"/>
    <w:rsid w:val="00AA04B8"/>
    <w:rsid w:val="00AA0928"/>
    <w:rsid w:val="00AA0C04"/>
    <w:rsid w:val="00AA1498"/>
    <w:rsid w:val="00AA15F0"/>
    <w:rsid w:val="00AA1A5B"/>
    <w:rsid w:val="00AA1CFE"/>
    <w:rsid w:val="00AA33DC"/>
    <w:rsid w:val="00AA3E45"/>
    <w:rsid w:val="00AA3F74"/>
    <w:rsid w:val="00AA45D1"/>
    <w:rsid w:val="00AA4C32"/>
    <w:rsid w:val="00AA58E2"/>
    <w:rsid w:val="00AA609E"/>
    <w:rsid w:val="00AA622D"/>
    <w:rsid w:val="00AA655B"/>
    <w:rsid w:val="00AA6586"/>
    <w:rsid w:val="00AA6A78"/>
    <w:rsid w:val="00AA6AA1"/>
    <w:rsid w:val="00AA7109"/>
    <w:rsid w:val="00AA71B3"/>
    <w:rsid w:val="00AA72FE"/>
    <w:rsid w:val="00AA7969"/>
    <w:rsid w:val="00AB0271"/>
    <w:rsid w:val="00AB0AF5"/>
    <w:rsid w:val="00AB0D80"/>
    <w:rsid w:val="00AB0FE5"/>
    <w:rsid w:val="00AB2139"/>
    <w:rsid w:val="00AB2317"/>
    <w:rsid w:val="00AB232F"/>
    <w:rsid w:val="00AB2512"/>
    <w:rsid w:val="00AB2A1D"/>
    <w:rsid w:val="00AB31A2"/>
    <w:rsid w:val="00AB33F1"/>
    <w:rsid w:val="00AB4A84"/>
    <w:rsid w:val="00AB4C50"/>
    <w:rsid w:val="00AB4E8E"/>
    <w:rsid w:val="00AB5050"/>
    <w:rsid w:val="00AB534F"/>
    <w:rsid w:val="00AB5462"/>
    <w:rsid w:val="00AB554A"/>
    <w:rsid w:val="00AB5D58"/>
    <w:rsid w:val="00AB5EEC"/>
    <w:rsid w:val="00AB6090"/>
    <w:rsid w:val="00AB6608"/>
    <w:rsid w:val="00AB66DA"/>
    <w:rsid w:val="00AB68C7"/>
    <w:rsid w:val="00AB6940"/>
    <w:rsid w:val="00AB6B09"/>
    <w:rsid w:val="00AB732B"/>
    <w:rsid w:val="00AC06FF"/>
    <w:rsid w:val="00AC0874"/>
    <w:rsid w:val="00AC0929"/>
    <w:rsid w:val="00AC0A51"/>
    <w:rsid w:val="00AC0B50"/>
    <w:rsid w:val="00AC1BD7"/>
    <w:rsid w:val="00AC1D6A"/>
    <w:rsid w:val="00AC2936"/>
    <w:rsid w:val="00AC2CFE"/>
    <w:rsid w:val="00AC300A"/>
    <w:rsid w:val="00AC31D6"/>
    <w:rsid w:val="00AC3D98"/>
    <w:rsid w:val="00AC3DB0"/>
    <w:rsid w:val="00AC43A8"/>
    <w:rsid w:val="00AC4587"/>
    <w:rsid w:val="00AC4DDA"/>
    <w:rsid w:val="00AC4F70"/>
    <w:rsid w:val="00AC51CB"/>
    <w:rsid w:val="00AC523E"/>
    <w:rsid w:val="00AC5585"/>
    <w:rsid w:val="00AC5FCA"/>
    <w:rsid w:val="00AC61A1"/>
    <w:rsid w:val="00AC6ACA"/>
    <w:rsid w:val="00AC6C3E"/>
    <w:rsid w:val="00AC7224"/>
    <w:rsid w:val="00AC77AF"/>
    <w:rsid w:val="00AC78BA"/>
    <w:rsid w:val="00AD080B"/>
    <w:rsid w:val="00AD08C6"/>
    <w:rsid w:val="00AD0F2B"/>
    <w:rsid w:val="00AD10D8"/>
    <w:rsid w:val="00AD1940"/>
    <w:rsid w:val="00AD1D51"/>
    <w:rsid w:val="00AD1FC3"/>
    <w:rsid w:val="00AD2503"/>
    <w:rsid w:val="00AD2A6B"/>
    <w:rsid w:val="00AD2E7D"/>
    <w:rsid w:val="00AD31BF"/>
    <w:rsid w:val="00AD360C"/>
    <w:rsid w:val="00AD3804"/>
    <w:rsid w:val="00AD49D1"/>
    <w:rsid w:val="00AD4CBD"/>
    <w:rsid w:val="00AD4E00"/>
    <w:rsid w:val="00AD613D"/>
    <w:rsid w:val="00AD61B7"/>
    <w:rsid w:val="00AD6867"/>
    <w:rsid w:val="00AD6A37"/>
    <w:rsid w:val="00AD6F01"/>
    <w:rsid w:val="00AD7992"/>
    <w:rsid w:val="00AD79AC"/>
    <w:rsid w:val="00AD79BA"/>
    <w:rsid w:val="00AD7A22"/>
    <w:rsid w:val="00AD7B1A"/>
    <w:rsid w:val="00AD7D0E"/>
    <w:rsid w:val="00AD7ED9"/>
    <w:rsid w:val="00AE00A3"/>
    <w:rsid w:val="00AE0694"/>
    <w:rsid w:val="00AE1228"/>
    <w:rsid w:val="00AE1466"/>
    <w:rsid w:val="00AE15F9"/>
    <w:rsid w:val="00AE170D"/>
    <w:rsid w:val="00AE1ABB"/>
    <w:rsid w:val="00AE1F3C"/>
    <w:rsid w:val="00AE2168"/>
    <w:rsid w:val="00AE21B1"/>
    <w:rsid w:val="00AE21D4"/>
    <w:rsid w:val="00AE21EC"/>
    <w:rsid w:val="00AE2D6D"/>
    <w:rsid w:val="00AE3396"/>
    <w:rsid w:val="00AE44F2"/>
    <w:rsid w:val="00AE45EC"/>
    <w:rsid w:val="00AE48FB"/>
    <w:rsid w:val="00AE4946"/>
    <w:rsid w:val="00AE4DAA"/>
    <w:rsid w:val="00AE56E7"/>
    <w:rsid w:val="00AE5765"/>
    <w:rsid w:val="00AE57F4"/>
    <w:rsid w:val="00AE5CBE"/>
    <w:rsid w:val="00AE6014"/>
    <w:rsid w:val="00AE6213"/>
    <w:rsid w:val="00AE65E7"/>
    <w:rsid w:val="00AE6654"/>
    <w:rsid w:val="00AE6D8A"/>
    <w:rsid w:val="00AE77E1"/>
    <w:rsid w:val="00AE7B2C"/>
    <w:rsid w:val="00AF0921"/>
    <w:rsid w:val="00AF0C83"/>
    <w:rsid w:val="00AF16E6"/>
    <w:rsid w:val="00AF183E"/>
    <w:rsid w:val="00AF1DD6"/>
    <w:rsid w:val="00AF1E7A"/>
    <w:rsid w:val="00AF2865"/>
    <w:rsid w:val="00AF29E8"/>
    <w:rsid w:val="00AF2C14"/>
    <w:rsid w:val="00AF3917"/>
    <w:rsid w:val="00AF47B4"/>
    <w:rsid w:val="00AF49BB"/>
    <w:rsid w:val="00AF4A6E"/>
    <w:rsid w:val="00AF4AD4"/>
    <w:rsid w:val="00AF4C58"/>
    <w:rsid w:val="00AF4E6A"/>
    <w:rsid w:val="00AF4F81"/>
    <w:rsid w:val="00AF5528"/>
    <w:rsid w:val="00AF5E11"/>
    <w:rsid w:val="00AF6067"/>
    <w:rsid w:val="00AF60F5"/>
    <w:rsid w:val="00AF6AC5"/>
    <w:rsid w:val="00AF6AEC"/>
    <w:rsid w:val="00AF703F"/>
    <w:rsid w:val="00AF711F"/>
    <w:rsid w:val="00AF71BD"/>
    <w:rsid w:val="00AF7602"/>
    <w:rsid w:val="00AF76F8"/>
    <w:rsid w:val="00AF77F7"/>
    <w:rsid w:val="00AF7DB3"/>
    <w:rsid w:val="00B0070A"/>
    <w:rsid w:val="00B0086B"/>
    <w:rsid w:val="00B010BD"/>
    <w:rsid w:val="00B010DA"/>
    <w:rsid w:val="00B01426"/>
    <w:rsid w:val="00B0158E"/>
    <w:rsid w:val="00B01592"/>
    <w:rsid w:val="00B0169F"/>
    <w:rsid w:val="00B01E44"/>
    <w:rsid w:val="00B023E6"/>
    <w:rsid w:val="00B028E0"/>
    <w:rsid w:val="00B02AAE"/>
    <w:rsid w:val="00B03199"/>
    <w:rsid w:val="00B0359C"/>
    <w:rsid w:val="00B036AA"/>
    <w:rsid w:val="00B03746"/>
    <w:rsid w:val="00B0374B"/>
    <w:rsid w:val="00B03E7C"/>
    <w:rsid w:val="00B03FF3"/>
    <w:rsid w:val="00B04640"/>
    <w:rsid w:val="00B046A8"/>
    <w:rsid w:val="00B04BD4"/>
    <w:rsid w:val="00B04C99"/>
    <w:rsid w:val="00B05740"/>
    <w:rsid w:val="00B05CEE"/>
    <w:rsid w:val="00B05FF9"/>
    <w:rsid w:val="00B068A3"/>
    <w:rsid w:val="00B06B9E"/>
    <w:rsid w:val="00B077B5"/>
    <w:rsid w:val="00B077EB"/>
    <w:rsid w:val="00B07A6D"/>
    <w:rsid w:val="00B101B2"/>
    <w:rsid w:val="00B102EE"/>
    <w:rsid w:val="00B10AFB"/>
    <w:rsid w:val="00B10B7F"/>
    <w:rsid w:val="00B10F38"/>
    <w:rsid w:val="00B113BA"/>
    <w:rsid w:val="00B114EB"/>
    <w:rsid w:val="00B1156A"/>
    <w:rsid w:val="00B11764"/>
    <w:rsid w:val="00B118B7"/>
    <w:rsid w:val="00B11DA6"/>
    <w:rsid w:val="00B11F32"/>
    <w:rsid w:val="00B12765"/>
    <w:rsid w:val="00B13097"/>
    <w:rsid w:val="00B1377F"/>
    <w:rsid w:val="00B14504"/>
    <w:rsid w:val="00B14BD7"/>
    <w:rsid w:val="00B15122"/>
    <w:rsid w:val="00B15302"/>
    <w:rsid w:val="00B15399"/>
    <w:rsid w:val="00B15473"/>
    <w:rsid w:val="00B1558F"/>
    <w:rsid w:val="00B157D1"/>
    <w:rsid w:val="00B158D6"/>
    <w:rsid w:val="00B16018"/>
    <w:rsid w:val="00B16432"/>
    <w:rsid w:val="00B16B41"/>
    <w:rsid w:val="00B16B4A"/>
    <w:rsid w:val="00B16EC4"/>
    <w:rsid w:val="00B17477"/>
    <w:rsid w:val="00B17FDE"/>
    <w:rsid w:val="00B201B6"/>
    <w:rsid w:val="00B20551"/>
    <w:rsid w:val="00B20731"/>
    <w:rsid w:val="00B209B6"/>
    <w:rsid w:val="00B209F3"/>
    <w:rsid w:val="00B21304"/>
    <w:rsid w:val="00B21654"/>
    <w:rsid w:val="00B2183D"/>
    <w:rsid w:val="00B21948"/>
    <w:rsid w:val="00B21BB1"/>
    <w:rsid w:val="00B2214D"/>
    <w:rsid w:val="00B22452"/>
    <w:rsid w:val="00B2267B"/>
    <w:rsid w:val="00B2305A"/>
    <w:rsid w:val="00B23DB0"/>
    <w:rsid w:val="00B2464C"/>
    <w:rsid w:val="00B24A66"/>
    <w:rsid w:val="00B24A7D"/>
    <w:rsid w:val="00B24ABC"/>
    <w:rsid w:val="00B2524A"/>
    <w:rsid w:val="00B25761"/>
    <w:rsid w:val="00B25865"/>
    <w:rsid w:val="00B25DAD"/>
    <w:rsid w:val="00B25E6A"/>
    <w:rsid w:val="00B264BF"/>
    <w:rsid w:val="00B26DF2"/>
    <w:rsid w:val="00B27674"/>
    <w:rsid w:val="00B276BF"/>
    <w:rsid w:val="00B27736"/>
    <w:rsid w:val="00B303E3"/>
    <w:rsid w:val="00B306A3"/>
    <w:rsid w:val="00B30748"/>
    <w:rsid w:val="00B30948"/>
    <w:rsid w:val="00B30C99"/>
    <w:rsid w:val="00B30EEA"/>
    <w:rsid w:val="00B3146F"/>
    <w:rsid w:val="00B31E5B"/>
    <w:rsid w:val="00B32124"/>
    <w:rsid w:val="00B3346C"/>
    <w:rsid w:val="00B33F67"/>
    <w:rsid w:val="00B34408"/>
    <w:rsid w:val="00B34E48"/>
    <w:rsid w:val="00B34FF5"/>
    <w:rsid w:val="00B35311"/>
    <w:rsid w:val="00B35BB8"/>
    <w:rsid w:val="00B35F7F"/>
    <w:rsid w:val="00B36993"/>
    <w:rsid w:val="00B36FE1"/>
    <w:rsid w:val="00B371A1"/>
    <w:rsid w:val="00B400D4"/>
    <w:rsid w:val="00B406BA"/>
    <w:rsid w:val="00B407BA"/>
    <w:rsid w:val="00B411A9"/>
    <w:rsid w:val="00B41407"/>
    <w:rsid w:val="00B418D2"/>
    <w:rsid w:val="00B41F41"/>
    <w:rsid w:val="00B421EA"/>
    <w:rsid w:val="00B42AE6"/>
    <w:rsid w:val="00B43934"/>
    <w:rsid w:val="00B4408D"/>
    <w:rsid w:val="00B4473E"/>
    <w:rsid w:val="00B4519D"/>
    <w:rsid w:val="00B4585C"/>
    <w:rsid w:val="00B45CD1"/>
    <w:rsid w:val="00B4684D"/>
    <w:rsid w:val="00B46A34"/>
    <w:rsid w:val="00B46C27"/>
    <w:rsid w:val="00B46E8F"/>
    <w:rsid w:val="00B47486"/>
    <w:rsid w:val="00B476BD"/>
    <w:rsid w:val="00B47B77"/>
    <w:rsid w:val="00B47BFD"/>
    <w:rsid w:val="00B5003A"/>
    <w:rsid w:val="00B5009F"/>
    <w:rsid w:val="00B5034D"/>
    <w:rsid w:val="00B503A5"/>
    <w:rsid w:val="00B507D5"/>
    <w:rsid w:val="00B50A86"/>
    <w:rsid w:val="00B518C6"/>
    <w:rsid w:val="00B519E0"/>
    <w:rsid w:val="00B519F2"/>
    <w:rsid w:val="00B51E83"/>
    <w:rsid w:val="00B51FEF"/>
    <w:rsid w:val="00B52046"/>
    <w:rsid w:val="00B52495"/>
    <w:rsid w:val="00B5277A"/>
    <w:rsid w:val="00B52804"/>
    <w:rsid w:val="00B52BCD"/>
    <w:rsid w:val="00B52DEC"/>
    <w:rsid w:val="00B536B7"/>
    <w:rsid w:val="00B53993"/>
    <w:rsid w:val="00B53CB5"/>
    <w:rsid w:val="00B53FC7"/>
    <w:rsid w:val="00B54493"/>
    <w:rsid w:val="00B54B40"/>
    <w:rsid w:val="00B54E81"/>
    <w:rsid w:val="00B55273"/>
    <w:rsid w:val="00B552B4"/>
    <w:rsid w:val="00B558C0"/>
    <w:rsid w:val="00B55C99"/>
    <w:rsid w:val="00B56065"/>
    <w:rsid w:val="00B564ED"/>
    <w:rsid w:val="00B56774"/>
    <w:rsid w:val="00B56871"/>
    <w:rsid w:val="00B57906"/>
    <w:rsid w:val="00B57A77"/>
    <w:rsid w:val="00B57FC5"/>
    <w:rsid w:val="00B60623"/>
    <w:rsid w:val="00B60EB6"/>
    <w:rsid w:val="00B61201"/>
    <w:rsid w:val="00B613E8"/>
    <w:rsid w:val="00B61561"/>
    <w:rsid w:val="00B61F11"/>
    <w:rsid w:val="00B62160"/>
    <w:rsid w:val="00B6257E"/>
    <w:rsid w:val="00B627EA"/>
    <w:rsid w:val="00B63A72"/>
    <w:rsid w:val="00B640D2"/>
    <w:rsid w:val="00B646BA"/>
    <w:rsid w:val="00B64A81"/>
    <w:rsid w:val="00B64D10"/>
    <w:rsid w:val="00B64E64"/>
    <w:rsid w:val="00B64F53"/>
    <w:rsid w:val="00B6538D"/>
    <w:rsid w:val="00B6542F"/>
    <w:rsid w:val="00B658FB"/>
    <w:rsid w:val="00B65A54"/>
    <w:rsid w:val="00B65A9F"/>
    <w:rsid w:val="00B65E60"/>
    <w:rsid w:val="00B6614D"/>
    <w:rsid w:val="00B66155"/>
    <w:rsid w:val="00B66A37"/>
    <w:rsid w:val="00B67644"/>
    <w:rsid w:val="00B6779C"/>
    <w:rsid w:val="00B67E97"/>
    <w:rsid w:val="00B67F68"/>
    <w:rsid w:val="00B707DF"/>
    <w:rsid w:val="00B70871"/>
    <w:rsid w:val="00B70F2E"/>
    <w:rsid w:val="00B71870"/>
    <w:rsid w:val="00B7192A"/>
    <w:rsid w:val="00B71B5A"/>
    <w:rsid w:val="00B71EB4"/>
    <w:rsid w:val="00B72040"/>
    <w:rsid w:val="00B72093"/>
    <w:rsid w:val="00B730F1"/>
    <w:rsid w:val="00B731DA"/>
    <w:rsid w:val="00B7320C"/>
    <w:rsid w:val="00B73484"/>
    <w:rsid w:val="00B7355F"/>
    <w:rsid w:val="00B73ACF"/>
    <w:rsid w:val="00B73E1B"/>
    <w:rsid w:val="00B73F38"/>
    <w:rsid w:val="00B73F62"/>
    <w:rsid w:val="00B73F8E"/>
    <w:rsid w:val="00B74034"/>
    <w:rsid w:val="00B74163"/>
    <w:rsid w:val="00B7432C"/>
    <w:rsid w:val="00B743BA"/>
    <w:rsid w:val="00B743D9"/>
    <w:rsid w:val="00B74640"/>
    <w:rsid w:val="00B74851"/>
    <w:rsid w:val="00B749B0"/>
    <w:rsid w:val="00B7589A"/>
    <w:rsid w:val="00B759B1"/>
    <w:rsid w:val="00B75BB9"/>
    <w:rsid w:val="00B75BD8"/>
    <w:rsid w:val="00B76059"/>
    <w:rsid w:val="00B7646F"/>
    <w:rsid w:val="00B76582"/>
    <w:rsid w:val="00B76D81"/>
    <w:rsid w:val="00B76EC8"/>
    <w:rsid w:val="00B7760D"/>
    <w:rsid w:val="00B77D93"/>
    <w:rsid w:val="00B8024A"/>
    <w:rsid w:val="00B806CE"/>
    <w:rsid w:val="00B807D1"/>
    <w:rsid w:val="00B80CA3"/>
    <w:rsid w:val="00B80E24"/>
    <w:rsid w:val="00B80F28"/>
    <w:rsid w:val="00B81292"/>
    <w:rsid w:val="00B81B56"/>
    <w:rsid w:val="00B81CED"/>
    <w:rsid w:val="00B81F71"/>
    <w:rsid w:val="00B82582"/>
    <w:rsid w:val="00B831CB"/>
    <w:rsid w:val="00B83A7A"/>
    <w:rsid w:val="00B83D07"/>
    <w:rsid w:val="00B844A2"/>
    <w:rsid w:val="00B84520"/>
    <w:rsid w:val="00B847E0"/>
    <w:rsid w:val="00B84855"/>
    <w:rsid w:val="00B85024"/>
    <w:rsid w:val="00B85593"/>
    <w:rsid w:val="00B85AA7"/>
    <w:rsid w:val="00B85C34"/>
    <w:rsid w:val="00B8613B"/>
    <w:rsid w:val="00B86406"/>
    <w:rsid w:val="00B86773"/>
    <w:rsid w:val="00B868BF"/>
    <w:rsid w:val="00B86C67"/>
    <w:rsid w:val="00B86C72"/>
    <w:rsid w:val="00B86DCA"/>
    <w:rsid w:val="00B87527"/>
    <w:rsid w:val="00B877EA"/>
    <w:rsid w:val="00B90303"/>
    <w:rsid w:val="00B903A6"/>
    <w:rsid w:val="00B90D32"/>
    <w:rsid w:val="00B90FDF"/>
    <w:rsid w:val="00B9110D"/>
    <w:rsid w:val="00B911F6"/>
    <w:rsid w:val="00B91252"/>
    <w:rsid w:val="00B912EF"/>
    <w:rsid w:val="00B91B40"/>
    <w:rsid w:val="00B93188"/>
    <w:rsid w:val="00B93A45"/>
    <w:rsid w:val="00B93B2F"/>
    <w:rsid w:val="00B93B62"/>
    <w:rsid w:val="00B93E06"/>
    <w:rsid w:val="00B941CF"/>
    <w:rsid w:val="00B956D2"/>
    <w:rsid w:val="00B95B8B"/>
    <w:rsid w:val="00B96967"/>
    <w:rsid w:val="00B96A42"/>
    <w:rsid w:val="00B96B91"/>
    <w:rsid w:val="00B96D2B"/>
    <w:rsid w:val="00B96E93"/>
    <w:rsid w:val="00B972D9"/>
    <w:rsid w:val="00B97346"/>
    <w:rsid w:val="00B9792F"/>
    <w:rsid w:val="00B97A33"/>
    <w:rsid w:val="00B97D4D"/>
    <w:rsid w:val="00BA0736"/>
    <w:rsid w:val="00BA0A33"/>
    <w:rsid w:val="00BA1284"/>
    <w:rsid w:val="00BA190F"/>
    <w:rsid w:val="00BA1F49"/>
    <w:rsid w:val="00BA20DF"/>
    <w:rsid w:val="00BA260D"/>
    <w:rsid w:val="00BA274C"/>
    <w:rsid w:val="00BA3727"/>
    <w:rsid w:val="00BA3AF9"/>
    <w:rsid w:val="00BA42B0"/>
    <w:rsid w:val="00BA4B8A"/>
    <w:rsid w:val="00BA4CA4"/>
    <w:rsid w:val="00BA52B5"/>
    <w:rsid w:val="00BA5823"/>
    <w:rsid w:val="00BA59F3"/>
    <w:rsid w:val="00BA5F37"/>
    <w:rsid w:val="00BA69AD"/>
    <w:rsid w:val="00BA6A4A"/>
    <w:rsid w:val="00BA6B54"/>
    <w:rsid w:val="00BA6FEC"/>
    <w:rsid w:val="00BA70B1"/>
    <w:rsid w:val="00BA7496"/>
    <w:rsid w:val="00BB02A8"/>
    <w:rsid w:val="00BB0653"/>
    <w:rsid w:val="00BB0C68"/>
    <w:rsid w:val="00BB0DFE"/>
    <w:rsid w:val="00BB128A"/>
    <w:rsid w:val="00BB1F49"/>
    <w:rsid w:val="00BB1F53"/>
    <w:rsid w:val="00BB2D15"/>
    <w:rsid w:val="00BB2DDD"/>
    <w:rsid w:val="00BB2F21"/>
    <w:rsid w:val="00BB33BB"/>
    <w:rsid w:val="00BB36EC"/>
    <w:rsid w:val="00BB3A8E"/>
    <w:rsid w:val="00BB40B3"/>
    <w:rsid w:val="00BB439E"/>
    <w:rsid w:val="00BB46DF"/>
    <w:rsid w:val="00BB4775"/>
    <w:rsid w:val="00BB47C0"/>
    <w:rsid w:val="00BB4C15"/>
    <w:rsid w:val="00BB4C64"/>
    <w:rsid w:val="00BB4C80"/>
    <w:rsid w:val="00BB5AC9"/>
    <w:rsid w:val="00BB5E77"/>
    <w:rsid w:val="00BB6354"/>
    <w:rsid w:val="00BB667E"/>
    <w:rsid w:val="00BB69C3"/>
    <w:rsid w:val="00BB6C6A"/>
    <w:rsid w:val="00BB6DCC"/>
    <w:rsid w:val="00BB6E43"/>
    <w:rsid w:val="00BB6EC0"/>
    <w:rsid w:val="00BB7C61"/>
    <w:rsid w:val="00BC01F8"/>
    <w:rsid w:val="00BC0591"/>
    <w:rsid w:val="00BC075B"/>
    <w:rsid w:val="00BC099D"/>
    <w:rsid w:val="00BC0DBA"/>
    <w:rsid w:val="00BC18CE"/>
    <w:rsid w:val="00BC199E"/>
    <w:rsid w:val="00BC1DE8"/>
    <w:rsid w:val="00BC1EBD"/>
    <w:rsid w:val="00BC1F68"/>
    <w:rsid w:val="00BC2569"/>
    <w:rsid w:val="00BC2755"/>
    <w:rsid w:val="00BC2A93"/>
    <w:rsid w:val="00BC2E6F"/>
    <w:rsid w:val="00BC315A"/>
    <w:rsid w:val="00BC3518"/>
    <w:rsid w:val="00BC3F51"/>
    <w:rsid w:val="00BC4A74"/>
    <w:rsid w:val="00BC4AB8"/>
    <w:rsid w:val="00BC508D"/>
    <w:rsid w:val="00BC52EA"/>
    <w:rsid w:val="00BC55EC"/>
    <w:rsid w:val="00BC5903"/>
    <w:rsid w:val="00BC598D"/>
    <w:rsid w:val="00BC5BDE"/>
    <w:rsid w:val="00BC6957"/>
    <w:rsid w:val="00BC6EDC"/>
    <w:rsid w:val="00BC6FF3"/>
    <w:rsid w:val="00BC7374"/>
    <w:rsid w:val="00BC7414"/>
    <w:rsid w:val="00BC76C2"/>
    <w:rsid w:val="00BC78AE"/>
    <w:rsid w:val="00BD01C4"/>
    <w:rsid w:val="00BD02C8"/>
    <w:rsid w:val="00BD02EC"/>
    <w:rsid w:val="00BD0301"/>
    <w:rsid w:val="00BD0372"/>
    <w:rsid w:val="00BD05BE"/>
    <w:rsid w:val="00BD0842"/>
    <w:rsid w:val="00BD0ADF"/>
    <w:rsid w:val="00BD0D94"/>
    <w:rsid w:val="00BD10B0"/>
    <w:rsid w:val="00BD13CB"/>
    <w:rsid w:val="00BD1644"/>
    <w:rsid w:val="00BD2272"/>
    <w:rsid w:val="00BD2716"/>
    <w:rsid w:val="00BD27AC"/>
    <w:rsid w:val="00BD2BED"/>
    <w:rsid w:val="00BD2C70"/>
    <w:rsid w:val="00BD3052"/>
    <w:rsid w:val="00BD399F"/>
    <w:rsid w:val="00BD3C31"/>
    <w:rsid w:val="00BD4A8A"/>
    <w:rsid w:val="00BD5045"/>
    <w:rsid w:val="00BD5111"/>
    <w:rsid w:val="00BD5119"/>
    <w:rsid w:val="00BD51CE"/>
    <w:rsid w:val="00BD5966"/>
    <w:rsid w:val="00BD5A9A"/>
    <w:rsid w:val="00BD5CB0"/>
    <w:rsid w:val="00BD5FD9"/>
    <w:rsid w:val="00BD6102"/>
    <w:rsid w:val="00BD615C"/>
    <w:rsid w:val="00BD623A"/>
    <w:rsid w:val="00BD629D"/>
    <w:rsid w:val="00BD6BEE"/>
    <w:rsid w:val="00BD74B0"/>
    <w:rsid w:val="00BD77D8"/>
    <w:rsid w:val="00BD7A27"/>
    <w:rsid w:val="00BE0A82"/>
    <w:rsid w:val="00BE0B17"/>
    <w:rsid w:val="00BE0C83"/>
    <w:rsid w:val="00BE14F9"/>
    <w:rsid w:val="00BE1790"/>
    <w:rsid w:val="00BE1AFA"/>
    <w:rsid w:val="00BE1BB3"/>
    <w:rsid w:val="00BE1C44"/>
    <w:rsid w:val="00BE1FCF"/>
    <w:rsid w:val="00BE23CC"/>
    <w:rsid w:val="00BE263E"/>
    <w:rsid w:val="00BE26BF"/>
    <w:rsid w:val="00BE286F"/>
    <w:rsid w:val="00BE2AAC"/>
    <w:rsid w:val="00BE2B16"/>
    <w:rsid w:val="00BE2BC0"/>
    <w:rsid w:val="00BE33EA"/>
    <w:rsid w:val="00BE3550"/>
    <w:rsid w:val="00BE36B2"/>
    <w:rsid w:val="00BE3B8A"/>
    <w:rsid w:val="00BE414A"/>
    <w:rsid w:val="00BE497F"/>
    <w:rsid w:val="00BE4D6D"/>
    <w:rsid w:val="00BE5864"/>
    <w:rsid w:val="00BE61B7"/>
    <w:rsid w:val="00BE621C"/>
    <w:rsid w:val="00BE64A5"/>
    <w:rsid w:val="00BE658B"/>
    <w:rsid w:val="00BE66DE"/>
    <w:rsid w:val="00BE6FCF"/>
    <w:rsid w:val="00BE712B"/>
    <w:rsid w:val="00BE76AD"/>
    <w:rsid w:val="00BE76E4"/>
    <w:rsid w:val="00BE7CAA"/>
    <w:rsid w:val="00BF0474"/>
    <w:rsid w:val="00BF054B"/>
    <w:rsid w:val="00BF0611"/>
    <w:rsid w:val="00BF11AE"/>
    <w:rsid w:val="00BF1258"/>
    <w:rsid w:val="00BF12E5"/>
    <w:rsid w:val="00BF13E6"/>
    <w:rsid w:val="00BF1413"/>
    <w:rsid w:val="00BF1422"/>
    <w:rsid w:val="00BF1FCA"/>
    <w:rsid w:val="00BF2383"/>
    <w:rsid w:val="00BF2663"/>
    <w:rsid w:val="00BF2A63"/>
    <w:rsid w:val="00BF3568"/>
    <w:rsid w:val="00BF3677"/>
    <w:rsid w:val="00BF370F"/>
    <w:rsid w:val="00BF381D"/>
    <w:rsid w:val="00BF3A5A"/>
    <w:rsid w:val="00BF3D76"/>
    <w:rsid w:val="00BF4040"/>
    <w:rsid w:val="00BF4715"/>
    <w:rsid w:val="00BF49E2"/>
    <w:rsid w:val="00BF4A5C"/>
    <w:rsid w:val="00BF4BB5"/>
    <w:rsid w:val="00BF5477"/>
    <w:rsid w:val="00BF55FB"/>
    <w:rsid w:val="00BF5870"/>
    <w:rsid w:val="00BF5B0A"/>
    <w:rsid w:val="00BF5B4A"/>
    <w:rsid w:val="00BF605A"/>
    <w:rsid w:val="00BF619B"/>
    <w:rsid w:val="00BF64E7"/>
    <w:rsid w:val="00BF697E"/>
    <w:rsid w:val="00BF7000"/>
    <w:rsid w:val="00BF7622"/>
    <w:rsid w:val="00C000E2"/>
    <w:rsid w:val="00C0053B"/>
    <w:rsid w:val="00C009BB"/>
    <w:rsid w:val="00C00ABA"/>
    <w:rsid w:val="00C01119"/>
    <w:rsid w:val="00C0124C"/>
    <w:rsid w:val="00C01472"/>
    <w:rsid w:val="00C01625"/>
    <w:rsid w:val="00C01952"/>
    <w:rsid w:val="00C01C92"/>
    <w:rsid w:val="00C01D0D"/>
    <w:rsid w:val="00C026E5"/>
    <w:rsid w:val="00C028B1"/>
    <w:rsid w:val="00C02B68"/>
    <w:rsid w:val="00C04338"/>
    <w:rsid w:val="00C04A80"/>
    <w:rsid w:val="00C050BF"/>
    <w:rsid w:val="00C05841"/>
    <w:rsid w:val="00C06239"/>
    <w:rsid w:val="00C06901"/>
    <w:rsid w:val="00C06ACC"/>
    <w:rsid w:val="00C06AF2"/>
    <w:rsid w:val="00C06AFE"/>
    <w:rsid w:val="00C0797C"/>
    <w:rsid w:val="00C07A44"/>
    <w:rsid w:val="00C07ADE"/>
    <w:rsid w:val="00C07BE1"/>
    <w:rsid w:val="00C106BC"/>
    <w:rsid w:val="00C10717"/>
    <w:rsid w:val="00C109C6"/>
    <w:rsid w:val="00C11411"/>
    <w:rsid w:val="00C11A4E"/>
    <w:rsid w:val="00C12335"/>
    <w:rsid w:val="00C12B45"/>
    <w:rsid w:val="00C12C72"/>
    <w:rsid w:val="00C13132"/>
    <w:rsid w:val="00C134F2"/>
    <w:rsid w:val="00C139B6"/>
    <w:rsid w:val="00C139D8"/>
    <w:rsid w:val="00C13A3A"/>
    <w:rsid w:val="00C14E39"/>
    <w:rsid w:val="00C14F6D"/>
    <w:rsid w:val="00C15172"/>
    <w:rsid w:val="00C15B1B"/>
    <w:rsid w:val="00C160BD"/>
    <w:rsid w:val="00C16219"/>
    <w:rsid w:val="00C16996"/>
    <w:rsid w:val="00C16DA4"/>
    <w:rsid w:val="00C17107"/>
    <w:rsid w:val="00C1799F"/>
    <w:rsid w:val="00C204F6"/>
    <w:rsid w:val="00C209A3"/>
    <w:rsid w:val="00C211E6"/>
    <w:rsid w:val="00C212CB"/>
    <w:rsid w:val="00C21EE9"/>
    <w:rsid w:val="00C22536"/>
    <w:rsid w:val="00C2269B"/>
    <w:rsid w:val="00C229BD"/>
    <w:rsid w:val="00C22F1E"/>
    <w:rsid w:val="00C23186"/>
    <w:rsid w:val="00C237FF"/>
    <w:rsid w:val="00C23CE1"/>
    <w:rsid w:val="00C23DEB"/>
    <w:rsid w:val="00C24134"/>
    <w:rsid w:val="00C24136"/>
    <w:rsid w:val="00C24242"/>
    <w:rsid w:val="00C24510"/>
    <w:rsid w:val="00C248A0"/>
    <w:rsid w:val="00C2502F"/>
    <w:rsid w:val="00C2528A"/>
    <w:rsid w:val="00C252C5"/>
    <w:rsid w:val="00C253D3"/>
    <w:rsid w:val="00C258A6"/>
    <w:rsid w:val="00C25C65"/>
    <w:rsid w:val="00C25DE9"/>
    <w:rsid w:val="00C26333"/>
    <w:rsid w:val="00C2660A"/>
    <w:rsid w:val="00C26834"/>
    <w:rsid w:val="00C270C6"/>
    <w:rsid w:val="00C27354"/>
    <w:rsid w:val="00C2760A"/>
    <w:rsid w:val="00C307AB"/>
    <w:rsid w:val="00C30BE6"/>
    <w:rsid w:val="00C30C04"/>
    <w:rsid w:val="00C31238"/>
    <w:rsid w:val="00C31446"/>
    <w:rsid w:val="00C31816"/>
    <w:rsid w:val="00C31909"/>
    <w:rsid w:val="00C31ADE"/>
    <w:rsid w:val="00C31EE0"/>
    <w:rsid w:val="00C31F45"/>
    <w:rsid w:val="00C31FEE"/>
    <w:rsid w:val="00C32957"/>
    <w:rsid w:val="00C32DE8"/>
    <w:rsid w:val="00C33440"/>
    <w:rsid w:val="00C3359D"/>
    <w:rsid w:val="00C3384C"/>
    <w:rsid w:val="00C3406F"/>
    <w:rsid w:val="00C340C1"/>
    <w:rsid w:val="00C3461F"/>
    <w:rsid w:val="00C3463A"/>
    <w:rsid w:val="00C346B5"/>
    <w:rsid w:val="00C346D8"/>
    <w:rsid w:val="00C347FD"/>
    <w:rsid w:val="00C34D89"/>
    <w:rsid w:val="00C359E3"/>
    <w:rsid w:val="00C35E38"/>
    <w:rsid w:val="00C35EE8"/>
    <w:rsid w:val="00C3676F"/>
    <w:rsid w:val="00C36C9A"/>
    <w:rsid w:val="00C37DB5"/>
    <w:rsid w:val="00C37EB1"/>
    <w:rsid w:val="00C4066D"/>
    <w:rsid w:val="00C4073D"/>
    <w:rsid w:val="00C40969"/>
    <w:rsid w:val="00C40DE5"/>
    <w:rsid w:val="00C410D8"/>
    <w:rsid w:val="00C413C0"/>
    <w:rsid w:val="00C418A0"/>
    <w:rsid w:val="00C41C8F"/>
    <w:rsid w:val="00C43D75"/>
    <w:rsid w:val="00C44524"/>
    <w:rsid w:val="00C44744"/>
    <w:rsid w:val="00C44C80"/>
    <w:rsid w:val="00C45994"/>
    <w:rsid w:val="00C45B1D"/>
    <w:rsid w:val="00C45B40"/>
    <w:rsid w:val="00C45E31"/>
    <w:rsid w:val="00C45F07"/>
    <w:rsid w:val="00C4600E"/>
    <w:rsid w:val="00C461D1"/>
    <w:rsid w:val="00C46234"/>
    <w:rsid w:val="00C46322"/>
    <w:rsid w:val="00C46499"/>
    <w:rsid w:val="00C467EC"/>
    <w:rsid w:val="00C46AAF"/>
    <w:rsid w:val="00C46E5B"/>
    <w:rsid w:val="00C4708C"/>
    <w:rsid w:val="00C475A5"/>
    <w:rsid w:val="00C4791A"/>
    <w:rsid w:val="00C47B8C"/>
    <w:rsid w:val="00C47E6E"/>
    <w:rsid w:val="00C47EF0"/>
    <w:rsid w:val="00C50383"/>
    <w:rsid w:val="00C50919"/>
    <w:rsid w:val="00C50A63"/>
    <w:rsid w:val="00C50F57"/>
    <w:rsid w:val="00C511CC"/>
    <w:rsid w:val="00C5220B"/>
    <w:rsid w:val="00C525F8"/>
    <w:rsid w:val="00C52B3C"/>
    <w:rsid w:val="00C533F4"/>
    <w:rsid w:val="00C53D37"/>
    <w:rsid w:val="00C53D3A"/>
    <w:rsid w:val="00C542BE"/>
    <w:rsid w:val="00C549AD"/>
    <w:rsid w:val="00C54BAF"/>
    <w:rsid w:val="00C54D60"/>
    <w:rsid w:val="00C55182"/>
    <w:rsid w:val="00C556EF"/>
    <w:rsid w:val="00C55A6C"/>
    <w:rsid w:val="00C57024"/>
    <w:rsid w:val="00C57383"/>
    <w:rsid w:val="00C57D79"/>
    <w:rsid w:val="00C601A6"/>
    <w:rsid w:val="00C60308"/>
    <w:rsid w:val="00C60611"/>
    <w:rsid w:val="00C60A81"/>
    <w:rsid w:val="00C615E7"/>
    <w:rsid w:val="00C61D4E"/>
    <w:rsid w:val="00C61DD3"/>
    <w:rsid w:val="00C62183"/>
    <w:rsid w:val="00C62496"/>
    <w:rsid w:val="00C62CDD"/>
    <w:rsid w:val="00C62D41"/>
    <w:rsid w:val="00C639C2"/>
    <w:rsid w:val="00C63A03"/>
    <w:rsid w:val="00C63BDC"/>
    <w:rsid w:val="00C63CA9"/>
    <w:rsid w:val="00C64015"/>
    <w:rsid w:val="00C6408D"/>
    <w:rsid w:val="00C65448"/>
    <w:rsid w:val="00C65624"/>
    <w:rsid w:val="00C66871"/>
    <w:rsid w:val="00C669B6"/>
    <w:rsid w:val="00C66E92"/>
    <w:rsid w:val="00C679B3"/>
    <w:rsid w:val="00C67C27"/>
    <w:rsid w:val="00C70586"/>
    <w:rsid w:val="00C70658"/>
    <w:rsid w:val="00C70758"/>
    <w:rsid w:val="00C7103A"/>
    <w:rsid w:val="00C71AE6"/>
    <w:rsid w:val="00C7233B"/>
    <w:rsid w:val="00C72BFD"/>
    <w:rsid w:val="00C73395"/>
    <w:rsid w:val="00C737E8"/>
    <w:rsid w:val="00C748D7"/>
    <w:rsid w:val="00C74B44"/>
    <w:rsid w:val="00C75050"/>
    <w:rsid w:val="00C750C8"/>
    <w:rsid w:val="00C753C1"/>
    <w:rsid w:val="00C75534"/>
    <w:rsid w:val="00C7593E"/>
    <w:rsid w:val="00C76563"/>
    <w:rsid w:val="00C7670A"/>
    <w:rsid w:val="00C768D5"/>
    <w:rsid w:val="00C76D8F"/>
    <w:rsid w:val="00C77666"/>
    <w:rsid w:val="00C77D36"/>
    <w:rsid w:val="00C8000C"/>
    <w:rsid w:val="00C80317"/>
    <w:rsid w:val="00C803A0"/>
    <w:rsid w:val="00C803B5"/>
    <w:rsid w:val="00C80794"/>
    <w:rsid w:val="00C80948"/>
    <w:rsid w:val="00C81084"/>
    <w:rsid w:val="00C81112"/>
    <w:rsid w:val="00C81CC2"/>
    <w:rsid w:val="00C81CCD"/>
    <w:rsid w:val="00C8238E"/>
    <w:rsid w:val="00C823F4"/>
    <w:rsid w:val="00C82701"/>
    <w:rsid w:val="00C82DE0"/>
    <w:rsid w:val="00C82E76"/>
    <w:rsid w:val="00C831EB"/>
    <w:rsid w:val="00C8344B"/>
    <w:rsid w:val="00C841A9"/>
    <w:rsid w:val="00C842A1"/>
    <w:rsid w:val="00C845BE"/>
    <w:rsid w:val="00C84891"/>
    <w:rsid w:val="00C84902"/>
    <w:rsid w:val="00C84994"/>
    <w:rsid w:val="00C84C3C"/>
    <w:rsid w:val="00C84F17"/>
    <w:rsid w:val="00C85ACB"/>
    <w:rsid w:val="00C85C37"/>
    <w:rsid w:val="00C85D49"/>
    <w:rsid w:val="00C863FA"/>
    <w:rsid w:val="00C86439"/>
    <w:rsid w:val="00C864ED"/>
    <w:rsid w:val="00C865E6"/>
    <w:rsid w:val="00C867B1"/>
    <w:rsid w:val="00C869B4"/>
    <w:rsid w:val="00C86D96"/>
    <w:rsid w:val="00C86E0B"/>
    <w:rsid w:val="00C86EEE"/>
    <w:rsid w:val="00C87445"/>
    <w:rsid w:val="00C875A3"/>
    <w:rsid w:val="00C875A4"/>
    <w:rsid w:val="00C879C1"/>
    <w:rsid w:val="00C87BE8"/>
    <w:rsid w:val="00C90A65"/>
    <w:rsid w:val="00C91062"/>
    <w:rsid w:val="00C9146A"/>
    <w:rsid w:val="00C914BE"/>
    <w:rsid w:val="00C9183D"/>
    <w:rsid w:val="00C91893"/>
    <w:rsid w:val="00C91CFA"/>
    <w:rsid w:val="00C91D75"/>
    <w:rsid w:val="00C92425"/>
    <w:rsid w:val="00C924B1"/>
    <w:rsid w:val="00C92AA2"/>
    <w:rsid w:val="00C930E7"/>
    <w:rsid w:val="00C93DF1"/>
    <w:rsid w:val="00C940B9"/>
    <w:rsid w:val="00C94378"/>
    <w:rsid w:val="00C947C6"/>
    <w:rsid w:val="00C94B35"/>
    <w:rsid w:val="00C94CF4"/>
    <w:rsid w:val="00C950DE"/>
    <w:rsid w:val="00C9535C"/>
    <w:rsid w:val="00C9537D"/>
    <w:rsid w:val="00C95471"/>
    <w:rsid w:val="00C957FD"/>
    <w:rsid w:val="00C95DAE"/>
    <w:rsid w:val="00C966C0"/>
    <w:rsid w:val="00C966C7"/>
    <w:rsid w:val="00C9671C"/>
    <w:rsid w:val="00C9703A"/>
    <w:rsid w:val="00C97BC9"/>
    <w:rsid w:val="00C97C01"/>
    <w:rsid w:val="00CA0139"/>
    <w:rsid w:val="00CA0A0F"/>
    <w:rsid w:val="00CA0C4D"/>
    <w:rsid w:val="00CA0D3E"/>
    <w:rsid w:val="00CA14CF"/>
    <w:rsid w:val="00CA1618"/>
    <w:rsid w:val="00CA17C5"/>
    <w:rsid w:val="00CA1C80"/>
    <w:rsid w:val="00CA2ADA"/>
    <w:rsid w:val="00CA2E88"/>
    <w:rsid w:val="00CA30A3"/>
    <w:rsid w:val="00CA32B6"/>
    <w:rsid w:val="00CA340E"/>
    <w:rsid w:val="00CA3BE0"/>
    <w:rsid w:val="00CA3E87"/>
    <w:rsid w:val="00CA42C6"/>
    <w:rsid w:val="00CA4312"/>
    <w:rsid w:val="00CA4A52"/>
    <w:rsid w:val="00CA4CED"/>
    <w:rsid w:val="00CA54F6"/>
    <w:rsid w:val="00CA55F2"/>
    <w:rsid w:val="00CA5838"/>
    <w:rsid w:val="00CA5AA4"/>
    <w:rsid w:val="00CA5B11"/>
    <w:rsid w:val="00CA5B79"/>
    <w:rsid w:val="00CA5E91"/>
    <w:rsid w:val="00CA63A2"/>
    <w:rsid w:val="00CA69B9"/>
    <w:rsid w:val="00CA6A8E"/>
    <w:rsid w:val="00CA7619"/>
    <w:rsid w:val="00CA76E1"/>
    <w:rsid w:val="00CA7B09"/>
    <w:rsid w:val="00CA7EE5"/>
    <w:rsid w:val="00CB0B4D"/>
    <w:rsid w:val="00CB0C92"/>
    <w:rsid w:val="00CB10E3"/>
    <w:rsid w:val="00CB10FD"/>
    <w:rsid w:val="00CB1185"/>
    <w:rsid w:val="00CB122C"/>
    <w:rsid w:val="00CB13A6"/>
    <w:rsid w:val="00CB2260"/>
    <w:rsid w:val="00CB23FD"/>
    <w:rsid w:val="00CB25F5"/>
    <w:rsid w:val="00CB272A"/>
    <w:rsid w:val="00CB29A7"/>
    <w:rsid w:val="00CB2A5C"/>
    <w:rsid w:val="00CB2FC5"/>
    <w:rsid w:val="00CB3366"/>
    <w:rsid w:val="00CB39CD"/>
    <w:rsid w:val="00CB3D91"/>
    <w:rsid w:val="00CB4146"/>
    <w:rsid w:val="00CB438B"/>
    <w:rsid w:val="00CB48D7"/>
    <w:rsid w:val="00CB4B85"/>
    <w:rsid w:val="00CB51F3"/>
    <w:rsid w:val="00CB56D5"/>
    <w:rsid w:val="00CB56D7"/>
    <w:rsid w:val="00CB57FA"/>
    <w:rsid w:val="00CB5ED3"/>
    <w:rsid w:val="00CB5EEB"/>
    <w:rsid w:val="00CB619F"/>
    <w:rsid w:val="00CB64E6"/>
    <w:rsid w:val="00CB655E"/>
    <w:rsid w:val="00CB6C04"/>
    <w:rsid w:val="00CB6EFD"/>
    <w:rsid w:val="00CB7656"/>
    <w:rsid w:val="00CB7658"/>
    <w:rsid w:val="00CB7AB2"/>
    <w:rsid w:val="00CB7CCC"/>
    <w:rsid w:val="00CC088F"/>
    <w:rsid w:val="00CC0916"/>
    <w:rsid w:val="00CC0F87"/>
    <w:rsid w:val="00CC125A"/>
    <w:rsid w:val="00CC12D2"/>
    <w:rsid w:val="00CC1877"/>
    <w:rsid w:val="00CC20FD"/>
    <w:rsid w:val="00CC251E"/>
    <w:rsid w:val="00CC3451"/>
    <w:rsid w:val="00CC3B93"/>
    <w:rsid w:val="00CC523E"/>
    <w:rsid w:val="00CC5245"/>
    <w:rsid w:val="00CC53DE"/>
    <w:rsid w:val="00CC5C92"/>
    <w:rsid w:val="00CC62C3"/>
    <w:rsid w:val="00CC62E2"/>
    <w:rsid w:val="00CC6588"/>
    <w:rsid w:val="00CC6D05"/>
    <w:rsid w:val="00CC6D90"/>
    <w:rsid w:val="00CC6E94"/>
    <w:rsid w:val="00CC7395"/>
    <w:rsid w:val="00CC73E2"/>
    <w:rsid w:val="00CC782F"/>
    <w:rsid w:val="00CC7F3F"/>
    <w:rsid w:val="00CD00D4"/>
    <w:rsid w:val="00CD0391"/>
    <w:rsid w:val="00CD0B97"/>
    <w:rsid w:val="00CD0BC1"/>
    <w:rsid w:val="00CD0D66"/>
    <w:rsid w:val="00CD13EA"/>
    <w:rsid w:val="00CD14ED"/>
    <w:rsid w:val="00CD28D4"/>
    <w:rsid w:val="00CD2947"/>
    <w:rsid w:val="00CD2E7B"/>
    <w:rsid w:val="00CD3EB8"/>
    <w:rsid w:val="00CD4013"/>
    <w:rsid w:val="00CD43D1"/>
    <w:rsid w:val="00CD4530"/>
    <w:rsid w:val="00CD465C"/>
    <w:rsid w:val="00CD47CE"/>
    <w:rsid w:val="00CD4CDD"/>
    <w:rsid w:val="00CD4CF5"/>
    <w:rsid w:val="00CD5559"/>
    <w:rsid w:val="00CD5871"/>
    <w:rsid w:val="00CD6147"/>
    <w:rsid w:val="00CD6869"/>
    <w:rsid w:val="00CD6FB2"/>
    <w:rsid w:val="00CD761F"/>
    <w:rsid w:val="00CD7672"/>
    <w:rsid w:val="00CD76D6"/>
    <w:rsid w:val="00CD7BA2"/>
    <w:rsid w:val="00CD7BC3"/>
    <w:rsid w:val="00CE0496"/>
    <w:rsid w:val="00CE06EC"/>
    <w:rsid w:val="00CE0C54"/>
    <w:rsid w:val="00CE0D6C"/>
    <w:rsid w:val="00CE1409"/>
    <w:rsid w:val="00CE1A9D"/>
    <w:rsid w:val="00CE1BF7"/>
    <w:rsid w:val="00CE212D"/>
    <w:rsid w:val="00CE2AA8"/>
    <w:rsid w:val="00CE2DBB"/>
    <w:rsid w:val="00CE34BB"/>
    <w:rsid w:val="00CE36A3"/>
    <w:rsid w:val="00CE370B"/>
    <w:rsid w:val="00CE3D11"/>
    <w:rsid w:val="00CE45D3"/>
    <w:rsid w:val="00CE4F54"/>
    <w:rsid w:val="00CE50FA"/>
    <w:rsid w:val="00CE54DF"/>
    <w:rsid w:val="00CE579B"/>
    <w:rsid w:val="00CE67A7"/>
    <w:rsid w:val="00CE6CF6"/>
    <w:rsid w:val="00CE6E99"/>
    <w:rsid w:val="00CE703B"/>
    <w:rsid w:val="00CE7055"/>
    <w:rsid w:val="00CE70C9"/>
    <w:rsid w:val="00CE7B73"/>
    <w:rsid w:val="00CF026F"/>
    <w:rsid w:val="00CF05EA"/>
    <w:rsid w:val="00CF0848"/>
    <w:rsid w:val="00CF0BBD"/>
    <w:rsid w:val="00CF0F99"/>
    <w:rsid w:val="00CF1E50"/>
    <w:rsid w:val="00CF21BD"/>
    <w:rsid w:val="00CF222C"/>
    <w:rsid w:val="00CF22D3"/>
    <w:rsid w:val="00CF236A"/>
    <w:rsid w:val="00CF28B6"/>
    <w:rsid w:val="00CF3034"/>
    <w:rsid w:val="00CF3062"/>
    <w:rsid w:val="00CF3257"/>
    <w:rsid w:val="00CF3515"/>
    <w:rsid w:val="00CF3A13"/>
    <w:rsid w:val="00CF47D5"/>
    <w:rsid w:val="00CF4B15"/>
    <w:rsid w:val="00CF4BBC"/>
    <w:rsid w:val="00CF4D95"/>
    <w:rsid w:val="00CF589A"/>
    <w:rsid w:val="00CF5DCB"/>
    <w:rsid w:val="00CF5EC1"/>
    <w:rsid w:val="00CF619F"/>
    <w:rsid w:val="00CF64BA"/>
    <w:rsid w:val="00CF64EF"/>
    <w:rsid w:val="00CF64FA"/>
    <w:rsid w:val="00CF6B35"/>
    <w:rsid w:val="00CF6D9F"/>
    <w:rsid w:val="00CF7966"/>
    <w:rsid w:val="00D002A0"/>
    <w:rsid w:val="00D00CF7"/>
    <w:rsid w:val="00D0155F"/>
    <w:rsid w:val="00D01F1E"/>
    <w:rsid w:val="00D01F48"/>
    <w:rsid w:val="00D01FAD"/>
    <w:rsid w:val="00D02486"/>
    <w:rsid w:val="00D02554"/>
    <w:rsid w:val="00D0380E"/>
    <w:rsid w:val="00D03AB7"/>
    <w:rsid w:val="00D03B87"/>
    <w:rsid w:val="00D03F49"/>
    <w:rsid w:val="00D040D7"/>
    <w:rsid w:val="00D048D7"/>
    <w:rsid w:val="00D04AD4"/>
    <w:rsid w:val="00D04BC5"/>
    <w:rsid w:val="00D04E98"/>
    <w:rsid w:val="00D0552F"/>
    <w:rsid w:val="00D0553B"/>
    <w:rsid w:val="00D055B2"/>
    <w:rsid w:val="00D05F43"/>
    <w:rsid w:val="00D05FA6"/>
    <w:rsid w:val="00D0659B"/>
    <w:rsid w:val="00D0659D"/>
    <w:rsid w:val="00D06A43"/>
    <w:rsid w:val="00D06EF8"/>
    <w:rsid w:val="00D0711F"/>
    <w:rsid w:val="00D072A0"/>
    <w:rsid w:val="00D100FB"/>
    <w:rsid w:val="00D11249"/>
    <w:rsid w:val="00D11299"/>
    <w:rsid w:val="00D11703"/>
    <w:rsid w:val="00D11C56"/>
    <w:rsid w:val="00D11F22"/>
    <w:rsid w:val="00D11F65"/>
    <w:rsid w:val="00D12286"/>
    <w:rsid w:val="00D12860"/>
    <w:rsid w:val="00D1321E"/>
    <w:rsid w:val="00D13DAD"/>
    <w:rsid w:val="00D13ECC"/>
    <w:rsid w:val="00D14058"/>
    <w:rsid w:val="00D140B8"/>
    <w:rsid w:val="00D14140"/>
    <w:rsid w:val="00D14286"/>
    <w:rsid w:val="00D148CE"/>
    <w:rsid w:val="00D14D93"/>
    <w:rsid w:val="00D14EB7"/>
    <w:rsid w:val="00D14F69"/>
    <w:rsid w:val="00D150CF"/>
    <w:rsid w:val="00D153FB"/>
    <w:rsid w:val="00D15E32"/>
    <w:rsid w:val="00D163AA"/>
    <w:rsid w:val="00D16A9F"/>
    <w:rsid w:val="00D16DF8"/>
    <w:rsid w:val="00D16F99"/>
    <w:rsid w:val="00D16FA0"/>
    <w:rsid w:val="00D16FF8"/>
    <w:rsid w:val="00D172E9"/>
    <w:rsid w:val="00D17512"/>
    <w:rsid w:val="00D17703"/>
    <w:rsid w:val="00D17B61"/>
    <w:rsid w:val="00D20387"/>
    <w:rsid w:val="00D20CF9"/>
    <w:rsid w:val="00D20D0F"/>
    <w:rsid w:val="00D20DCF"/>
    <w:rsid w:val="00D2107C"/>
    <w:rsid w:val="00D2118A"/>
    <w:rsid w:val="00D215AE"/>
    <w:rsid w:val="00D21865"/>
    <w:rsid w:val="00D21BA8"/>
    <w:rsid w:val="00D21E60"/>
    <w:rsid w:val="00D2216E"/>
    <w:rsid w:val="00D22214"/>
    <w:rsid w:val="00D22EEE"/>
    <w:rsid w:val="00D23070"/>
    <w:rsid w:val="00D23114"/>
    <w:rsid w:val="00D232E3"/>
    <w:rsid w:val="00D23861"/>
    <w:rsid w:val="00D23886"/>
    <w:rsid w:val="00D23B34"/>
    <w:rsid w:val="00D2430B"/>
    <w:rsid w:val="00D24696"/>
    <w:rsid w:val="00D24C4F"/>
    <w:rsid w:val="00D25079"/>
    <w:rsid w:val="00D25A43"/>
    <w:rsid w:val="00D25FCE"/>
    <w:rsid w:val="00D26262"/>
    <w:rsid w:val="00D262EC"/>
    <w:rsid w:val="00D26816"/>
    <w:rsid w:val="00D272E5"/>
    <w:rsid w:val="00D27620"/>
    <w:rsid w:val="00D27A13"/>
    <w:rsid w:val="00D30F3D"/>
    <w:rsid w:val="00D312B1"/>
    <w:rsid w:val="00D31302"/>
    <w:rsid w:val="00D3135A"/>
    <w:rsid w:val="00D3183F"/>
    <w:rsid w:val="00D31D5B"/>
    <w:rsid w:val="00D31F26"/>
    <w:rsid w:val="00D32C9E"/>
    <w:rsid w:val="00D32E35"/>
    <w:rsid w:val="00D32F2B"/>
    <w:rsid w:val="00D3342A"/>
    <w:rsid w:val="00D338A1"/>
    <w:rsid w:val="00D3403C"/>
    <w:rsid w:val="00D34274"/>
    <w:rsid w:val="00D342BA"/>
    <w:rsid w:val="00D34BDA"/>
    <w:rsid w:val="00D34F04"/>
    <w:rsid w:val="00D35293"/>
    <w:rsid w:val="00D35334"/>
    <w:rsid w:val="00D35BE7"/>
    <w:rsid w:val="00D368FE"/>
    <w:rsid w:val="00D3704C"/>
    <w:rsid w:val="00D373B9"/>
    <w:rsid w:val="00D37AAB"/>
    <w:rsid w:val="00D37EE9"/>
    <w:rsid w:val="00D37F72"/>
    <w:rsid w:val="00D40A99"/>
    <w:rsid w:val="00D40AFC"/>
    <w:rsid w:val="00D41EBB"/>
    <w:rsid w:val="00D41F12"/>
    <w:rsid w:val="00D4207D"/>
    <w:rsid w:val="00D4215A"/>
    <w:rsid w:val="00D42445"/>
    <w:rsid w:val="00D42470"/>
    <w:rsid w:val="00D42660"/>
    <w:rsid w:val="00D42714"/>
    <w:rsid w:val="00D42BBA"/>
    <w:rsid w:val="00D4357C"/>
    <w:rsid w:val="00D4393C"/>
    <w:rsid w:val="00D439DF"/>
    <w:rsid w:val="00D43CCC"/>
    <w:rsid w:val="00D43E53"/>
    <w:rsid w:val="00D4404E"/>
    <w:rsid w:val="00D44275"/>
    <w:rsid w:val="00D449BA"/>
    <w:rsid w:val="00D44E77"/>
    <w:rsid w:val="00D45E92"/>
    <w:rsid w:val="00D45EA3"/>
    <w:rsid w:val="00D466AC"/>
    <w:rsid w:val="00D46B4C"/>
    <w:rsid w:val="00D472E4"/>
    <w:rsid w:val="00D47D26"/>
    <w:rsid w:val="00D47E50"/>
    <w:rsid w:val="00D50545"/>
    <w:rsid w:val="00D50837"/>
    <w:rsid w:val="00D509F9"/>
    <w:rsid w:val="00D50C31"/>
    <w:rsid w:val="00D50E2D"/>
    <w:rsid w:val="00D51289"/>
    <w:rsid w:val="00D515E4"/>
    <w:rsid w:val="00D5272A"/>
    <w:rsid w:val="00D52BA6"/>
    <w:rsid w:val="00D5336C"/>
    <w:rsid w:val="00D538AA"/>
    <w:rsid w:val="00D54548"/>
    <w:rsid w:val="00D54E35"/>
    <w:rsid w:val="00D54F86"/>
    <w:rsid w:val="00D55321"/>
    <w:rsid w:val="00D5551F"/>
    <w:rsid w:val="00D5555F"/>
    <w:rsid w:val="00D55D82"/>
    <w:rsid w:val="00D569EA"/>
    <w:rsid w:val="00D57466"/>
    <w:rsid w:val="00D575A3"/>
    <w:rsid w:val="00D57E15"/>
    <w:rsid w:val="00D6101B"/>
    <w:rsid w:val="00D612D4"/>
    <w:rsid w:val="00D617FE"/>
    <w:rsid w:val="00D61C9A"/>
    <w:rsid w:val="00D61CD5"/>
    <w:rsid w:val="00D62846"/>
    <w:rsid w:val="00D62A56"/>
    <w:rsid w:val="00D62D97"/>
    <w:rsid w:val="00D63376"/>
    <w:rsid w:val="00D63382"/>
    <w:rsid w:val="00D634FF"/>
    <w:rsid w:val="00D6357D"/>
    <w:rsid w:val="00D6360E"/>
    <w:rsid w:val="00D63682"/>
    <w:rsid w:val="00D639F0"/>
    <w:rsid w:val="00D63BB7"/>
    <w:rsid w:val="00D640C6"/>
    <w:rsid w:val="00D64431"/>
    <w:rsid w:val="00D645BA"/>
    <w:rsid w:val="00D64D80"/>
    <w:rsid w:val="00D64F00"/>
    <w:rsid w:val="00D6508B"/>
    <w:rsid w:val="00D65120"/>
    <w:rsid w:val="00D651BD"/>
    <w:rsid w:val="00D65D85"/>
    <w:rsid w:val="00D6610C"/>
    <w:rsid w:val="00D66441"/>
    <w:rsid w:val="00D670E1"/>
    <w:rsid w:val="00D677DF"/>
    <w:rsid w:val="00D679A0"/>
    <w:rsid w:val="00D679C8"/>
    <w:rsid w:val="00D67B6E"/>
    <w:rsid w:val="00D67BF7"/>
    <w:rsid w:val="00D67ED6"/>
    <w:rsid w:val="00D67FD3"/>
    <w:rsid w:val="00D70035"/>
    <w:rsid w:val="00D70325"/>
    <w:rsid w:val="00D70552"/>
    <w:rsid w:val="00D70F6C"/>
    <w:rsid w:val="00D714B8"/>
    <w:rsid w:val="00D71CCA"/>
    <w:rsid w:val="00D71FEF"/>
    <w:rsid w:val="00D721D3"/>
    <w:rsid w:val="00D721EB"/>
    <w:rsid w:val="00D724D4"/>
    <w:rsid w:val="00D73780"/>
    <w:rsid w:val="00D7382A"/>
    <w:rsid w:val="00D7383A"/>
    <w:rsid w:val="00D739DC"/>
    <w:rsid w:val="00D73AE7"/>
    <w:rsid w:val="00D73DC7"/>
    <w:rsid w:val="00D73F08"/>
    <w:rsid w:val="00D741B5"/>
    <w:rsid w:val="00D74874"/>
    <w:rsid w:val="00D74956"/>
    <w:rsid w:val="00D74C03"/>
    <w:rsid w:val="00D74D05"/>
    <w:rsid w:val="00D74E51"/>
    <w:rsid w:val="00D7564C"/>
    <w:rsid w:val="00D75698"/>
    <w:rsid w:val="00D757C1"/>
    <w:rsid w:val="00D757C8"/>
    <w:rsid w:val="00D75C84"/>
    <w:rsid w:val="00D761F4"/>
    <w:rsid w:val="00D770FD"/>
    <w:rsid w:val="00D7712F"/>
    <w:rsid w:val="00D771A1"/>
    <w:rsid w:val="00D77434"/>
    <w:rsid w:val="00D77502"/>
    <w:rsid w:val="00D7795A"/>
    <w:rsid w:val="00D80097"/>
    <w:rsid w:val="00D80292"/>
    <w:rsid w:val="00D805D1"/>
    <w:rsid w:val="00D80A25"/>
    <w:rsid w:val="00D80A36"/>
    <w:rsid w:val="00D81F47"/>
    <w:rsid w:val="00D826F8"/>
    <w:rsid w:val="00D83467"/>
    <w:rsid w:val="00D83CF8"/>
    <w:rsid w:val="00D84059"/>
    <w:rsid w:val="00D84742"/>
    <w:rsid w:val="00D847D6"/>
    <w:rsid w:val="00D849B9"/>
    <w:rsid w:val="00D84CE4"/>
    <w:rsid w:val="00D8586D"/>
    <w:rsid w:val="00D85D0D"/>
    <w:rsid w:val="00D85F4C"/>
    <w:rsid w:val="00D862D2"/>
    <w:rsid w:val="00D867A4"/>
    <w:rsid w:val="00D869DC"/>
    <w:rsid w:val="00D86C22"/>
    <w:rsid w:val="00D8705F"/>
    <w:rsid w:val="00D87364"/>
    <w:rsid w:val="00D87894"/>
    <w:rsid w:val="00D87D34"/>
    <w:rsid w:val="00D9077B"/>
    <w:rsid w:val="00D908FD"/>
    <w:rsid w:val="00D90B91"/>
    <w:rsid w:val="00D90BCE"/>
    <w:rsid w:val="00D90C73"/>
    <w:rsid w:val="00D90F34"/>
    <w:rsid w:val="00D90F7E"/>
    <w:rsid w:val="00D90F91"/>
    <w:rsid w:val="00D91E85"/>
    <w:rsid w:val="00D92696"/>
    <w:rsid w:val="00D92D5C"/>
    <w:rsid w:val="00D92F59"/>
    <w:rsid w:val="00D93194"/>
    <w:rsid w:val="00D9366A"/>
    <w:rsid w:val="00D93841"/>
    <w:rsid w:val="00D93E1B"/>
    <w:rsid w:val="00D94171"/>
    <w:rsid w:val="00D949D6"/>
    <w:rsid w:val="00D94B2E"/>
    <w:rsid w:val="00D94FA7"/>
    <w:rsid w:val="00D95875"/>
    <w:rsid w:val="00D96496"/>
    <w:rsid w:val="00D96DD2"/>
    <w:rsid w:val="00D96FBF"/>
    <w:rsid w:val="00D9728E"/>
    <w:rsid w:val="00D973E0"/>
    <w:rsid w:val="00D97837"/>
    <w:rsid w:val="00D978A1"/>
    <w:rsid w:val="00D97DDB"/>
    <w:rsid w:val="00D97F90"/>
    <w:rsid w:val="00DA01ED"/>
    <w:rsid w:val="00DA0244"/>
    <w:rsid w:val="00DA0753"/>
    <w:rsid w:val="00DA08CE"/>
    <w:rsid w:val="00DA0916"/>
    <w:rsid w:val="00DA0A3A"/>
    <w:rsid w:val="00DA14B6"/>
    <w:rsid w:val="00DA1811"/>
    <w:rsid w:val="00DA19B9"/>
    <w:rsid w:val="00DA1A53"/>
    <w:rsid w:val="00DA1EFB"/>
    <w:rsid w:val="00DA200D"/>
    <w:rsid w:val="00DA2F27"/>
    <w:rsid w:val="00DA2F7C"/>
    <w:rsid w:val="00DA3453"/>
    <w:rsid w:val="00DA397E"/>
    <w:rsid w:val="00DA3A9E"/>
    <w:rsid w:val="00DA5316"/>
    <w:rsid w:val="00DA560C"/>
    <w:rsid w:val="00DA5802"/>
    <w:rsid w:val="00DA66CD"/>
    <w:rsid w:val="00DA67EE"/>
    <w:rsid w:val="00DA712F"/>
    <w:rsid w:val="00DA719E"/>
    <w:rsid w:val="00DA75E1"/>
    <w:rsid w:val="00DA791C"/>
    <w:rsid w:val="00DB0340"/>
    <w:rsid w:val="00DB03AE"/>
    <w:rsid w:val="00DB03CC"/>
    <w:rsid w:val="00DB09F0"/>
    <w:rsid w:val="00DB0DDB"/>
    <w:rsid w:val="00DB10D5"/>
    <w:rsid w:val="00DB1239"/>
    <w:rsid w:val="00DB15A6"/>
    <w:rsid w:val="00DB1CBC"/>
    <w:rsid w:val="00DB209C"/>
    <w:rsid w:val="00DB29D6"/>
    <w:rsid w:val="00DB2A92"/>
    <w:rsid w:val="00DB2F1D"/>
    <w:rsid w:val="00DB30AF"/>
    <w:rsid w:val="00DB3183"/>
    <w:rsid w:val="00DB31AF"/>
    <w:rsid w:val="00DB3283"/>
    <w:rsid w:val="00DB357F"/>
    <w:rsid w:val="00DB387D"/>
    <w:rsid w:val="00DB38E6"/>
    <w:rsid w:val="00DB3F6E"/>
    <w:rsid w:val="00DB3FFF"/>
    <w:rsid w:val="00DB4D63"/>
    <w:rsid w:val="00DB545E"/>
    <w:rsid w:val="00DB568C"/>
    <w:rsid w:val="00DB5A68"/>
    <w:rsid w:val="00DB5CE1"/>
    <w:rsid w:val="00DB6F3F"/>
    <w:rsid w:val="00DC03A0"/>
    <w:rsid w:val="00DC0544"/>
    <w:rsid w:val="00DC0636"/>
    <w:rsid w:val="00DC0EDA"/>
    <w:rsid w:val="00DC1122"/>
    <w:rsid w:val="00DC181E"/>
    <w:rsid w:val="00DC18BB"/>
    <w:rsid w:val="00DC1A21"/>
    <w:rsid w:val="00DC1DE7"/>
    <w:rsid w:val="00DC1E2D"/>
    <w:rsid w:val="00DC20A5"/>
    <w:rsid w:val="00DC20CA"/>
    <w:rsid w:val="00DC321D"/>
    <w:rsid w:val="00DC397B"/>
    <w:rsid w:val="00DC3A1C"/>
    <w:rsid w:val="00DC403E"/>
    <w:rsid w:val="00DC424B"/>
    <w:rsid w:val="00DC43EC"/>
    <w:rsid w:val="00DC4527"/>
    <w:rsid w:val="00DC4678"/>
    <w:rsid w:val="00DC4834"/>
    <w:rsid w:val="00DC4A86"/>
    <w:rsid w:val="00DC4FE9"/>
    <w:rsid w:val="00DC50A0"/>
    <w:rsid w:val="00DC55BA"/>
    <w:rsid w:val="00DC5860"/>
    <w:rsid w:val="00DC5A0F"/>
    <w:rsid w:val="00DC5A27"/>
    <w:rsid w:val="00DC6002"/>
    <w:rsid w:val="00DC6355"/>
    <w:rsid w:val="00DC6CF3"/>
    <w:rsid w:val="00DC6D78"/>
    <w:rsid w:val="00DC7602"/>
    <w:rsid w:val="00DD025B"/>
    <w:rsid w:val="00DD0271"/>
    <w:rsid w:val="00DD0FC6"/>
    <w:rsid w:val="00DD1001"/>
    <w:rsid w:val="00DD113C"/>
    <w:rsid w:val="00DD14CE"/>
    <w:rsid w:val="00DD1699"/>
    <w:rsid w:val="00DD1BF2"/>
    <w:rsid w:val="00DD2147"/>
    <w:rsid w:val="00DD249F"/>
    <w:rsid w:val="00DD265B"/>
    <w:rsid w:val="00DD39C8"/>
    <w:rsid w:val="00DD3FC9"/>
    <w:rsid w:val="00DD468D"/>
    <w:rsid w:val="00DD475C"/>
    <w:rsid w:val="00DD4797"/>
    <w:rsid w:val="00DD4B90"/>
    <w:rsid w:val="00DD51E1"/>
    <w:rsid w:val="00DD5212"/>
    <w:rsid w:val="00DD5645"/>
    <w:rsid w:val="00DD5ADE"/>
    <w:rsid w:val="00DD5C28"/>
    <w:rsid w:val="00DD6925"/>
    <w:rsid w:val="00DD6D14"/>
    <w:rsid w:val="00DD6E72"/>
    <w:rsid w:val="00DD6F17"/>
    <w:rsid w:val="00DD6F21"/>
    <w:rsid w:val="00DD7179"/>
    <w:rsid w:val="00DD79D7"/>
    <w:rsid w:val="00DD7AB5"/>
    <w:rsid w:val="00DD7BFA"/>
    <w:rsid w:val="00DD7E7C"/>
    <w:rsid w:val="00DE09B4"/>
    <w:rsid w:val="00DE0AE8"/>
    <w:rsid w:val="00DE0B50"/>
    <w:rsid w:val="00DE1ADC"/>
    <w:rsid w:val="00DE1D05"/>
    <w:rsid w:val="00DE1D83"/>
    <w:rsid w:val="00DE1E9D"/>
    <w:rsid w:val="00DE2004"/>
    <w:rsid w:val="00DE2462"/>
    <w:rsid w:val="00DE24DA"/>
    <w:rsid w:val="00DE25D0"/>
    <w:rsid w:val="00DE3450"/>
    <w:rsid w:val="00DE381C"/>
    <w:rsid w:val="00DE3927"/>
    <w:rsid w:val="00DE3995"/>
    <w:rsid w:val="00DE3BA5"/>
    <w:rsid w:val="00DE3CD1"/>
    <w:rsid w:val="00DE3EBB"/>
    <w:rsid w:val="00DE406A"/>
    <w:rsid w:val="00DE40D7"/>
    <w:rsid w:val="00DE44FE"/>
    <w:rsid w:val="00DE468E"/>
    <w:rsid w:val="00DE4716"/>
    <w:rsid w:val="00DE47B6"/>
    <w:rsid w:val="00DE49C7"/>
    <w:rsid w:val="00DE49CE"/>
    <w:rsid w:val="00DE4C00"/>
    <w:rsid w:val="00DE4C2D"/>
    <w:rsid w:val="00DE4E4F"/>
    <w:rsid w:val="00DE4EAD"/>
    <w:rsid w:val="00DE5D28"/>
    <w:rsid w:val="00DE5EDC"/>
    <w:rsid w:val="00DE6102"/>
    <w:rsid w:val="00DE61BC"/>
    <w:rsid w:val="00DE659A"/>
    <w:rsid w:val="00DE65B8"/>
    <w:rsid w:val="00DE680E"/>
    <w:rsid w:val="00DE6A25"/>
    <w:rsid w:val="00DE6C96"/>
    <w:rsid w:val="00DE6DD5"/>
    <w:rsid w:val="00DE71FC"/>
    <w:rsid w:val="00DE7431"/>
    <w:rsid w:val="00DE7A62"/>
    <w:rsid w:val="00DE7B3E"/>
    <w:rsid w:val="00DE7C28"/>
    <w:rsid w:val="00DE7DB2"/>
    <w:rsid w:val="00DE7EFC"/>
    <w:rsid w:val="00DF0568"/>
    <w:rsid w:val="00DF0F3E"/>
    <w:rsid w:val="00DF114D"/>
    <w:rsid w:val="00DF12A4"/>
    <w:rsid w:val="00DF1D34"/>
    <w:rsid w:val="00DF1E34"/>
    <w:rsid w:val="00DF2697"/>
    <w:rsid w:val="00DF283E"/>
    <w:rsid w:val="00DF2B3B"/>
    <w:rsid w:val="00DF2E2D"/>
    <w:rsid w:val="00DF305E"/>
    <w:rsid w:val="00DF3445"/>
    <w:rsid w:val="00DF3770"/>
    <w:rsid w:val="00DF3DF3"/>
    <w:rsid w:val="00DF438E"/>
    <w:rsid w:val="00DF45A3"/>
    <w:rsid w:val="00DF4AFE"/>
    <w:rsid w:val="00DF4B0E"/>
    <w:rsid w:val="00DF5CEE"/>
    <w:rsid w:val="00DF5FF9"/>
    <w:rsid w:val="00DF6557"/>
    <w:rsid w:val="00DF6581"/>
    <w:rsid w:val="00DF65FE"/>
    <w:rsid w:val="00DF6D6D"/>
    <w:rsid w:val="00DF7574"/>
    <w:rsid w:val="00DF76BB"/>
    <w:rsid w:val="00DF79B4"/>
    <w:rsid w:val="00DF7B4F"/>
    <w:rsid w:val="00E001AC"/>
    <w:rsid w:val="00E00280"/>
    <w:rsid w:val="00E007FC"/>
    <w:rsid w:val="00E008E6"/>
    <w:rsid w:val="00E00925"/>
    <w:rsid w:val="00E00BF5"/>
    <w:rsid w:val="00E00DEC"/>
    <w:rsid w:val="00E00F54"/>
    <w:rsid w:val="00E01318"/>
    <w:rsid w:val="00E016E3"/>
    <w:rsid w:val="00E01C83"/>
    <w:rsid w:val="00E02159"/>
    <w:rsid w:val="00E0242A"/>
    <w:rsid w:val="00E0246F"/>
    <w:rsid w:val="00E0276E"/>
    <w:rsid w:val="00E02912"/>
    <w:rsid w:val="00E0294A"/>
    <w:rsid w:val="00E02B1C"/>
    <w:rsid w:val="00E03016"/>
    <w:rsid w:val="00E0313D"/>
    <w:rsid w:val="00E0346F"/>
    <w:rsid w:val="00E03813"/>
    <w:rsid w:val="00E03903"/>
    <w:rsid w:val="00E03BE5"/>
    <w:rsid w:val="00E03E46"/>
    <w:rsid w:val="00E03EC6"/>
    <w:rsid w:val="00E03F03"/>
    <w:rsid w:val="00E040FC"/>
    <w:rsid w:val="00E0410F"/>
    <w:rsid w:val="00E04624"/>
    <w:rsid w:val="00E0474A"/>
    <w:rsid w:val="00E0496F"/>
    <w:rsid w:val="00E05460"/>
    <w:rsid w:val="00E05BE7"/>
    <w:rsid w:val="00E06185"/>
    <w:rsid w:val="00E061A2"/>
    <w:rsid w:val="00E06400"/>
    <w:rsid w:val="00E06D4F"/>
    <w:rsid w:val="00E071F9"/>
    <w:rsid w:val="00E073FB"/>
    <w:rsid w:val="00E07CF3"/>
    <w:rsid w:val="00E07F9C"/>
    <w:rsid w:val="00E10499"/>
    <w:rsid w:val="00E108A4"/>
    <w:rsid w:val="00E10CC5"/>
    <w:rsid w:val="00E10E67"/>
    <w:rsid w:val="00E11255"/>
    <w:rsid w:val="00E1125E"/>
    <w:rsid w:val="00E114FA"/>
    <w:rsid w:val="00E116FB"/>
    <w:rsid w:val="00E117CC"/>
    <w:rsid w:val="00E118C0"/>
    <w:rsid w:val="00E118FF"/>
    <w:rsid w:val="00E11AF4"/>
    <w:rsid w:val="00E12C08"/>
    <w:rsid w:val="00E131FC"/>
    <w:rsid w:val="00E13742"/>
    <w:rsid w:val="00E13875"/>
    <w:rsid w:val="00E13C8C"/>
    <w:rsid w:val="00E13D7E"/>
    <w:rsid w:val="00E1460D"/>
    <w:rsid w:val="00E14739"/>
    <w:rsid w:val="00E14CB2"/>
    <w:rsid w:val="00E14F60"/>
    <w:rsid w:val="00E160B0"/>
    <w:rsid w:val="00E1629F"/>
    <w:rsid w:val="00E16587"/>
    <w:rsid w:val="00E168AA"/>
    <w:rsid w:val="00E1749E"/>
    <w:rsid w:val="00E17A00"/>
    <w:rsid w:val="00E17A08"/>
    <w:rsid w:val="00E200F5"/>
    <w:rsid w:val="00E20572"/>
    <w:rsid w:val="00E20AE7"/>
    <w:rsid w:val="00E20D75"/>
    <w:rsid w:val="00E20FD5"/>
    <w:rsid w:val="00E211A2"/>
    <w:rsid w:val="00E2137D"/>
    <w:rsid w:val="00E213F3"/>
    <w:rsid w:val="00E22051"/>
    <w:rsid w:val="00E22631"/>
    <w:rsid w:val="00E22684"/>
    <w:rsid w:val="00E22746"/>
    <w:rsid w:val="00E22E1C"/>
    <w:rsid w:val="00E23118"/>
    <w:rsid w:val="00E23142"/>
    <w:rsid w:val="00E23162"/>
    <w:rsid w:val="00E236F7"/>
    <w:rsid w:val="00E23F45"/>
    <w:rsid w:val="00E24F4E"/>
    <w:rsid w:val="00E24F5D"/>
    <w:rsid w:val="00E24F93"/>
    <w:rsid w:val="00E24F95"/>
    <w:rsid w:val="00E250A7"/>
    <w:rsid w:val="00E2586A"/>
    <w:rsid w:val="00E25875"/>
    <w:rsid w:val="00E25A28"/>
    <w:rsid w:val="00E25FC2"/>
    <w:rsid w:val="00E261F2"/>
    <w:rsid w:val="00E275AC"/>
    <w:rsid w:val="00E276FE"/>
    <w:rsid w:val="00E277F2"/>
    <w:rsid w:val="00E27BF3"/>
    <w:rsid w:val="00E27E31"/>
    <w:rsid w:val="00E3046B"/>
    <w:rsid w:val="00E30583"/>
    <w:rsid w:val="00E30607"/>
    <w:rsid w:val="00E30985"/>
    <w:rsid w:val="00E31048"/>
    <w:rsid w:val="00E31138"/>
    <w:rsid w:val="00E3120E"/>
    <w:rsid w:val="00E31766"/>
    <w:rsid w:val="00E31D96"/>
    <w:rsid w:val="00E31ED9"/>
    <w:rsid w:val="00E3200B"/>
    <w:rsid w:val="00E32398"/>
    <w:rsid w:val="00E3274E"/>
    <w:rsid w:val="00E332B1"/>
    <w:rsid w:val="00E33C38"/>
    <w:rsid w:val="00E33DC3"/>
    <w:rsid w:val="00E34516"/>
    <w:rsid w:val="00E346D6"/>
    <w:rsid w:val="00E35BF7"/>
    <w:rsid w:val="00E35C12"/>
    <w:rsid w:val="00E360FF"/>
    <w:rsid w:val="00E36193"/>
    <w:rsid w:val="00E361D4"/>
    <w:rsid w:val="00E36C6D"/>
    <w:rsid w:val="00E36ED4"/>
    <w:rsid w:val="00E36EF1"/>
    <w:rsid w:val="00E371BA"/>
    <w:rsid w:val="00E371C2"/>
    <w:rsid w:val="00E37D53"/>
    <w:rsid w:val="00E37EAB"/>
    <w:rsid w:val="00E400F5"/>
    <w:rsid w:val="00E40328"/>
    <w:rsid w:val="00E404F2"/>
    <w:rsid w:val="00E40A21"/>
    <w:rsid w:val="00E41E06"/>
    <w:rsid w:val="00E422B5"/>
    <w:rsid w:val="00E423C0"/>
    <w:rsid w:val="00E4244B"/>
    <w:rsid w:val="00E42483"/>
    <w:rsid w:val="00E4314F"/>
    <w:rsid w:val="00E43AA8"/>
    <w:rsid w:val="00E44695"/>
    <w:rsid w:val="00E455F3"/>
    <w:rsid w:val="00E458DD"/>
    <w:rsid w:val="00E45C74"/>
    <w:rsid w:val="00E45E51"/>
    <w:rsid w:val="00E45EE4"/>
    <w:rsid w:val="00E46355"/>
    <w:rsid w:val="00E467EA"/>
    <w:rsid w:val="00E469A7"/>
    <w:rsid w:val="00E469BF"/>
    <w:rsid w:val="00E46F74"/>
    <w:rsid w:val="00E472DE"/>
    <w:rsid w:val="00E47616"/>
    <w:rsid w:val="00E47A95"/>
    <w:rsid w:val="00E47BB2"/>
    <w:rsid w:val="00E50230"/>
    <w:rsid w:val="00E50646"/>
    <w:rsid w:val="00E50B11"/>
    <w:rsid w:val="00E51969"/>
    <w:rsid w:val="00E51D5F"/>
    <w:rsid w:val="00E5254A"/>
    <w:rsid w:val="00E52688"/>
    <w:rsid w:val="00E527CB"/>
    <w:rsid w:val="00E5340D"/>
    <w:rsid w:val="00E53B22"/>
    <w:rsid w:val="00E547F2"/>
    <w:rsid w:val="00E54DF4"/>
    <w:rsid w:val="00E5563B"/>
    <w:rsid w:val="00E55DCF"/>
    <w:rsid w:val="00E56450"/>
    <w:rsid w:val="00E565F2"/>
    <w:rsid w:val="00E56C34"/>
    <w:rsid w:val="00E56C83"/>
    <w:rsid w:val="00E573E8"/>
    <w:rsid w:val="00E574B2"/>
    <w:rsid w:val="00E5796D"/>
    <w:rsid w:val="00E579D7"/>
    <w:rsid w:val="00E57C85"/>
    <w:rsid w:val="00E57FF7"/>
    <w:rsid w:val="00E603C3"/>
    <w:rsid w:val="00E606DB"/>
    <w:rsid w:val="00E60AFC"/>
    <w:rsid w:val="00E611A8"/>
    <w:rsid w:val="00E615C0"/>
    <w:rsid w:val="00E6182D"/>
    <w:rsid w:val="00E62250"/>
    <w:rsid w:val="00E624A4"/>
    <w:rsid w:val="00E62792"/>
    <w:rsid w:val="00E62C2B"/>
    <w:rsid w:val="00E63464"/>
    <w:rsid w:val="00E63A11"/>
    <w:rsid w:val="00E63B46"/>
    <w:rsid w:val="00E644B1"/>
    <w:rsid w:val="00E644DC"/>
    <w:rsid w:val="00E64747"/>
    <w:rsid w:val="00E647DC"/>
    <w:rsid w:val="00E64A30"/>
    <w:rsid w:val="00E64C67"/>
    <w:rsid w:val="00E64E91"/>
    <w:rsid w:val="00E6513A"/>
    <w:rsid w:val="00E6533D"/>
    <w:rsid w:val="00E65C2B"/>
    <w:rsid w:val="00E66165"/>
    <w:rsid w:val="00E67069"/>
    <w:rsid w:val="00E67AC9"/>
    <w:rsid w:val="00E67B88"/>
    <w:rsid w:val="00E67E8F"/>
    <w:rsid w:val="00E70C7F"/>
    <w:rsid w:val="00E713FF"/>
    <w:rsid w:val="00E71647"/>
    <w:rsid w:val="00E716CE"/>
    <w:rsid w:val="00E718F4"/>
    <w:rsid w:val="00E71D24"/>
    <w:rsid w:val="00E71D8D"/>
    <w:rsid w:val="00E71FE8"/>
    <w:rsid w:val="00E7217F"/>
    <w:rsid w:val="00E728ED"/>
    <w:rsid w:val="00E72C0E"/>
    <w:rsid w:val="00E72D9A"/>
    <w:rsid w:val="00E72FCF"/>
    <w:rsid w:val="00E730AE"/>
    <w:rsid w:val="00E7319B"/>
    <w:rsid w:val="00E7378C"/>
    <w:rsid w:val="00E74191"/>
    <w:rsid w:val="00E742DF"/>
    <w:rsid w:val="00E743DC"/>
    <w:rsid w:val="00E74A52"/>
    <w:rsid w:val="00E75727"/>
    <w:rsid w:val="00E75A76"/>
    <w:rsid w:val="00E75AFF"/>
    <w:rsid w:val="00E7610E"/>
    <w:rsid w:val="00E763C3"/>
    <w:rsid w:val="00E76A91"/>
    <w:rsid w:val="00E77265"/>
    <w:rsid w:val="00E77589"/>
    <w:rsid w:val="00E77846"/>
    <w:rsid w:val="00E77D40"/>
    <w:rsid w:val="00E80119"/>
    <w:rsid w:val="00E8057E"/>
    <w:rsid w:val="00E8077A"/>
    <w:rsid w:val="00E80BD6"/>
    <w:rsid w:val="00E80C76"/>
    <w:rsid w:val="00E8139A"/>
    <w:rsid w:val="00E814F4"/>
    <w:rsid w:val="00E822CB"/>
    <w:rsid w:val="00E836BD"/>
    <w:rsid w:val="00E83CAC"/>
    <w:rsid w:val="00E8423E"/>
    <w:rsid w:val="00E845F5"/>
    <w:rsid w:val="00E84870"/>
    <w:rsid w:val="00E84CD1"/>
    <w:rsid w:val="00E85528"/>
    <w:rsid w:val="00E8582A"/>
    <w:rsid w:val="00E8588B"/>
    <w:rsid w:val="00E858B3"/>
    <w:rsid w:val="00E85CF4"/>
    <w:rsid w:val="00E86679"/>
    <w:rsid w:val="00E866D7"/>
    <w:rsid w:val="00E866E1"/>
    <w:rsid w:val="00E8757C"/>
    <w:rsid w:val="00E87742"/>
    <w:rsid w:val="00E87E38"/>
    <w:rsid w:val="00E90269"/>
    <w:rsid w:val="00E90EA3"/>
    <w:rsid w:val="00E911C1"/>
    <w:rsid w:val="00E91361"/>
    <w:rsid w:val="00E91870"/>
    <w:rsid w:val="00E91AF1"/>
    <w:rsid w:val="00E91AFC"/>
    <w:rsid w:val="00E925D9"/>
    <w:rsid w:val="00E92828"/>
    <w:rsid w:val="00E9293A"/>
    <w:rsid w:val="00E929D0"/>
    <w:rsid w:val="00E92C13"/>
    <w:rsid w:val="00E92D6E"/>
    <w:rsid w:val="00E938BD"/>
    <w:rsid w:val="00E93988"/>
    <w:rsid w:val="00E93AF1"/>
    <w:rsid w:val="00E93BBE"/>
    <w:rsid w:val="00E93CFC"/>
    <w:rsid w:val="00E9436E"/>
    <w:rsid w:val="00E94A48"/>
    <w:rsid w:val="00E94B5B"/>
    <w:rsid w:val="00E94F10"/>
    <w:rsid w:val="00E95555"/>
    <w:rsid w:val="00E95664"/>
    <w:rsid w:val="00E959E6"/>
    <w:rsid w:val="00E9621F"/>
    <w:rsid w:val="00E96F49"/>
    <w:rsid w:val="00E97C1A"/>
    <w:rsid w:val="00E97CB8"/>
    <w:rsid w:val="00E97E88"/>
    <w:rsid w:val="00EA0043"/>
    <w:rsid w:val="00EA0459"/>
    <w:rsid w:val="00EA0D62"/>
    <w:rsid w:val="00EA1142"/>
    <w:rsid w:val="00EA1569"/>
    <w:rsid w:val="00EA1931"/>
    <w:rsid w:val="00EA22BE"/>
    <w:rsid w:val="00EA2EB0"/>
    <w:rsid w:val="00EA3758"/>
    <w:rsid w:val="00EA3D1B"/>
    <w:rsid w:val="00EA407D"/>
    <w:rsid w:val="00EA409A"/>
    <w:rsid w:val="00EA4150"/>
    <w:rsid w:val="00EA41E1"/>
    <w:rsid w:val="00EA4A35"/>
    <w:rsid w:val="00EA4F84"/>
    <w:rsid w:val="00EA5075"/>
    <w:rsid w:val="00EA5205"/>
    <w:rsid w:val="00EA5A62"/>
    <w:rsid w:val="00EA5E39"/>
    <w:rsid w:val="00EA62C6"/>
    <w:rsid w:val="00EA6EB4"/>
    <w:rsid w:val="00EA71C0"/>
    <w:rsid w:val="00EA7218"/>
    <w:rsid w:val="00EA79AE"/>
    <w:rsid w:val="00EB027E"/>
    <w:rsid w:val="00EB0631"/>
    <w:rsid w:val="00EB1375"/>
    <w:rsid w:val="00EB17FA"/>
    <w:rsid w:val="00EB1FC0"/>
    <w:rsid w:val="00EB20FC"/>
    <w:rsid w:val="00EB2214"/>
    <w:rsid w:val="00EB24B2"/>
    <w:rsid w:val="00EB271E"/>
    <w:rsid w:val="00EB296C"/>
    <w:rsid w:val="00EB2986"/>
    <w:rsid w:val="00EB2A5C"/>
    <w:rsid w:val="00EB2E5A"/>
    <w:rsid w:val="00EB3103"/>
    <w:rsid w:val="00EB34F6"/>
    <w:rsid w:val="00EB36B4"/>
    <w:rsid w:val="00EB39FF"/>
    <w:rsid w:val="00EB4436"/>
    <w:rsid w:val="00EB4567"/>
    <w:rsid w:val="00EB49FE"/>
    <w:rsid w:val="00EB4B88"/>
    <w:rsid w:val="00EB59B2"/>
    <w:rsid w:val="00EB658F"/>
    <w:rsid w:val="00EB678D"/>
    <w:rsid w:val="00EB68BC"/>
    <w:rsid w:val="00EB6955"/>
    <w:rsid w:val="00EB7394"/>
    <w:rsid w:val="00EC0113"/>
    <w:rsid w:val="00EC02BC"/>
    <w:rsid w:val="00EC07EE"/>
    <w:rsid w:val="00EC0945"/>
    <w:rsid w:val="00EC0C6B"/>
    <w:rsid w:val="00EC0DB4"/>
    <w:rsid w:val="00EC0E66"/>
    <w:rsid w:val="00EC0F72"/>
    <w:rsid w:val="00EC10F0"/>
    <w:rsid w:val="00EC1810"/>
    <w:rsid w:val="00EC214A"/>
    <w:rsid w:val="00EC2995"/>
    <w:rsid w:val="00EC2AFA"/>
    <w:rsid w:val="00EC2B11"/>
    <w:rsid w:val="00EC2F6E"/>
    <w:rsid w:val="00EC3295"/>
    <w:rsid w:val="00EC36A0"/>
    <w:rsid w:val="00EC3A08"/>
    <w:rsid w:val="00EC3A81"/>
    <w:rsid w:val="00EC3B14"/>
    <w:rsid w:val="00EC3CC6"/>
    <w:rsid w:val="00EC3D65"/>
    <w:rsid w:val="00EC417F"/>
    <w:rsid w:val="00EC43CE"/>
    <w:rsid w:val="00EC450F"/>
    <w:rsid w:val="00EC47A0"/>
    <w:rsid w:val="00EC4A5A"/>
    <w:rsid w:val="00EC4D57"/>
    <w:rsid w:val="00EC50D2"/>
    <w:rsid w:val="00EC52DA"/>
    <w:rsid w:val="00EC54AF"/>
    <w:rsid w:val="00EC5EE8"/>
    <w:rsid w:val="00EC5F67"/>
    <w:rsid w:val="00EC5F8D"/>
    <w:rsid w:val="00EC6112"/>
    <w:rsid w:val="00EC6FA3"/>
    <w:rsid w:val="00EC7044"/>
    <w:rsid w:val="00EC7363"/>
    <w:rsid w:val="00EC7CCE"/>
    <w:rsid w:val="00EC7F39"/>
    <w:rsid w:val="00ED061E"/>
    <w:rsid w:val="00ED0E67"/>
    <w:rsid w:val="00ED1D6D"/>
    <w:rsid w:val="00ED210E"/>
    <w:rsid w:val="00ED2744"/>
    <w:rsid w:val="00ED2947"/>
    <w:rsid w:val="00ED2E1D"/>
    <w:rsid w:val="00ED2E35"/>
    <w:rsid w:val="00ED47C1"/>
    <w:rsid w:val="00ED4A0C"/>
    <w:rsid w:val="00ED4D28"/>
    <w:rsid w:val="00ED4DD4"/>
    <w:rsid w:val="00ED4FA4"/>
    <w:rsid w:val="00ED5127"/>
    <w:rsid w:val="00ED5907"/>
    <w:rsid w:val="00ED5F5B"/>
    <w:rsid w:val="00ED648F"/>
    <w:rsid w:val="00ED6951"/>
    <w:rsid w:val="00ED6FC4"/>
    <w:rsid w:val="00ED71C5"/>
    <w:rsid w:val="00ED79D4"/>
    <w:rsid w:val="00EE057A"/>
    <w:rsid w:val="00EE093B"/>
    <w:rsid w:val="00EE1265"/>
    <w:rsid w:val="00EE1281"/>
    <w:rsid w:val="00EE1714"/>
    <w:rsid w:val="00EE18CD"/>
    <w:rsid w:val="00EE1EA3"/>
    <w:rsid w:val="00EE1ED7"/>
    <w:rsid w:val="00EE2073"/>
    <w:rsid w:val="00EE2187"/>
    <w:rsid w:val="00EE31A4"/>
    <w:rsid w:val="00EE3641"/>
    <w:rsid w:val="00EE3B22"/>
    <w:rsid w:val="00EE3D9E"/>
    <w:rsid w:val="00EE3E84"/>
    <w:rsid w:val="00EE468F"/>
    <w:rsid w:val="00EE4B6D"/>
    <w:rsid w:val="00EE4BE0"/>
    <w:rsid w:val="00EE4CC2"/>
    <w:rsid w:val="00EE4F44"/>
    <w:rsid w:val="00EE53CC"/>
    <w:rsid w:val="00EE576D"/>
    <w:rsid w:val="00EE57C7"/>
    <w:rsid w:val="00EE5DAE"/>
    <w:rsid w:val="00EE6234"/>
    <w:rsid w:val="00EE6308"/>
    <w:rsid w:val="00EE65EC"/>
    <w:rsid w:val="00EE6A95"/>
    <w:rsid w:val="00EE6E45"/>
    <w:rsid w:val="00EE7287"/>
    <w:rsid w:val="00EE7F18"/>
    <w:rsid w:val="00EF0E8B"/>
    <w:rsid w:val="00EF14E8"/>
    <w:rsid w:val="00EF1594"/>
    <w:rsid w:val="00EF15A8"/>
    <w:rsid w:val="00EF187D"/>
    <w:rsid w:val="00EF1908"/>
    <w:rsid w:val="00EF1982"/>
    <w:rsid w:val="00EF1AB9"/>
    <w:rsid w:val="00EF20AB"/>
    <w:rsid w:val="00EF26DF"/>
    <w:rsid w:val="00EF3360"/>
    <w:rsid w:val="00EF3DCA"/>
    <w:rsid w:val="00EF4258"/>
    <w:rsid w:val="00EF4472"/>
    <w:rsid w:val="00EF4908"/>
    <w:rsid w:val="00EF490A"/>
    <w:rsid w:val="00EF4BDF"/>
    <w:rsid w:val="00EF4D14"/>
    <w:rsid w:val="00EF502D"/>
    <w:rsid w:val="00EF56C0"/>
    <w:rsid w:val="00EF5980"/>
    <w:rsid w:val="00EF5B46"/>
    <w:rsid w:val="00EF5F4F"/>
    <w:rsid w:val="00EF7B96"/>
    <w:rsid w:val="00F003CE"/>
    <w:rsid w:val="00F0048D"/>
    <w:rsid w:val="00F01452"/>
    <w:rsid w:val="00F014A0"/>
    <w:rsid w:val="00F01E9D"/>
    <w:rsid w:val="00F01FC4"/>
    <w:rsid w:val="00F020A5"/>
    <w:rsid w:val="00F0275B"/>
    <w:rsid w:val="00F02CE4"/>
    <w:rsid w:val="00F050A3"/>
    <w:rsid w:val="00F050A5"/>
    <w:rsid w:val="00F05E68"/>
    <w:rsid w:val="00F0619C"/>
    <w:rsid w:val="00F064A4"/>
    <w:rsid w:val="00F0781A"/>
    <w:rsid w:val="00F1058A"/>
    <w:rsid w:val="00F10DE3"/>
    <w:rsid w:val="00F110D2"/>
    <w:rsid w:val="00F11161"/>
    <w:rsid w:val="00F1130D"/>
    <w:rsid w:val="00F11373"/>
    <w:rsid w:val="00F113EC"/>
    <w:rsid w:val="00F1198D"/>
    <w:rsid w:val="00F11C13"/>
    <w:rsid w:val="00F1361B"/>
    <w:rsid w:val="00F13734"/>
    <w:rsid w:val="00F13821"/>
    <w:rsid w:val="00F138CA"/>
    <w:rsid w:val="00F13A1C"/>
    <w:rsid w:val="00F13A8D"/>
    <w:rsid w:val="00F14754"/>
    <w:rsid w:val="00F14D9D"/>
    <w:rsid w:val="00F151B6"/>
    <w:rsid w:val="00F151EC"/>
    <w:rsid w:val="00F15760"/>
    <w:rsid w:val="00F16464"/>
    <w:rsid w:val="00F167A0"/>
    <w:rsid w:val="00F168E6"/>
    <w:rsid w:val="00F16AE3"/>
    <w:rsid w:val="00F16FD3"/>
    <w:rsid w:val="00F1715C"/>
    <w:rsid w:val="00F1732A"/>
    <w:rsid w:val="00F17B32"/>
    <w:rsid w:val="00F202FE"/>
    <w:rsid w:val="00F20404"/>
    <w:rsid w:val="00F207D2"/>
    <w:rsid w:val="00F20CE1"/>
    <w:rsid w:val="00F2157C"/>
    <w:rsid w:val="00F21D41"/>
    <w:rsid w:val="00F221FC"/>
    <w:rsid w:val="00F22693"/>
    <w:rsid w:val="00F22B91"/>
    <w:rsid w:val="00F22E52"/>
    <w:rsid w:val="00F22F2D"/>
    <w:rsid w:val="00F2355E"/>
    <w:rsid w:val="00F23718"/>
    <w:rsid w:val="00F237B6"/>
    <w:rsid w:val="00F2486A"/>
    <w:rsid w:val="00F24A04"/>
    <w:rsid w:val="00F25352"/>
    <w:rsid w:val="00F25520"/>
    <w:rsid w:val="00F258DD"/>
    <w:rsid w:val="00F25F80"/>
    <w:rsid w:val="00F26268"/>
    <w:rsid w:val="00F26375"/>
    <w:rsid w:val="00F26E0F"/>
    <w:rsid w:val="00F26E98"/>
    <w:rsid w:val="00F2729A"/>
    <w:rsid w:val="00F27339"/>
    <w:rsid w:val="00F274D0"/>
    <w:rsid w:val="00F275D4"/>
    <w:rsid w:val="00F27807"/>
    <w:rsid w:val="00F27DD5"/>
    <w:rsid w:val="00F27E99"/>
    <w:rsid w:val="00F27EBB"/>
    <w:rsid w:val="00F3014A"/>
    <w:rsid w:val="00F304DE"/>
    <w:rsid w:val="00F304F1"/>
    <w:rsid w:val="00F3063F"/>
    <w:rsid w:val="00F30D84"/>
    <w:rsid w:val="00F30DE4"/>
    <w:rsid w:val="00F31171"/>
    <w:rsid w:val="00F31443"/>
    <w:rsid w:val="00F31B31"/>
    <w:rsid w:val="00F32052"/>
    <w:rsid w:val="00F329EB"/>
    <w:rsid w:val="00F32BDC"/>
    <w:rsid w:val="00F32BE6"/>
    <w:rsid w:val="00F33040"/>
    <w:rsid w:val="00F332FB"/>
    <w:rsid w:val="00F3330D"/>
    <w:rsid w:val="00F33632"/>
    <w:rsid w:val="00F338BF"/>
    <w:rsid w:val="00F338D1"/>
    <w:rsid w:val="00F34BC9"/>
    <w:rsid w:val="00F34C4E"/>
    <w:rsid w:val="00F34DA0"/>
    <w:rsid w:val="00F35113"/>
    <w:rsid w:val="00F3588B"/>
    <w:rsid w:val="00F36257"/>
    <w:rsid w:val="00F3689F"/>
    <w:rsid w:val="00F3698E"/>
    <w:rsid w:val="00F37717"/>
    <w:rsid w:val="00F3780E"/>
    <w:rsid w:val="00F378EB"/>
    <w:rsid w:val="00F405FE"/>
    <w:rsid w:val="00F40E9B"/>
    <w:rsid w:val="00F413C7"/>
    <w:rsid w:val="00F42049"/>
    <w:rsid w:val="00F4224F"/>
    <w:rsid w:val="00F42F83"/>
    <w:rsid w:val="00F432A3"/>
    <w:rsid w:val="00F4355D"/>
    <w:rsid w:val="00F437DD"/>
    <w:rsid w:val="00F43A54"/>
    <w:rsid w:val="00F43C28"/>
    <w:rsid w:val="00F43DB1"/>
    <w:rsid w:val="00F43F4C"/>
    <w:rsid w:val="00F44554"/>
    <w:rsid w:val="00F445F1"/>
    <w:rsid w:val="00F449E7"/>
    <w:rsid w:val="00F44FEB"/>
    <w:rsid w:val="00F4505D"/>
    <w:rsid w:val="00F452F8"/>
    <w:rsid w:val="00F453C9"/>
    <w:rsid w:val="00F454B7"/>
    <w:rsid w:val="00F455AE"/>
    <w:rsid w:val="00F4571E"/>
    <w:rsid w:val="00F463DB"/>
    <w:rsid w:val="00F469FB"/>
    <w:rsid w:val="00F46BE4"/>
    <w:rsid w:val="00F470EE"/>
    <w:rsid w:val="00F47BBC"/>
    <w:rsid w:val="00F47CDC"/>
    <w:rsid w:val="00F506D8"/>
    <w:rsid w:val="00F50E0C"/>
    <w:rsid w:val="00F50E37"/>
    <w:rsid w:val="00F50E98"/>
    <w:rsid w:val="00F51619"/>
    <w:rsid w:val="00F5173A"/>
    <w:rsid w:val="00F51890"/>
    <w:rsid w:val="00F51FD7"/>
    <w:rsid w:val="00F52645"/>
    <w:rsid w:val="00F526B3"/>
    <w:rsid w:val="00F527B5"/>
    <w:rsid w:val="00F52991"/>
    <w:rsid w:val="00F53039"/>
    <w:rsid w:val="00F53499"/>
    <w:rsid w:val="00F545C2"/>
    <w:rsid w:val="00F547D8"/>
    <w:rsid w:val="00F54B8D"/>
    <w:rsid w:val="00F54F2D"/>
    <w:rsid w:val="00F555D6"/>
    <w:rsid w:val="00F55A92"/>
    <w:rsid w:val="00F55E80"/>
    <w:rsid w:val="00F560C5"/>
    <w:rsid w:val="00F56519"/>
    <w:rsid w:val="00F56ACF"/>
    <w:rsid w:val="00F5708F"/>
    <w:rsid w:val="00F577D1"/>
    <w:rsid w:val="00F60170"/>
    <w:rsid w:val="00F60723"/>
    <w:rsid w:val="00F609A4"/>
    <w:rsid w:val="00F60A75"/>
    <w:rsid w:val="00F60FD3"/>
    <w:rsid w:val="00F61185"/>
    <w:rsid w:val="00F6159F"/>
    <w:rsid w:val="00F61E6D"/>
    <w:rsid w:val="00F62045"/>
    <w:rsid w:val="00F62357"/>
    <w:rsid w:val="00F62527"/>
    <w:rsid w:val="00F625B2"/>
    <w:rsid w:val="00F629CD"/>
    <w:rsid w:val="00F62A7E"/>
    <w:rsid w:val="00F62BBA"/>
    <w:rsid w:val="00F631AF"/>
    <w:rsid w:val="00F6328B"/>
    <w:rsid w:val="00F636AB"/>
    <w:rsid w:val="00F63722"/>
    <w:rsid w:val="00F64446"/>
    <w:rsid w:val="00F64D03"/>
    <w:rsid w:val="00F64FFD"/>
    <w:rsid w:val="00F65316"/>
    <w:rsid w:val="00F6539A"/>
    <w:rsid w:val="00F65760"/>
    <w:rsid w:val="00F65807"/>
    <w:rsid w:val="00F65B55"/>
    <w:rsid w:val="00F663F1"/>
    <w:rsid w:val="00F667E5"/>
    <w:rsid w:val="00F668C3"/>
    <w:rsid w:val="00F6784F"/>
    <w:rsid w:val="00F67CB0"/>
    <w:rsid w:val="00F700B9"/>
    <w:rsid w:val="00F700D6"/>
    <w:rsid w:val="00F70138"/>
    <w:rsid w:val="00F702FF"/>
    <w:rsid w:val="00F70D06"/>
    <w:rsid w:val="00F711EC"/>
    <w:rsid w:val="00F72340"/>
    <w:rsid w:val="00F724E7"/>
    <w:rsid w:val="00F72A39"/>
    <w:rsid w:val="00F72DCD"/>
    <w:rsid w:val="00F7384E"/>
    <w:rsid w:val="00F73E72"/>
    <w:rsid w:val="00F74847"/>
    <w:rsid w:val="00F7487D"/>
    <w:rsid w:val="00F748FC"/>
    <w:rsid w:val="00F74DE0"/>
    <w:rsid w:val="00F74ECD"/>
    <w:rsid w:val="00F74F54"/>
    <w:rsid w:val="00F75E61"/>
    <w:rsid w:val="00F7621D"/>
    <w:rsid w:val="00F7718F"/>
    <w:rsid w:val="00F774CB"/>
    <w:rsid w:val="00F777C7"/>
    <w:rsid w:val="00F77990"/>
    <w:rsid w:val="00F80DC3"/>
    <w:rsid w:val="00F8111C"/>
    <w:rsid w:val="00F81485"/>
    <w:rsid w:val="00F81875"/>
    <w:rsid w:val="00F81A8E"/>
    <w:rsid w:val="00F81EA4"/>
    <w:rsid w:val="00F823BB"/>
    <w:rsid w:val="00F82807"/>
    <w:rsid w:val="00F832EB"/>
    <w:rsid w:val="00F83AE6"/>
    <w:rsid w:val="00F83B5C"/>
    <w:rsid w:val="00F83DD5"/>
    <w:rsid w:val="00F83EB4"/>
    <w:rsid w:val="00F84085"/>
    <w:rsid w:val="00F84130"/>
    <w:rsid w:val="00F8518C"/>
    <w:rsid w:val="00F851F7"/>
    <w:rsid w:val="00F853BD"/>
    <w:rsid w:val="00F8549D"/>
    <w:rsid w:val="00F85565"/>
    <w:rsid w:val="00F85628"/>
    <w:rsid w:val="00F85A27"/>
    <w:rsid w:val="00F85AC8"/>
    <w:rsid w:val="00F85EED"/>
    <w:rsid w:val="00F86038"/>
    <w:rsid w:val="00F867D9"/>
    <w:rsid w:val="00F871BE"/>
    <w:rsid w:val="00F87286"/>
    <w:rsid w:val="00F87311"/>
    <w:rsid w:val="00F876F0"/>
    <w:rsid w:val="00F877FF"/>
    <w:rsid w:val="00F879EF"/>
    <w:rsid w:val="00F9033C"/>
    <w:rsid w:val="00F9154B"/>
    <w:rsid w:val="00F9170D"/>
    <w:rsid w:val="00F91A31"/>
    <w:rsid w:val="00F91CA1"/>
    <w:rsid w:val="00F91E79"/>
    <w:rsid w:val="00F92296"/>
    <w:rsid w:val="00F93070"/>
    <w:rsid w:val="00F936E0"/>
    <w:rsid w:val="00F94155"/>
    <w:rsid w:val="00F948B2"/>
    <w:rsid w:val="00F94B5E"/>
    <w:rsid w:val="00F94D11"/>
    <w:rsid w:val="00F95991"/>
    <w:rsid w:val="00F95C82"/>
    <w:rsid w:val="00F96878"/>
    <w:rsid w:val="00F96B69"/>
    <w:rsid w:val="00F96D20"/>
    <w:rsid w:val="00F96D58"/>
    <w:rsid w:val="00F96E28"/>
    <w:rsid w:val="00F9739C"/>
    <w:rsid w:val="00F9761B"/>
    <w:rsid w:val="00F9767F"/>
    <w:rsid w:val="00F97955"/>
    <w:rsid w:val="00F97AD2"/>
    <w:rsid w:val="00FA0123"/>
    <w:rsid w:val="00FA050E"/>
    <w:rsid w:val="00FA06ED"/>
    <w:rsid w:val="00FA0FE6"/>
    <w:rsid w:val="00FA100B"/>
    <w:rsid w:val="00FA217B"/>
    <w:rsid w:val="00FA223B"/>
    <w:rsid w:val="00FA2702"/>
    <w:rsid w:val="00FA2E88"/>
    <w:rsid w:val="00FA2ED3"/>
    <w:rsid w:val="00FA3315"/>
    <w:rsid w:val="00FA3752"/>
    <w:rsid w:val="00FA37AE"/>
    <w:rsid w:val="00FA44FD"/>
    <w:rsid w:val="00FA469D"/>
    <w:rsid w:val="00FA47B9"/>
    <w:rsid w:val="00FA4982"/>
    <w:rsid w:val="00FA4C7B"/>
    <w:rsid w:val="00FA4DF9"/>
    <w:rsid w:val="00FA4E4A"/>
    <w:rsid w:val="00FA503F"/>
    <w:rsid w:val="00FA5139"/>
    <w:rsid w:val="00FA5194"/>
    <w:rsid w:val="00FA746F"/>
    <w:rsid w:val="00FA7AD3"/>
    <w:rsid w:val="00FB041B"/>
    <w:rsid w:val="00FB054C"/>
    <w:rsid w:val="00FB0FBF"/>
    <w:rsid w:val="00FB0FEC"/>
    <w:rsid w:val="00FB1202"/>
    <w:rsid w:val="00FB1661"/>
    <w:rsid w:val="00FB17E9"/>
    <w:rsid w:val="00FB1979"/>
    <w:rsid w:val="00FB2473"/>
    <w:rsid w:val="00FB25E6"/>
    <w:rsid w:val="00FB2C87"/>
    <w:rsid w:val="00FB3895"/>
    <w:rsid w:val="00FB38B5"/>
    <w:rsid w:val="00FB3DAD"/>
    <w:rsid w:val="00FB403E"/>
    <w:rsid w:val="00FB4762"/>
    <w:rsid w:val="00FB4784"/>
    <w:rsid w:val="00FB4ADE"/>
    <w:rsid w:val="00FB4C41"/>
    <w:rsid w:val="00FB4DDF"/>
    <w:rsid w:val="00FB4FEF"/>
    <w:rsid w:val="00FB559A"/>
    <w:rsid w:val="00FB56A5"/>
    <w:rsid w:val="00FB5746"/>
    <w:rsid w:val="00FB57FA"/>
    <w:rsid w:val="00FB5A3F"/>
    <w:rsid w:val="00FB5FD0"/>
    <w:rsid w:val="00FB6505"/>
    <w:rsid w:val="00FB67FE"/>
    <w:rsid w:val="00FB6ACF"/>
    <w:rsid w:val="00FB6B67"/>
    <w:rsid w:val="00FB6C3E"/>
    <w:rsid w:val="00FB6D3F"/>
    <w:rsid w:val="00FB75AE"/>
    <w:rsid w:val="00FB7729"/>
    <w:rsid w:val="00FB7D6C"/>
    <w:rsid w:val="00FB7D73"/>
    <w:rsid w:val="00FC0020"/>
    <w:rsid w:val="00FC003F"/>
    <w:rsid w:val="00FC005F"/>
    <w:rsid w:val="00FC00B7"/>
    <w:rsid w:val="00FC021A"/>
    <w:rsid w:val="00FC0B43"/>
    <w:rsid w:val="00FC0DA8"/>
    <w:rsid w:val="00FC1488"/>
    <w:rsid w:val="00FC1852"/>
    <w:rsid w:val="00FC1BE9"/>
    <w:rsid w:val="00FC1EA1"/>
    <w:rsid w:val="00FC2367"/>
    <w:rsid w:val="00FC24EB"/>
    <w:rsid w:val="00FC25AF"/>
    <w:rsid w:val="00FC268E"/>
    <w:rsid w:val="00FC34A4"/>
    <w:rsid w:val="00FC35D1"/>
    <w:rsid w:val="00FC37C4"/>
    <w:rsid w:val="00FC37CF"/>
    <w:rsid w:val="00FC3B20"/>
    <w:rsid w:val="00FC43C3"/>
    <w:rsid w:val="00FC4D7A"/>
    <w:rsid w:val="00FC5529"/>
    <w:rsid w:val="00FC58F3"/>
    <w:rsid w:val="00FC5C9F"/>
    <w:rsid w:val="00FC5DA9"/>
    <w:rsid w:val="00FC5DEE"/>
    <w:rsid w:val="00FC61F9"/>
    <w:rsid w:val="00FC6663"/>
    <w:rsid w:val="00FC6854"/>
    <w:rsid w:val="00FC6DA3"/>
    <w:rsid w:val="00FC6DC0"/>
    <w:rsid w:val="00FC7059"/>
    <w:rsid w:val="00FC7118"/>
    <w:rsid w:val="00FC774D"/>
    <w:rsid w:val="00FC7A35"/>
    <w:rsid w:val="00FC7A37"/>
    <w:rsid w:val="00FC7C02"/>
    <w:rsid w:val="00FC7C32"/>
    <w:rsid w:val="00FD05A0"/>
    <w:rsid w:val="00FD06B6"/>
    <w:rsid w:val="00FD143E"/>
    <w:rsid w:val="00FD1529"/>
    <w:rsid w:val="00FD1561"/>
    <w:rsid w:val="00FD18CC"/>
    <w:rsid w:val="00FD22A2"/>
    <w:rsid w:val="00FD25C5"/>
    <w:rsid w:val="00FD2BC1"/>
    <w:rsid w:val="00FD3F64"/>
    <w:rsid w:val="00FD48C1"/>
    <w:rsid w:val="00FD5236"/>
    <w:rsid w:val="00FD526D"/>
    <w:rsid w:val="00FD5286"/>
    <w:rsid w:val="00FD5C48"/>
    <w:rsid w:val="00FD62D0"/>
    <w:rsid w:val="00FD6541"/>
    <w:rsid w:val="00FD6863"/>
    <w:rsid w:val="00FD6894"/>
    <w:rsid w:val="00FD6FE0"/>
    <w:rsid w:val="00FD7252"/>
    <w:rsid w:val="00FD79C7"/>
    <w:rsid w:val="00FD7A9D"/>
    <w:rsid w:val="00FD7D9A"/>
    <w:rsid w:val="00FD7EAB"/>
    <w:rsid w:val="00FE012B"/>
    <w:rsid w:val="00FE04FB"/>
    <w:rsid w:val="00FE059C"/>
    <w:rsid w:val="00FE05D1"/>
    <w:rsid w:val="00FE066C"/>
    <w:rsid w:val="00FE1001"/>
    <w:rsid w:val="00FE10E1"/>
    <w:rsid w:val="00FE11E8"/>
    <w:rsid w:val="00FE174F"/>
    <w:rsid w:val="00FE200C"/>
    <w:rsid w:val="00FE2131"/>
    <w:rsid w:val="00FE22C4"/>
    <w:rsid w:val="00FE249A"/>
    <w:rsid w:val="00FE2A10"/>
    <w:rsid w:val="00FE3126"/>
    <w:rsid w:val="00FE3305"/>
    <w:rsid w:val="00FE3653"/>
    <w:rsid w:val="00FE37A7"/>
    <w:rsid w:val="00FE38F1"/>
    <w:rsid w:val="00FE468B"/>
    <w:rsid w:val="00FE4C49"/>
    <w:rsid w:val="00FE4DDB"/>
    <w:rsid w:val="00FE5754"/>
    <w:rsid w:val="00FE5789"/>
    <w:rsid w:val="00FE581B"/>
    <w:rsid w:val="00FE5947"/>
    <w:rsid w:val="00FE5F7C"/>
    <w:rsid w:val="00FE657D"/>
    <w:rsid w:val="00FE65BF"/>
    <w:rsid w:val="00FE715C"/>
    <w:rsid w:val="00FE7358"/>
    <w:rsid w:val="00FE77DC"/>
    <w:rsid w:val="00FE7D12"/>
    <w:rsid w:val="00FF00B0"/>
    <w:rsid w:val="00FF0DED"/>
    <w:rsid w:val="00FF139F"/>
    <w:rsid w:val="00FF2938"/>
    <w:rsid w:val="00FF341B"/>
    <w:rsid w:val="00FF407B"/>
    <w:rsid w:val="00FF4995"/>
    <w:rsid w:val="00FF4A5C"/>
    <w:rsid w:val="00FF564E"/>
    <w:rsid w:val="00FF5BDB"/>
    <w:rsid w:val="00FF6239"/>
    <w:rsid w:val="00FF6380"/>
    <w:rsid w:val="00FF7294"/>
    <w:rsid w:val="00FF7316"/>
    <w:rsid w:val="00FF73EC"/>
    <w:rsid w:val="00FF74F2"/>
    <w:rsid w:val="00FF7EF4"/>
    <w:rsid w:val="01B132D5"/>
    <w:rsid w:val="01C017C3"/>
    <w:rsid w:val="047641C7"/>
    <w:rsid w:val="04E4B235"/>
    <w:rsid w:val="055CF359"/>
    <w:rsid w:val="061C63CA"/>
    <w:rsid w:val="0637C921"/>
    <w:rsid w:val="067B4E0F"/>
    <w:rsid w:val="06C2E804"/>
    <w:rsid w:val="06D0731F"/>
    <w:rsid w:val="072765D0"/>
    <w:rsid w:val="091361FE"/>
    <w:rsid w:val="09327743"/>
    <w:rsid w:val="0A00354F"/>
    <w:rsid w:val="0A0DFE82"/>
    <w:rsid w:val="0A3BF9B4"/>
    <w:rsid w:val="0B449328"/>
    <w:rsid w:val="0C0043AA"/>
    <w:rsid w:val="0C5EFC27"/>
    <w:rsid w:val="0CE7F928"/>
    <w:rsid w:val="0DF1581F"/>
    <w:rsid w:val="0E395BA0"/>
    <w:rsid w:val="0F0FCC19"/>
    <w:rsid w:val="0F395171"/>
    <w:rsid w:val="0F716F1E"/>
    <w:rsid w:val="0FC37F84"/>
    <w:rsid w:val="10367A64"/>
    <w:rsid w:val="1082D80A"/>
    <w:rsid w:val="13B29233"/>
    <w:rsid w:val="14F5F771"/>
    <w:rsid w:val="152BDA9F"/>
    <w:rsid w:val="15997B33"/>
    <w:rsid w:val="15E9E1A0"/>
    <w:rsid w:val="1621670E"/>
    <w:rsid w:val="16AE2A5D"/>
    <w:rsid w:val="170AB508"/>
    <w:rsid w:val="1907F30D"/>
    <w:rsid w:val="1941FC83"/>
    <w:rsid w:val="1959B831"/>
    <w:rsid w:val="197EDD1A"/>
    <w:rsid w:val="1A229D34"/>
    <w:rsid w:val="1A5EFCA2"/>
    <w:rsid w:val="1AE5E362"/>
    <w:rsid w:val="1BC17A1C"/>
    <w:rsid w:val="1C48AEED"/>
    <w:rsid w:val="1D0312F8"/>
    <w:rsid w:val="1E128BA0"/>
    <w:rsid w:val="1EB4DA73"/>
    <w:rsid w:val="1FC809B2"/>
    <w:rsid w:val="2069CEF9"/>
    <w:rsid w:val="20E37CE0"/>
    <w:rsid w:val="21473F1A"/>
    <w:rsid w:val="21F25678"/>
    <w:rsid w:val="226627FA"/>
    <w:rsid w:val="236EEEC0"/>
    <w:rsid w:val="247A2807"/>
    <w:rsid w:val="249423F4"/>
    <w:rsid w:val="24BDFB9D"/>
    <w:rsid w:val="24C6333C"/>
    <w:rsid w:val="24E0E132"/>
    <w:rsid w:val="24F7CB8C"/>
    <w:rsid w:val="255A386B"/>
    <w:rsid w:val="25C6850F"/>
    <w:rsid w:val="26914DCE"/>
    <w:rsid w:val="26A04EA3"/>
    <w:rsid w:val="280ED70A"/>
    <w:rsid w:val="28806B47"/>
    <w:rsid w:val="28C50D97"/>
    <w:rsid w:val="290BF9D2"/>
    <w:rsid w:val="2A22E86B"/>
    <w:rsid w:val="2A5B6550"/>
    <w:rsid w:val="2ACC3F34"/>
    <w:rsid w:val="2B4337AE"/>
    <w:rsid w:val="2CB1612A"/>
    <w:rsid w:val="2FAB0A25"/>
    <w:rsid w:val="331D9DAB"/>
    <w:rsid w:val="3334B60E"/>
    <w:rsid w:val="334F2584"/>
    <w:rsid w:val="33A8A7C5"/>
    <w:rsid w:val="3636BD23"/>
    <w:rsid w:val="370C25DF"/>
    <w:rsid w:val="37139755"/>
    <w:rsid w:val="3750A3FF"/>
    <w:rsid w:val="3779A2F8"/>
    <w:rsid w:val="37F505B6"/>
    <w:rsid w:val="386069A0"/>
    <w:rsid w:val="386C5518"/>
    <w:rsid w:val="3879EF77"/>
    <w:rsid w:val="38C286EE"/>
    <w:rsid w:val="390F7966"/>
    <w:rsid w:val="3978F754"/>
    <w:rsid w:val="3A1A7AE0"/>
    <w:rsid w:val="3A2FA518"/>
    <w:rsid w:val="3A5D23B5"/>
    <w:rsid w:val="3ABF7584"/>
    <w:rsid w:val="3B20BA1E"/>
    <w:rsid w:val="3B768EEF"/>
    <w:rsid w:val="3B7FDFB5"/>
    <w:rsid w:val="3BBF7062"/>
    <w:rsid w:val="3BCAD9AA"/>
    <w:rsid w:val="3BEF0347"/>
    <w:rsid w:val="3C56C904"/>
    <w:rsid w:val="3D13A39F"/>
    <w:rsid w:val="3D1BDCC4"/>
    <w:rsid w:val="3D52E657"/>
    <w:rsid w:val="3E505137"/>
    <w:rsid w:val="3EAC94C9"/>
    <w:rsid w:val="3EF13F78"/>
    <w:rsid w:val="3F13617F"/>
    <w:rsid w:val="3F890E5B"/>
    <w:rsid w:val="3FA18944"/>
    <w:rsid w:val="3FCC8D72"/>
    <w:rsid w:val="400C54BC"/>
    <w:rsid w:val="4016C932"/>
    <w:rsid w:val="40352998"/>
    <w:rsid w:val="40DC9228"/>
    <w:rsid w:val="4117096A"/>
    <w:rsid w:val="4161BD95"/>
    <w:rsid w:val="41A42C97"/>
    <w:rsid w:val="41A5B375"/>
    <w:rsid w:val="41D0FB1E"/>
    <w:rsid w:val="42AD4F28"/>
    <w:rsid w:val="4304A422"/>
    <w:rsid w:val="439DB9CC"/>
    <w:rsid w:val="44185D84"/>
    <w:rsid w:val="444213EA"/>
    <w:rsid w:val="45E68071"/>
    <w:rsid w:val="45EF240C"/>
    <w:rsid w:val="462011A3"/>
    <w:rsid w:val="46284AAC"/>
    <w:rsid w:val="464AF291"/>
    <w:rsid w:val="4750DB80"/>
    <w:rsid w:val="47D5BFFA"/>
    <w:rsid w:val="4A3D60EE"/>
    <w:rsid w:val="4B43615C"/>
    <w:rsid w:val="4C232F88"/>
    <w:rsid w:val="4C86E825"/>
    <w:rsid w:val="4CB752B8"/>
    <w:rsid w:val="4DEC5482"/>
    <w:rsid w:val="4EB196BD"/>
    <w:rsid w:val="502916E4"/>
    <w:rsid w:val="50572899"/>
    <w:rsid w:val="50C2665F"/>
    <w:rsid w:val="51426EC3"/>
    <w:rsid w:val="52FE6492"/>
    <w:rsid w:val="5377D5F2"/>
    <w:rsid w:val="555AD340"/>
    <w:rsid w:val="555BA358"/>
    <w:rsid w:val="55CD91F3"/>
    <w:rsid w:val="56202E8E"/>
    <w:rsid w:val="56FAC416"/>
    <w:rsid w:val="57AAA3DB"/>
    <w:rsid w:val="57E4D160"/>
    <w:rsid w:val="5809F52D"/>
    <w:rsid w:val="590030A8"/>
    <w:rsid w:val="5902D13A"/>
    <w:rsid w:val="5A0A3FE9"/>
    <w:rsid w:val="5AA6D2AF"/>
    <w:rsid w:val="5AC68A93"/>
    <w:rsid w:val="5B132943"/>
    <w:rsid w:val="5B6A5041"/>
    <w:rsid w:val="5BC7C1AA"/>
    <w:rsid w:val="5C4DDF81"/>
    <w:rsid w:val="5D7B06FD"/>
    <w:rsid w:val="5E4ED8C6"/>
    <w:rsid w:val="5E624932"/>
    <w:rsid w:val="5EA3017E"/>
    <w:rsid w:val="5EC692EF"/>
    <w:rsid w:val="60B9A69E"/>
    <w:rsid w:val="6138C9AC"/>
    <w:rsid w:val="61A8BDDF"/>
    <w:rsid w:val="61AEAC06"/>
    <w:rsid w:val="61FCCA18"/>
    <w:rsid w:val="63C98DA1"/>
    <w:rsid w:val="6437F902"/>
    <w:rsid w:val="64A42A19"/>
    <w:rsid w:val="663E1DFE"/>
    <w:rsid w:val="66B49AF9"/>
    <w:rsid w:val="671D0CA5"/>
    <w:rsid w:val="6819A63F"/>
    <w:rsid w:val="6827CD43"/>
    <w:rsid w:val="68C1EA1A"/>
    <w:rsid w:val="69A84DA0"/>
    <w:rsid w:val="69F7858C"/>
    <w:rsid w:val="6A1D1703"/>
    <w:rsid w:val="6A64C9A6"/>
    <w:rsid w:val="6ACBBA76"/>
    <w:rsid w:val="6B09A493"/>
    <w:rsid w:val="6D254F23"/>
    <w:rsid w:val="6D575F39"/>
    <w:rsid w:val="6DB2F0B7"/>
    <w:rsid w:val="6DD57370"/>
    <w:rsid w:val="6EBEABD5"/>
    <w:rsid w:val="6F1A0BE1"/>
    <w:rsid w:val="70C4DE31"/>
    <w:rsid w:val="70C6FF88"/>
    <w:rsid w:val="723090E4"/>
    <w:rsid w:val="7244C5A8"/>
    <w:rsid w:val="72F1CDB1"/>
    <w:rsid w:val="73B11B91"/>
    <w:rsid w:val="74B9B0B8"/>
    <w:rsid w:val="74D839D4"/>
    <w:rsid w:val="74E5773E"/>
    <w:rsid w:val="7570DD87"/>
    <w:rsid w:val="75A8AEA4"/>
    <w:rsid w:val="75B104FE"/>
    <w:rsid w:val="76AAD416"/>
    <w:rsid w:val="76D671C7"/>
    <w:rsid w:val="7773D92F"/>
    <w:rsid w:val="77B4FC8D"/>
    <w:rsid w:val="78C89057"/>
    <w:rsid w:val="78D88DA6"/>
    <w:rsid w:val="78F93495"/>
    <w:rsid w:val="7A0EF096"/>
    <w:rsid w:val="7A67128C"/>
    <w:rsid w:val="7A7A8417"/>
    <w:rsid w:val="7AB26B3D"/>
    <w:rsid w:val="7B59D3C7"/>
    <w:rsid w:val="7C1B3CF1"/>
    <w:rsid w:val="7C4F00EB"/>
    <w:rsid w:val="7C6918A4"/>
    <w:rsid w:val="7D861E50"/>
    <w:rsid w:val="7D904AFC"/>
    <w:rsid w:val="7E8A9D21"/>
    <w:rsid w:val="7EA9969F"/>
    <w:rsid w:val="7EEA4785"/>
    <w:rsid w:val="7F002881"/>
    <w:rsid w:val="7FBA9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F70F"/>
  <w15:chartTrackingRefBased/>
  <w15:docId w15:val="{DD22CE12-EE9B-4D47-86B7-45758634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A5"/>
    <w:rPr>
      <w:rFonts w:ascii="Arial" w:hAnsi="Arial"/>
    </w:rPr>
  </w:style>
  <w:style w:type="paragraph" w:styleId="Heading1">
    <w:name w:val="heading 1"/>
    <w:basedOn w:val="Normal"/>
    <w:next w:val="Normal"/>
    <w:link w:val="Heading1Char"/>
    <w:uiPriority w:val="9"/>
    <w:qFormat/>
    <w:rsid w:val="0025106C"/>
    <w:pPr>
      <w:keepNext/>
      <w:keepLines/>
      <w:numPr>
        <w:numId w:val="14"/>
      </w:numPr>
      <w:spacing w:before="36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3F65DC"/>
    <w:pPr>
      <w:keepNext/>
      <w:keepLines/>
      <w:numPr>
        <w:ilvl w:val="1"/>
        <w:numId w:val="14"/>
      </w:numPr>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247AA3"/>
    <w:pPr>
      <w:keepNext/>
      <w:keepLines/>
      <w:numPr>
        <w:ilvl w:val="2"/>
        <w:numId w:val="1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AA3"/>
    <w:pPr>
      <w:keepNext/>
      <w:keepLines/>
      <w:numPr>
        <w:ilvl w:val="3"/>
        <w:numId w:val="1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AA3"/>
    <w:pPr>
      <w:keepNext/>
      <w:keepLines/>
      <w:numPr>
        <w:ilvl w:val="4"/>
        <w:numId w:val="1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AA3"/>
    <w:pPr>
      <w:keepNext/>
      <w:keepLines/>
      <w:numPr>
        <w:ilvl w:val="5"/>
        <w:numId w:val="1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AA3"/>
    <w:pPr>
      <w:keepNext/>
      <w:keepLines/>
      <w:numPr>
        <w:ilvl w:val="6"/>
        <w:numId w:val="1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AA3"/>
    <w:pPr>
      <w:keepNext/>
      <w:keepLines/>
      <w:numPr>
        <w:ilvl w:val="7"/>
        <w:numId w:val="1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AA3"/>
    <w:pPr>
      <w:keepNext/>
      <w:keepLines/>
      <w:numPr>
        <w:ilvl w:val="8"/>
        <w:numId w:val="1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6C"/>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3F65DC"/>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247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AA3"/>
    <w:rPr>
      <w:rFonts w:eastAsiaTheme="majorEastAsia" w:cstheme="majorBidi"/>
      <w:color w:val="272727" w:themeColor="text1" w:themeTint="D8"/>
    </w:rPr>
  </w:style>
  <w:style w:type="paragraph" w:styleId="Title">
    <w:name w:val="Title"/>
    <w:basedOn w:val="Normal"/>
    <w:next w:val="Normal"/>
    <w:link w:val="TitleChar"/>
    <w:uiPriority w:val="10"/>
    <w:qFormat/>
    <w:rsid w:val="00C2528A"/>
    <w:pPr>
      <w:spacing w:before="2600" w:after="480" w:line="240" w:lineRule="auto"/>
      <w:contextualSpacing/>
    </w:pPr>
    <w:rPr>
      <w:rFonts w:eastAsiaTheme="majorEastAsia" w:cstheme="majorBidi"/>
      <w:b/>
      <w:color w:val="0070C0"/>
      <w:spacing w:val="-10"/>
      <w:kern w:val="28"/>
      <w:sz w:val="40"/>
      <w:szCs w:val="56"/>
    </w:rPr>
  </w:style>
  <w:style w:type="character" w:customStyle="1" w:styleId="TitleChar">
    <w:name w:val="Title Char"/>
    <w:basedOn w:val="DefaultParagraphFont"/>
    <w:link w:val="Title"/>
    <w:uiPriority w:val="10"/>
    <w:rsid w:val="00C2528A"/>
    <w:rPr>
      <w:rFonts w:ascii="Arial" w:eastAsiaTheme="majorEastAsia" w:hAnsi="Arial" w:cstheme="majorBidi"/>
      <w:b/>
      <w:color w:val="0070C0"/>
      <w:spacing w:val="-10"/>
      <w:kern w:val="28"/>
      <w:sz w:val="40"/>
      <w:szCs w:val="56"/>
    </w:rPr>
  </w:style>
  <w:style w:type="paragraph" w:styleId="Subtitle">
    <w:name w:val="Subtitle"/>
    <w:basedOn w:val="Normal"/>
    <w:next w:val="Normal"/>
    <w:link w:val="SubtitleChar"/>
    <w:uiPriority w:val="11"/>
    <w:qFormat/>
    <w:rsid w:val="00812B38"/>
    <w:pPr>
      <w:numPr>
        <w:ilvl w:val="1"/>
      </w:numPr>
    </w:pPr>
    <w:rPr>
      <w:rFonts w:eastAsiaTheme="majorEastAsia" w:cstheme="majorBidi"/>
      <w:b/>
      <w:color w:val="0070C0"/>
      <w:sz w:val="32"/>
      <w:szCs w:val="28"/>
    </w:rPr>
  </w:style>
  <w:style w:type="character" w:customStyle="1" w:styleId="SubtitleChar">
    <w:name w:val="Subtitle Char"/>
    <w:basedOn w:val="DefaultParagraphFont"/>
    <w:link w:val="Subtitle"/>
    <w:uiPriority w:val="11"/>
    <w:rsid w:val="00812B38"/>
    <w:rPr>
      <w:rFonts w:ascii="Arial" w:eastAsiaTheme="majorEastAsia" w:hAnsi="Arial" w:cstheme="majorBidi"/>
      <w:b/>
      <w:color w:val="0070C0"/>
      <w:sz w:val="32"/>
      <w:szCs w:val="28"/>
    </w:rPr>
  </w:style>
  <w:style w:type="paragraph" w:styleId="Quote">
    <w:name w:val="Quote"/>
    <w:basedOn w:val="Normal"/>
    <w:next w:val="Normal"/>
    <w:link w:val="QuoteChar"/>
    <w:uiPriority w:val="29"/>
    <w:qFormat/>
    <w:rsid w:val="00247AA3"/>
    <w:pPr>
      <w:spacing w:before="160"/>
      <w:jc w:val="center"/>
    </w:pPr>
    <w:rPr>
      <w:i/>
      <w:iCs/>
      <w:color w:val="404040" w:themeColor="text1" w:themeTint="BF"/>
    </w:rPr>
  </w:style>
  <w:style w:type="character" w:customStyle="1" w:styleId="QuoteChar">
    <w:name w:val="Quote Char"/>
    <w:basedOn w:val="DefaultParagraphFont"/>
    <w:link w:val="Quote"/>
    <w:uiPriority w:val="29"/>
    <w:rsid w:val="00247AA3"/>
    <w:rPr>
      <w:i/>
      <w:iCs/>
      <w:color w:val="404040" w:themeColor="text1" w:themeTint="BF"/>
    </w:rPr>
  </w:style>
  <w:style w:type="paragraph" w:styleId="ListParagraph">
    <w:name w:val="List Paragraph"/>
    <w:basedOn w:val="Normal"/>
    <w:uiPriority w:val="34"/>
    <w:qFormat/>
    <w:rsid w:val="0030437B"/>
    <w:pPr>
      <w:numPr>
        <w:numId w:val="4"/>
      </w:numPr>
    </w:pPr>
  </w:style>
  <w:style w:type="character" w:styleId="IntenseEmphasis">
    <w:name w:val="Intense Emphasis"/>
    <w:basedOn w:val="DefaultParagraphFont"/>
    <w:uiPriority w:val="21"/>
    <w:qFormat/>
    <w:rsid w:val="00247AA3"/>
    <w:rPr>
      <w:i/>
      <w:iCs/>
      <w:color w:val="0F4761" w:themeColor="accent1" w:themeShade="BF"/>
    </w:rPr>
  </w:style>
  <w:style w:type="paragraph" w:styleId="IntenseQuote">
    <w:name w:val="Intense Quote"/>
    <w:basedOn w:val="Normal"/>
    <w:next w:val="Normal"/>
    <w:link w:val="IntenseQuoteChar"/>
    <w:uiPriority w:val="30"/>
    <w:qFormat/>
    <w:rsid w:val="0024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AA3"/>
    <w:rPr>
      <w:i/>
      <w:iCs/>
      <w:color w:val="0F4761" w:themeColor="accent1" w:themeShade="BF"/>
    </w:rPr>
  </w:style>
  <w:style w:type="character" w:styleId="IntenseReference">
    <w:name w:val="Intense Reference"/>
    <w:basedOn w:val="DefaultParagraphFont"/>
    <w:uiPriority w:val="32"/>
    <w:qFormat/>
    <w:rsid w:val="00247AA3"/>
    <w:rPr>
      <w:b/>
      <w:bCs/>
      <w:smallCaps/>
      <w:color w:val="0F4761" w:themeColor="accent1" w:themeShade="BF"/>
      <w:spacing w:val="5"/>
    </w:rPr>
  </w:style>
  <w:style w:type="paragraph" w:styleId="TOCHeading">
    <w:name w:val="TOC Heading"/>
    <w:basedOn w:val="Heading1"/>
    <w:next w:val="Normal"/>
    <w:uiPriority w:val="39"/>
    <w:unhideWhenUsed/>
    <w:qFormat/>
    <w:rsid w:val="00B42AE6"/>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971C84"/>
    <w:pPr>
      <w:spacing w:after="100"/>
    </w:pPr>
  </w:style>
  <w:style w:type="character" w:styleId="Hyperlink">
    <w:name w:val="Hyperlink"/>
    <w:basedOn w:val="DefaultParagraphFont"/>
    <w:uiPriority w:val="99"/>
    <w:unhideWhenUsed/>
    <w:rsid w:val="00971C84"/>
    <w:rPr>
      <w:color w:val="467886" w:themeColor="hyperlink"/>
      <w:u w:val="single"/>
    </w:rPr>
  </w:style>
  <w:style w:type="paragraph" w:styleId="FootnoteText">
    <w:name w:val="footnote text"/>
    <w:basedOn w:val="Normal"/>
    <w:link w:val="FootnoteTextChar"/>
    <w:uiPriority w:val="99"/>
    <w:semiHidden/>
    <w:unhideWhenUsed/>
    <w:rsid w:val="008F2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F8C"/>
    <w:rPr>
      <w:rFonts w:ascii="Arial" w:hAnsi="Arial"/>
      <w:sz w:val="20"/>
      <w:szCs w:val="20"/>
    </w:rPr>
  </w:style>
  <w:style w:type="character" w:styleId="FootnoteReference">
    <w:name w:val="footnote reference"/>
    <w:basedOn w:val="DefaultParagraphFont"/>
    <w:uiPriority w:val="99"/>
    <w:semiHidden/>
    <w:unhideWhenUsed/>
    <w:rsid w:val="008F2F8C"/>
    <w:rPr>
      <w:vertAlign w:val="superscript"/>
    </w:rPr>
  </w:style>
  <w:style w:type="character" w:styleId="CommentReference">
    <w:name w:val="annotation reference"/>
    <w:basedOn w:val="DefaultParagraphFont"/>
    <w:uiPriority w:val="99"/>
    <w:semiHidden/>
    <w:unhideWhenUsed/>
    <w:rsid w:val="00334148"/>
    <w:rPr>
      <w:sz w:val="16"/>
      <w:szCs w:val="16"/>
    </w:rPr>
  </w:style>
  <w:style w:type="paragraph" w:styleId="CommentText">
    <w:name w:val="annotation text"/>
    <w:basedOn w:val="Normal"/>
    <w:link w:val="CommentTextChar"/>
    <w:uiPriority w:val="99"/>
    <w:unhideWhenUsed/>
    <w:rsid w:val="00334148"/>
    <w:pPr>
      <w:spacing w:line="240" w:lineRule="auto"/>
    </w:pPr>
    <w:rPr>
      <w:sz w:val="20"/>
      <w:szCs w:val="20"/>
    </w:rPr>
  </w:style>
  <w:style w:type="character" w:customStyle="1" w:styleId="CommentTextChar">
    <w:name w:val="Comment Text Char"/>
    <w:basedOn w:val="DefaultParagraphFont"/>
    <w:link w:val="CommentText"/>
    <w:uiPriority w:val="99"/>
    <w:rsid w:val="003341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4148"/>
    <w:rPr>
      <w:b/>
      <w:bCs/>
    </w:rPr>
  </w:style>
  <w:style w:type="character" w:customStyle="1" w:styleId="CommentSubjectChar">
    <w:name w:val="Comment Subject Char"/>
    <w:basedOn w:val="CommentTextChar"/>
    <w:link w:val="CommentSubject"/>
    <w:uiPriority w:val="99"/>
    <w:semiHidden/>
    <w:rsid w:val="00334148"/>
    <w:rPr>
      <w:rFonts w:ascii="Arial" w:hAnsi="Arial"/>
      <w:b/>
      <w:bCs/>
      <w:sz w:val="20"/>
      <w:szCs w:val="20"/>
    </w:rPr>
  </w:style>
  <w:style w:type="paragraph" w:styleId="Header">
    <w:name w:val="header"/>
    <w:basedOn w:val="Normal"/>
    <w:link w:val="HeaderChar"/>
    <w:uiPriority w:val="99"/>
    <w:unhideWhenUsed/>
    <w:rsid w:val="00506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D54"/>
    <w:rPr>
      <w:rFonts w:ascii="Arial" w:hAnsi="Arial"/>
    </w:rPr>
  </w:style>
  <w:style w:type="paragraph" w:styleId="Footer">
    <w:name w:val="footer"/>
    <w:basedOn w:val="Normal"/>
    <w:link w:val="FooterChar"/>
    <w:uiPriority w:val="99"/>
    <w:unhideWhenUsed/>
    <w:rsid w:val="00506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D54"/>
    <w:rPr>
      <w:rFonts w:ascii="Arial" w:hAnsi="Arial"/>
    </w:rPr>
  </w:style>
  <w:style w:type="paragraph" w:styleId="TOC2">
    <w:name w:val="toc 2"/>
    <w:basedOn w:val="Normal"/>
    <w:next w:val="Normal"/>
    <w:autoRedefine/>
    <w:uiPriority w:val="39"/>
    <w:unhideWhenUsed/>
    <w:rsid w:val="00B7646F"/>
    <w:pPr>
      <w:spacing w:after="100"/>
      <w:ind w:left="220"/>
    </w:pPr>
  </w:style>
  <w:style w:type="character" w:styleId="UnresolvedMention">
    <w:name w:val="Unresolved Mention"/>
    <w:basedOn w:val="DefaultParagraphFont"/>
    <w:uiPriority w:val="99"/>
    <w:semiHidden/>
    <w:unhideWhenUsed/>
    <w:rsid w:val="00D172E9"/>
    <w:rPr>
      <w:color w:val="605E5C"/>
      <w:shd w:val="clear" w:color="auto" w:fill="E1DFDD"/>
    </w:rPr>
  </w:style>
  <w:style w:type="table" w:styleId="TableGrid">
    <w:name w:val="Table Grid"/>
    <w:basedOn w:val="TableNormal"/>
    <w:uiPriority w:val="39"/>
    <w:rsid w:val="00DE6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59AA"/>
    <w:rPr>
      <w:color w:val="96607D" w:themeColor="followedHyperlink"/>
      <w:u w:val="single"/>
    </w:rPr>
  </w:style>
  <w:style w:type="paragraph" w:styleId="Revision">
    <w:name w:val="Revision"/>
    <w:hidden/>
    <w:uiPriority w:val="99"/>
    <w:semiHidden/>
    <w:rsid w:val="0088008E"/>
    <w:pPr>
      <w:spacing w:after="0" w:line="240" w:lineRule="auto"/>
    </w:pPr>
    <w:rPr>
      <w:rFonts w:ascii="Arial" w:hAnsi="Arial"/>
    </w:rPr>
  </w:style>
  <w:style w:type="character" w:styleId="Mention">
    <w:name w:val="Mention"/>
    <w:basedOn w:val="DefaultParagraphFont"/>
    <w:uiPriority w:val="99"/>
    <w:unhideWhenUsed/>
    <w:rsid w:val="004E57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find-tender.service.gov.uk/Notice/032120-2021?origin=SearchResults&amp;p=1"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uhleicester.nhs.uk/" TargetMode="External"/><Relationship Id="rId1" Type="http://schemas.openxmlformats.org/officeDocument/2006/relationships/hyperlink" Target="https://www.yourworld.com/uk/about-us"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18weeksup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a05b2dce787b60fe7ff962efb2cfffe1">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6186108655342bb1f944b7e0aa211fe1"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Duplicate version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N xmlns="96410c0b-a514-402d-9462-ba76dadfba38" xsi:nil="true"/>
    <Category xmlns="96410c0b-a514-402d-9462-ba76dadfba38"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30C106A-8FDF-4189-864E-CD98D0A0E7E6}">
  <ds:schemaRefs>
    <ds:schemaRef ds:uri="http://schemas.microsoft.com/sharepoint/v3/contenttype/forms"/>
  </ds:schemaRefs>
</ds:datastoreItem>
</file>

<file path=customXml/itemProps2.xml><?xml version="1.0" encoding="utf-8"?>
<ds:datastoreItem xmlns:ds="http://schemas.openxmlformats.org/officeDocument/2006/customXml" ds:itemID="{EDBB3801-E748-4D50-89FE-3E661F6C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BB0BA-2C4D-4BAB-A3C4-A9F9FA9A03C3}">
  <ds:schemaRefs>
    <ds:schemaRef ds:uri="http://schemas.openxmlformats.org/officeDocument/2006/bibliography"/>
  </ds:schemaRefs>
</ds:datastoreItem>
</file>

<file path=customXml/itemProps4.xml><?xml version="1.0" encoding="utf-8"?>
<ds:datastoreItem xmlns:ds="http://schemas.openxmlformats.org/officeDocument/2006/customXml" ds:itemID="{1B77D4D9-D4EE-4A2A-9370-55F6AE00D4B1}">
  <ds:schemaRefs>
    <ds:schemaRef ds:uri="http://www.w3.org/XML/1998/namespace"/>
    <ds:schemaRef ds:uri="http://schemas.microsoft.com/sharepoint/v3"/>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47bd0a4b-cdef-49e3-b4c2-dc603af9f461"/>
    <ds:schemaRef ds:uri="96410c0b-a514-402d-9462-ba76dadfba38"/>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246</TotalTime>
  <Pages>26</Pages>
  <Words>9949</Words>
  <Characters>56710</Characters>
  <Application>Microsoft Office Word</Application>
  <DocSecurity>8</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Bianca (NHS SOUTH, CENTRAL AND WEST COMMISSIONING SUPPORT UNIT)</dc:creator>
  <cp:keywords/>
  <dc:description/>
  <cp:lastModifiedBy>DAVIES, Amy (NHS SOUTH, CENTRAL AND WEST COMMISSIONING SUPPORT UNIT)</cp:lastModifiedBy>
  <cp:revision>213</cp:revision>
  <cp:lastPrinted>2026-01-21T10:35:00Z</cp:lastPrinted>
  <dcterms:created xsi:type="dcterms:W3CDTF">2026-01-19T14:53:00Z</dcterms:created>
  <dcterms:modified xsi:type="dcterms:W3CDTF">2026-01-21T10:47:00Z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Approval Level">
    <vt:lpwstr>Approved</vt:lpwstr>
  </property>
  <property fmtid="{D5CDD505-2E9C-101B-9397-08002B2CF9AE}" pid="7" name="Doctype">
    <vt:lpwstr>Case document</vt:lpwstr>
  </property>
</Properties>
</file>