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47BE" w14:textId="77777777" w:rsidR="00492B51" w:rsidRPr="00395593" w:rsidRDefault="00492B51" w:rsidP="00203C99">
      <w:pPr>
        <w:spacing w:before="2600" w:after="480" w:line="259" w:lineRule="auto"/>
        <w:rPr>
          <w:rFonts w:cs="Arial"/>
          <w:b/>
          <w:bCs/>
          <w:color w:val="0070C0"/>
          <w:sz w:val="40"/>
          <w:szCs w:val="40"/>
        </w:rPr>
      </w:pPr>
      <w:r w:rsidRPr="00395593">
        <w:rPr>
          <w:rFonts w:cs="Arial"/>
          <w:b/>
          <w:bCs/>
          <w:color w:val="0070C0"/>
          <w:sz w:val="40"/>
          <w:szCs w:val="40"/>
        </w:rPr>
        <w:t>Independent Patient Choice and Procurement Panel</w:t>
      </w:r>
    </w:p>
    <w:p w14:paraId="52F835C4" w14:textId="78DCC2AA" w:rsidR="00492B51" w:rsidRPr="00131D9D" w:rsidRDefault="00492B51" w:rsidP="00DB208C">
      <w:pPr>
        <w:rPr>
          <w:rFonts w:cs="Arial"/>
          <w:b/>
          <w:bCs/>
          <w:color w:val="0070C0"/>
          <w:sz w:val="32"/>
          <w:szCs w:val="32"/>
        </w:rPr>
      </w:pPr>
      <w:r w:rsidRPr="00131D9D">
        <w:rPr>
          <w:rFonts w:cs="Arial"/>
          <w:b/>
          <w:bCs/>
          <w:color w:val="0070C0"/>
          <w:sz w:val="32"/>
          <w:szCs w:val="32"/>
        </w:rPr>
        <w:t>Review of a proposed contract award</w:t>
      </w:r>
    </w:p>
    <w:p w14:paraId="17336FB4" w14:textId="77777777" w:rsidR="00492B51" w:rsidRPr="00395593" w:rsidRDefault="00492B51" w:rsidP="00492B51">
      <w:pPr>
        <w:rPr>
          <w:rFonts w:cs="Arial"/>
        </w:rPr>
      </w:pPr>
    </w:p>
    <w:p w14:paraId="2B511B84" w14:textId="25EB51D1" w:rsidR="00492B51" w:rsidRPr="00A12D62" w:rsidRDefault="00492B51" w:rsidP="00492B51">
      <w:pPr>
        <w:rPr>
          <w:rFonts w:cs="Arial"/>
          <w:b/>
          <w:bCs/>
          <w:color w:val="0070C0"/>
          <w:sz w:val="32"/>
          <w:szCs w:val="32"/>
        </w:rPr>
      </w:pPr>
      <w:r w:rsidRPr="00A12D62">
        <w:rPr>
          <w:rFonts w:cs="Arial"/>
          <w:b/>
          <w:bCs/>
          <w:color w:val="0070C0"/>
          <w:sz w:val="32"/>
          <w:szCs w:val="32"/>
        </w:rPr>
        <w:t>Provision of Community Dermatology Service</w:t>
      </w:r>
      <w:r w:rsidR="00C237A9">
        <w:rPr>
          <w:rFonts w:cs="Arial"/>
          <w:b/>
          <w:bCs/>
          <w:color w:val="0070C0"/>
          <w:sz w:val="32"/>
          <w:szCs w:val="32"/>
        </w:rPr>
        <w:t>s</w:t>
      </w:r>
      <w:r w:rsidRPr="00A12D62">
        <w:rPr>
          <w:rFonts w:cs="Arial"/>
          <w:b/>
          <w:bCs/>
          <w:color w:val="0070C0"/>
          <w:sz w:val="32"/>
          <w:szCs w:val="32"/>
        </w:rPr>
        <w:t xml:space="preserve"> in Greater Manchester</w:t>
      </w:r>
    </w:p>
    <w:p w14:paraId="61996999" w14:textId="77777777" w:rsidR="00492B51" w:rsidRPr="00395593" w:rsidRDefault="00492B51" w:rsidP="00492B51">
      <w:pPr>
        <w:rPr>
          <w:rFonts w:cs="Arial"/>
        </w:rPr>
      </w:pPr>
    </w:p>
    <w:p w14:paraId="5574F9D5" w14:textId="77777777" w:rsidR="00492B51" w:rsidRPr="00395593" w:rsidRDefault="00492B51" w:rsidP="00492B51">
      <w:pPr>
        <w:rPr>
          <w:rFonts w:cs="Arial"/>
        </w:rPr>
      </w:pPr>
    </w:p>
    <w:p w14:paraId="03A145C3" w14:textId="77777777" w:rsidR="00492B51" w:rsidRPr="00395593" w:rsidRDefault="00492B51" w:rsidP="00492B51">
      <w:pPr>
        <w:rPr>
          <w:rFonts w:cs="Arial"/>
        </w:rPr>
      </w:pPr>
    </w:p>
    <w:p w14:paraId="5CFDF419" w14:textId="77777777" w:rsidR="00492B51" w:rsidRPr="00395593" w:rsidRDefault="00492B51" w:rsidP="00492B51">
      <w:pPr>
        <w:rPr>
          <w:rFonts w:cs="Arial"/>
        </w:rPr>
      </w:pPr>
    </w:p>
    <w:p w14:paraId="158A4E02" w14:textId="77777777" w:rsidR="00492B51" w:rsidRPr="009C62F8" w:rsidRDefault="00492B51" w:rsidP="00492B51">
      <w:pPr>
        <w:rPr>
          <w:rFonts w:cs="Arial"/>
          <w:b/>
          <w:bCs/>
          <w:color w:val="0070C0"/>
          <w:sz w:val="28"/>
          <w:szCs w:val="28"/>
        </w:rPr>
      </w:pPr>
      <w:r w:rsidRPr="009C62F8">
        <w:rPr>
          <w:rFonts w:cs="Arial"/>
          <w:b/>
          <w:bCs/>
          <w:color w:val="0070C0"/>
          <w:sz w:val="28"/>
          <w:szCs w:val="28"/>
        </w:rPr>
        <w:t>Case Reference: CR0032-25</w:t>
      </w:r>
    </w:p>
    <w:p w14:paraId="32A6F5E0" w14:textId="334C4B1A" w:rsidR="009C62F8" w:rsidRPr="008945DF" w:rsidRDefault="009E22D7" w:rsidP="00492B51">
      <w:pPr>
        <w:rPr>
          <w:rFonts w:cs="Arial"/>
          <w:b/>
          <w:color w:val="0070C0"/>
          <w:sz w:val="28"/>
          <w:szCs w:val="28"/>
        </w:rPr>
      </w:pPr>
      <w:r>
        <w:rPr>
          <w:rFonts w:cs="Arial"/>
          <w:b/>
          <w:bCs/>
          <w:color w:val="0070C0"/>
          <w:sz w:val="28"/>
          <w:szCs w:val="28"/>
        </w:rPr>
        <w:t>28</w:t>
      </w:r>
      <w:r w:rsidR="00492B51" w:rsidRPr="008945DF">
        <w:rPr>
          <w:rFonts w:cs="Arial"/>
          <w:b/>
          <w:bCs/>
          <w:color w:val="0070C0"/>
          <w:sz w:val="28"/>
          <w:szCs w:val="28"/>
        </w:rPr>
        <w:t xml:space="preserve"> </w:t>
      </w:r>
      <w:r w:rsidR="008945DF" w:rsidRPr="008945DF">
        <w:rPr>
          <w:rFonts w:cs="Arial"/>
          <w:b/>
          <w:bCs/>
          <w:color w:val="0070C0"/>
          <w:sz w:val="28"/>
          <w:szCs w:val="28"/>
        </w:rPr>
        <w:t>January 2026</w:t>
      </w:r>
    </w:p>
    <w:p w14:paraId="2EEB6CC3" w14:textId="77777777" w:rsidR="009C62F8" w:rsidRDefault="009C62F8">
      <w:pPr>
        <w:rPr>
          <w:rFonts w:cs="Arial"/>
          <w:b/>
          <w:bCs/>
          <w:color w:val="0070C0"/>
          <w:sz w:val="28"/>
          <w:szCs w:val="28"/>
          <w:highlight w:val="yellow"/>
        </w:rPr>
      </w:pPr>
      <w:r>
        <w:rPr>
          <w:rFonts w:cs="Arial"/>
          <w:b/>
          <w:bCs/>
          <w:color w:val="0070C0"/>
          <w:sz w:val="28"/>
          <w:szCs w:val="28"/>
          <w:highlight w:val="yellow"/>
        </w:rPr>
        <w:br w:type="page"/>
      </w:r>
    </w:p>
    <w:sdt>
      <w:sdtPr>
        <w:rPr>
          <w:rFonts w:ascii="Arial" w:eastAsiaTheme="minorEastAsia" w:hAnsi="Arial" w:cstheme="minorBidi"/>
          <w:color w:val="auto"/>
          <w:kern w:val="2"/>
          <w:sz w:val="22"/>
          <w:szCs w:val="22"/>
          <w:lang w:eastAsia="en-US"/>
          <w14:ligatures w14:val="standardContextual"/>
        </w:rPr>
        <w:id w:val="-887884442"/>
        <w:docPartObj>
          <w:docPartGallery w:val="Table of Contents"/>
          <w:docPartUnique/>
        </w:docPartObj>
      </w:sdtPr>
      <w:sdtEndPr/>
      <w:sdtContent>
        <w:p w14:paraId="3D601F5E" w14:textId="26D5722E" w:rsidR="00AA2682" w:rsidRPr="00810321" w:rsidRDefault="00AA2682" w:rsidP="00CE17B6">
          <w:pPr>
            <w:pStyle w:val="TOCHeading"/>
          </w:pPr>
          <w:r w:rsidRPr="00810321">
            <w:t>Contents</w:t>
          </w:r>
        </w:p>
        <w:p w14:paraId="2F18D1F3" w14:textId="2308E00E" w:rsidR="009E0B8C" w:rsidRDefault="00AA2682">
          <w:pPr>
            <w:pStyle w:val="TOC1"/>
            <w:rPr>
              <w:rFonts w:asciiTheme="minorHAnsi" w:eastAsiaTheme="minorEastAsia" w:hAnsiTheme="minorHAnsi"/>
              <w:noProof/>
              <w:sz w:val="24"/>
              <w:szCs w:val="24"/>
              <w:lang w:eastAsia="en-GB"/>
            </w:rPr>
          </w:pPr>
          <w:r w:rsidRPr="001333AE">
            <w:rPr>
              <w:rFonts w:cs="Arial"/>
            </w:rPr>
            <w:fldChar w:fldCharType="begin"/>
          </w:r>
          <w:r w:rsidRPr="001333AE">
            <w:rPr>
              <w:rFonts w:cs="Arial"/>
            </w:rPr>
            <w:instrText xml:space="preserve"> TOC \o "1-3" \h \z \u </w:instrText>
          </w:r>
          <w:r w:rsidRPr="001333AE">
            <w:rPr>
              <w:rFonts w:cs="Arial"/>
            </w:rPr>
            <w:fldChar w:fldCharType="separate"/>
          </w:r>
          <w:hyperlink w:anchor="_Toc219399087" w:history="1">
            <w:r w:rsidR="009E0B8C" w:rsidRPr="00743534">
              <w:rPr>
                <w:rStyle w:val="Hyperlink"/>
                <w:noProof/>
              </w:rPr>
              <w:t>1.</w:t>
            </w:r>
            <w:r w:rsidR="009E0B8C">
              <w:rPr>
                <w:rFonts w:asciiTheme="minorHAnsi" w:eastAsiaTheme="minorEastAsia" w:hAnsiTheme="minorHAnsi"/>
                <w:noProof/>
                <w:sz w:val="24"/>
                <w:szCs w:val="24"/>
                <w:lang w:eastAsia="en-GB"/>
              </w:rPr>
              <w:tab/>
            </w:r>
            <w:r w:rsidR="009E0B8C" w:rsidRPr="00743534">
              <w:rPr>
                <w:rStyle w:val="Hyperlink"/>
                <w:noProof/>
              </w:rPr>
              <w:t>Executive Summary</w:t>
            </w:r>
            <w:r w:rsidR="009E0B8C">
              <w:rPr>
                <w:noProof/>
                <w:webHidden/>
              </w:rPr>
              <w:tab/>
            </w:r>
            <w:r w:rsidR="009E0B8C">
              <w:rPr>
                <w:noProof/>
                <w:webHidden/>
              </w:rPr>
              <w:fldChar w:fldCharType="begin"/>
            </w:r>
            <w:r w:rsidR="009E0B8C">
              <w:rPr>
                <w:noProof/>
                <w:webHidden/>
              </w:rPr>
              <w:instrText xml:space="preserve"> PAGEREF _Toc219399087 \h </w:instrText>
            </w:r>
            <w:r w:rsidR="009E0B8C">
              <w:rPr>
                <w:noProof/>
                <w:webHidden/>
              </w:rPr>
            </w:r>
            <w:r w:rsidR="009E0B8C">
              <w:rPr>
                <w:noProof/>
                <w:webHidden/>
              </w:rPr>
              <w:fldChar w:fldCharType="separate"/>
            </w:r>
            <w:r w:rsidR="00FD4960">
              <w:rPr>
                <w:noProof/>
                <w:webHidden/>
              </w:rPr>
              <w:t>3</w:t>
            </w:r>
            <w:r w:rsidR="009E0B8C">
              <w:rPr>
                <w:noProof/>
                <w:webHidden/>
              </w:rPr>
              <w:fldChar w:fldCharType="end"/>
            </w:r>
          </w:hyperlink>
        </w:p>
        <w:p w14:paraId="663B2AD2" w14:textId="0043B0C2" w:rsidR="009E0B8C" w:rsidRDefault="009E0B8C">
          <w:pPr>
            <w:pStyle w:val="TOC1"/>
            <w:rPr>
              <w:rFonts w:asciiTheme="minorHAnsi" w:eastAsiaTheme="minorEastAsia" w:hAnsiTheme="minorHAnsi"/>
              <w:noProof/>
              <w:sz w:val="24"/>
              <w:szCs w:val="24"/>
              <w:lang w:eastAsia="en-GB"/>
            </w:rPr>
          </w:pPr>
          <w:hyperlink w:anchor="_Toc219399088" w:history="1">
            <w:r w:rsidRPr="00743534">
              <w:rPr>
                <w:rStyle w:val="Hyperlink"/>
                <w:noProof/>
              </w:rPr>
              <w:t>2.</w:t>
            </w:r>
            <w:r>
              <w:rPr>
                <w:rFonts w:asciiTheme="minorHAnsi" w:eastAsiaTheme="minorEastAsia" w:hAnsiTheme="minorHAnsi"/>
                <w:noProof/>
                <w:sz w:val="24"/>
                <w:szCs w:val="24"/>
                <w:lang w:eastAsia="en-GB"/>
              </w:rPr>
              <w:tab/>
            </w:r>
            <w:r w:rsidRPr="00743534">
              <w:rPr>
                <w:rStyle w:val="Hyperlink"/>
                <w:noProof/>
              </w:rPr>
              <w:t>Introduction</w:t>
            </w:r>
            <w:r>
              <w:rPr>
                <w:noProof/>
                <w:webHidden/>
              </w:rPr>
              <w:tab/>
            </w:r>
            <w:r>
              <w:rPr>
                <w:noProof/>
                <w:webHidden/>
              </w:rPr>
              <w:fldChar w:fldCharType="begin"/>
            </w:r>
            <w:r>
              <w:rPr>
                <w:noProof/>
                <w:webHidden/>
              </w:rPr>
              <w:instrText xml:space="preserve"> PAGEREF _Toc219399088 \h </w:instrText>
            </w:r>
            <w:r>
              <w:rPr>
                <w:noProof/>
                <w:webHidden/>
              </w:rPr>
            </w:r>
            <w:r>
              <w:rPr>
                <w:noProof/>
                <w:webHidden/>
              </w:rPr>
              <w:fldChar w:fldCharType="separate"/>
            </w:r>
            <w:r w:rsidR="00FD4960">
              <w:rPr>
                <w:noProof/>
                <w:webHidden/>
              </w:rPr>
              <w:t>5</w:t>
            </w:r>
            <w:r>
              <w:rPr>
                <w:noProof/>
                <w:webHidden/>
              </w:rPr>
              <w:fldChar w:fldCharType="end"/>
            </w:r>
          </w:hyperlink>
        </w:p>
        <w:p w14:paraId="06E6A870" w14:textId="28809C89" w:rsidR="009E0B8C" w:rsidRDefault="009E0B8C">
          <w:pPr>
            <w:pStyle w:val="TOC1"/>
            <w:rPr>
              <w:rFonts w:asciiTheme="minorHAnsi" w:eastAsiaTheme="minorEastAsia" w:hAnsiTheme="minorHAnsi"/>
              <w:noProof/>
              <w:sz w:val="24"/>
              <w:szCs w:val="24"/>
              <w:lang w:eastAsia="en-GB"/>
            </w:rPr>
          </w:pPr>
          <w:hyperlink w:anchor="_Toc219399089" w:history="1">
            <w:r w:rsidRPr="00743534">
              <w:rPr>
                <w:rStyle w:val="Hyperlink"/>
                <w:noProof/>
              </w:rPr>
              <w:t>3.</w:t>
            </w:r>
            <w:r>
              <w:rPr>
                <w:rFonts w:asciiTheme="minorHAnsi" w:eastAsiaTheme="minorEastAsia" w:hAnsiTheme="minorHAnsi"/>
                <w:noProof/>
                <w:sz w:val="24"/>
                <w:szCs w:val="24"/>
                <w:lang w:eastAsia="en-GB"/>
              </w:rPr>
              <w:tab/>
            </w:r>
            <w:r w:rsidRPr="00743534">
              <w:rPr>
                <w:rStyle w:val="Hyperlink"/>
                <w:noProof/>
              </w:rPr>
              <w:t>Role of the Panel</w:t>
            </w:r>
            <w:r>
              <w:rPr>
                <w:noProof/>
                <w:webHidden/>
              </w:rPr>
              <w:tab/>
            </w:r>
            <w:r>
              <w:rPr>
                <w:noProof/>
                <w:webHidden/>
              </w:rPr>
              <w:fldChar w:fldCharType="begin"/>
            </w:r>
            <w:r>
              <w:rPr>
                <w:noProof/>
                <w:webHidden/>
              </w:rPr>
              <w:instrText xml:space="preserve"> PAGEREF _Toc219399089 \h </w:instrText>
            </w:r>
            <w:r>
              <w:rPr>
                <w:noProof/>
                <w:webHidden/>
              </w:rPr>
            </w:r>
            <w:r>
              <w:rPr>
                <w:noProof/>
                <w:webHidden/>
              </w:rPr>
              <w:fldChar w:fldCharType="separate"/>
            </w:r>
            <w:r w:rsidR="00FD4960">
              <w:rPr>
                <w:noProof/>
                <w:webHidden/>
              </w:rPr>
              <w:t>6</w:t>
            </w:r>
            <w:r>
              <w:rPr>
                <w:noProof/>
                <w:webHidden/>
              </w:rPr>
              <w:fldChar w:fldCharType="end"/>
            </w:r>
          </w:hyperlink>
        </w:p>
        <w:p w14:paraId="59D8849D" w14:textId="0ADA3900" w:rsidR="009E0B8C" w:rsidRDefault="009E0B8C">
          <w:pPr>
            <w:pStyle w:val="TOC1"/>
            <w:rPr>
              <w:rFonts w:asciiTheme="minorHAnsi" w:eastAsiaTheme="minorEastAsia" w:hAnsiTheme="minorHAnsi"/>
              <w:noProof/>
              <w:sz w:val="24"/>
              <w:szCs w:val="24"/>
              <w:lang w:eastAsia="en-GB"/>
            </w:rPr>
          </w:pPr>
          <w:hyperlink w:anchor="_Toc219399090" w:history="1">
            <w:r w:rsidRPr="00743534">
              <w:rPr>
                <w:rStyle w:val="Hyperlink"/>
                <w:noProof/>
              </w:rPr>
              <w:t>4.</w:t>
            </w:r>
            <w:r>
              <w:rPr>
                <w:rFonts w:asciiTheme="minorHAnsi" w:eastAsiaTheme="minorEastAsia" w:hAnsiTheme="minorHAnsi"/>
                <w:noProof/>
                <w:sz w:val="24"/>
                <w:szCs w:val="24"/>
                <w:lang w:eastAsia="en-GB"/>
              </w:rPr>
              <w:tab/>
            </w:r>
            <w:r w:rsidRPr="00743534">
              <w:rPr>
                <w:rStyle w:val="Hyperlink"/>
                <w:noProof/>
              </w:rPr>
              <w:t>Background to this review</w:t>
            </w:r>
            <w:r>
              <w:rPr>
                <w:noProof/>
                <w:webHidden/>
              </w:rPr>
              <w:tab/>
            </w:r>
            <w:r>
              <w:rPr>
                <w:noProof/>
                <w:webHidden/>
              </w:rPr>
              <w:fldChar w:fldCharType="begin"/>
            </w:r>
            <w:r>
              <w:rPr>
                <w:noProof/>
                <w:webHidden/>
              </w:rPr>
              <w:instrText xml:space="preserve"> PAGEREF _Toc219399090 \h </w:instrText>
            </w:r>
            <w:r>
              <w:rPr>
                <w:noProof/>
                <w:webHidden/>
              </w:rPr>
            </w:r>
            <w:r>
              <w:rPr>
                <w:noProof/>
                <w:webHidden/>
              </w:rPr>
              <w:fldChar w:fldCharType="separate"/>
            </w:r>
            <w:r w:rsidR="00FD4960">
              <w:rPr>
                <w:noProof/>
                <w:webHidden/>
              </w:rPr>
              <w:t>6</w:t>
            </w:r>
            <w:r>
              <w:rPr>
                <w:noProof/>
                <w:webHidden/>
              </w:rPr>
              <w:fldChar w:fldCharType="end"/>
            </w:r>
          </w:hyperlink>
        </w:p>
        <w:p w14:paraId="62645027" w14:textId="7932C811" w:rsidR="009E0B8C" w:rsidRDefault="009E0B8C">
          <w:pPr>
            <w:pStyle w:val="TOC2"/>
            <w:tabs>
              <w:tab w:val="right" w:leader="dot" w:pos="9016"/>
            </w:tabs>
            <w:rPr>
              <w:rFonts w:asciiTheme="minorHAnsi" w:eastAsiaTheme="minorEastAsia" w:hAnsiTheme="minorHAnsi"/>
              <w:noProof/>
              <w:sz w:val="24"/>
              <w:szCs w:val="24"/>
              <w:lang w:eastAsia="en-GB"/>
            </w:rPr>
          </w:pPr>
          <w:hyperlink w:anchor="_Toc219399091" w:history="1">
            <w:r w:rsidRPr="00743534">
              <w:rPr>
                <w:rStyle w:val="Hyperlink"/>
                <w:noProof/>
              </w:rPr>
              <w:t>4.1 NHS GM’s provider selection process for the community dermatology service</w:t>
            </w:r>
            <w:r>
              <w:rPr>
                <w:noProof/>
                <w:webHidden/>
              </w:rPr>
              <w:tab/>
            </w:r>
            <w:r>
              <w:rPr>
                <w:noProof/>
                <w:webHidden/>
              </w:rPr>
              <w:fldChar w:fldCharType="begin"/>
            </w:r>
            <w:r>
              <w:rPr>
                <w:noProof/>
                <w:webHidden/>
              </w:rPr>
              <w:instrText xml:space="preserve"> PAGEREF _Toc219399091 \h </w:instrText>
            </w:r>
            <w:r>
              <w:rPr>
                <w:noProof/>
                <w:webHidden/>
              </w:rPr>
            </w:r>
            <w:r>
              <w:rPr>
                <w:noProof/>
                <w:webHidden/>
              </w:rPr>
              <w:fldChar w:fldCharType="separate"/>
            </w:r>
            <w:r w:rsidR="00FD4960">
              <w:rPr>
                <w:noProof/>
                <w:webHidden/>
              </w:rPr>
              <w:t>6</w:t>
            </w:r>
            <w:r>
              <w:rPr>
                <w:noProof/>
                <w:webHidden/>
              </w:rPr>
              <w:fldChar w:fldCharType="end"/>
            </w:r>
          </w:hyperlink>
        </w:p>
        <w:p w14:paraId="3D63CF32" w14:textId="1D49BC67" w:rsidR="009E0B8C" w:rsidRDefault="009E0B8C">
          <w:pPr>
            <w:pStyle w:val="TOC2"/>
            <w:tabs>
              <w:tab w:val="right" w:leader="dot" w:pos="9016"/>
            </w:tabs>
            <w:rPr>
              <w:rFonts w:asciiTheme="minorHAnsi" w:eastAsiaTheme="minorEastAsia" w:hAnsiTheme="minorHAnsi"/>
              <w:noProof/>
              <w:sz w:val="24"/>
              <w:szCs w:val="24"/>
              <w:lang w:eastAsia="en-GB"/>
            </w:rPr>
          </w:pPr>
          <w:hyperlink w:anchor="_Toc219399092" w:history="1">
            <w:r w:rsidRPr="00743534">
              <w:rPr>
                <w:rStyle w:val="Hyperlink"/>
                <w:noProof/>
              </w:rPr>
              <w:t>4.2 CHEC’s representations to NHS GM about the provider selection process</w:t>
            </w:r>
            <w:r>
              <w:rPr>
                <w:noProof/>
                <w:webHidden/>
              </w:rPr>
              <w:tab/>
            </w:r>
            <w:r>
              <w:rPr>
                <w:noProof/>
                <w:webHidden/>
              </w:rPr>
              <w:fldChar w:fldCharType="begin"/>
            </w:r>
            <w:r>
              <w:rPr>
                <w:noProof/>
                <w:webHidden/>
              </w:rPr>
              <w:instrText xml:space="preserve"> PAGEREF _Toc219399092 \h </w:instrText>
            </w:r>
            <w:r>
              <w:rPr>
                <w:noProof/>
                <w:webHidden/>
              </w:rPr>
            </w:r>
            <w:r>
              <w:rPr>
                <w:noProof/>
                <w:webHidden/>
              </w:rPr>
              <w:fldChar w:fldCharType="separate"/>
            </w:r>
            <w:r w:rsidR="00FD4960">
              <w:rPr>
                <w:noProof/>
                <w:webHidden/>
              </w:rPr>
              <w:t>8</w:t>
            </w:r>
            <w:r>
              <w:rPr>
                <w:noProof/>
                <w:webHidden/>
              </w:rPr>
              <w:fldChar w:fldCharType="end"/>
            </w:r>
          </w:hyperlink>
        </w:p>
        <w:p w14:paraId="391081A3" w14:textId="5443B771" w:rsidR="009E0B8C" w:rsidRDefault="009E0B8C">
          <w:pPr>
            <w:pStyle w:val="TOC2"/>
            <w:tabs>
              <w:tab w:val="right" w:leader="dot" w:pos="9016"/>
            </w:tabs>
            <w:rPr>
              <w:rFonts w:asciiTheme="minorHAnsi" w:eastAsiaTheme="minorEastAsia" w:hAnsiTheme="minorHAnsi"/>
              <w:noProof/>
              <w:sz w:val="24"/>
              <w:szCs w:val="24"/>
              <w:lang w:eastAsia="en-GB"/>
            </w:rPr>
          </w:pPr>
          <w:hyperlink w:anchor="_Toc219399093" w:history="1">
            <w:r w:rsidRPr="00743534">
              <w:rPr>
                <w:rStyle w:val="Hyperlink"/>
                <w:noProof/>
              </w:rPr>
              <w:t>4.3 NHS GM’s due diligence exercise in relation to About Health’s change in ownership</w:t>
            </w:r>
            <w:r>
              <w:rPr>
                <w:noProof/>
                <w:webHidden/>
              </w:rPr>
              <w:tab/>
            </w:r>
            <w:r>
              <w:rPr>
                <w:noProof/>
                <w:webHidden/>
              </w:rPr>
              <w:fldChar w:fldCharType="begin"/>
            </w:r>
            <w:r>
              <w:rPr>
                <w:noProof/>
                <w:webHidden/>
              </w:rPr>
              <w:instrText xml:space="preserve"> PAGEREF _Toc219399093 \h </w:instrText>
            </w:r>
            <w:r>
              <w:rPr>
                <w:noProof/>
                <w:webHidden/>
              </w:rPr>
            </w:r>
            <w:r>
              <w:rPr>
                <w:noProof/>
                <w:webHidden/>
              </w:rPr>
              <w:fldChar w:fldCharType="separate"/>
            </w:r>
            <w:r w:rsidR="00FD4960">
              <w:rPr>
                <w:noProof/>
                <w:webHidden/>
              </w:rPr>
              <w:t>8</w:t>
            </w:r>
            <w:r>
              <w:rPr>
                <w:noProof/>
                <w:webHidden/>
              </w:rPr>
              <w:fldChar w:fldCharType="end"/>
            </w:r>
          </w:hyperlink>
        </w:p>
        <w:p w14:paraId="494A2733" w14:textId="0FD9C04E" w:rsidR="009E0B8C" w:rsidRDefault="009E0B8C">
          <w:pPr>
            <w:pStyle w:val="TOC1"/>
            <w:rPr>
              <w:rFonts w:asciiTheme="minorHAnsi" w:eastAsiaTheme="minorEastAsia" w:hAnsiTheme="minorHAnsi"/>
              <w:noProof/>
              <w:sz w:val="24"/>
              <w:szCs w:val="24"/>
              <w:lang w:eastAsia="en-GB"/>
            </w:rPr>
          </w:pPr>
          <w:hyperlink w:anchor="_Toc219399094" w:history="1">
            <w:r w:rsidRPr="00743534">
              <w:rPr>
                <w:rStyle w:val="Hyperlink"/>
                <w:noProof/>
              </w:rPr>
              <w:t>5.</w:t>
            </w:r>
            <w:r>
              <w:rPr>
                <w:rFonts w:asciiTheme="minorHAnsi" w:eastAsiaTheme="minorEastAsia" w:hAnsiTheme="minorHAnsi"/>
                <w:noProof/>
                <w:sz w:val="24"/>
                <w:szCs w:val="24"/>
                <w:lang w:eastAsia="en-GB"/>
              </w:rPr>
              <w:tab/>
            </w:r>
            <w:r w:rsidRPr="00743534">
              <w:rPr>
                <w:rStyle w:val="Hyperlink"/>
                <w:noProof/>
              </w:rPr>
              <w:t>Representations by CHEC</w:t>
            </w:r>
            <w:r>
              <w:rPr>
                <w:noProof/>
                <w:webHidden/>
              </w:rPr>
              <w:tab/>
            </w:r>
            <w:r>
              <w:rPr>
                <w:noProof/>
                <w:webHidden/>
              </w:rPr>
              <w:fldChar w:fldCharType="begin"/>
            </w:r>
            <w:r>
              <w:rPr>
                <w:noProof/>
                <w:webHidden/>
              </w:rPr>
              <w:instrText xml:space="preserve"> PAGEREF _Toc219399094 \h </w:instrText>
            </w:r>
            <w:r>
              <w:rPr>
                <w:noProof/>
                <w:webHidden/>
              </w:rPr>
            </w:r>
            <w:r>
              <w:rPr>
                <w:noProof/>
                <w:webHidden/>
              </w:rPr>
              <w:fldChar w:fldCharType="separate"/>
            </w:r>
            <w:r w:rsidR="00FD4960">
              <w:rPr>
                <w:noProof/>
                <w:webHidden/>
              </w:rPr>
              <w:t>9</w:t>
            </w:r>
            <w:r>
              <w:rPr>
                <w:noProof/>
                <w:webHidden/>
              </w:rPr>
              <w:fldChar w:fldCharType="end"/>
            </w:r>
          </w:hyperlink>
        </w:p>
        <w:p w14:paraId="3CCEB954" w14:textId="0A06AAFC" w:rsidR="009E0B8C" w:rsidRDefault="009E0B8C">
          <w:pPr>
            <w:pStyle w:val="TOC1"/>
            <w:rPr>
              <w:rFonts w:asciiTheme="minorHAnsi" w:eastAsiaTheme="minorEastAsia" w:hAnsiTheme="minorHAnsi"/>
              <w:noProof/>
              <w:sz w:val="24"/>
              <w:szCs w:val="24"/>
              <w:lang w:eastAsia="en-GB"/>
            </w:rPr>
          </w:pPr>
          <w:hyperlink w:anchor="_Toc219399095" w:history="1">
            <w:r w:rsidRPr="00743534">
              <w:rPr>
                <w:rStyle w:val="Hyperlink"/>
                <w:noProof/>
              </w:rPr>
              <w:t>6.</w:t>
            </w:r>
            <w:r>
              <w:rPr>
                <w:rFonts w:asciiTheme="minorHAnsi" w:eastAsiaTheme="minorEastAsia" w:hAnsiTheme="minorHAnsi"/>
                <w:noProof/>
                <w:sz w:val="24"/>
                <w:szCs w:val="24"/>
                <w:lang w:eastAsia="en-GB"/>
              </w:rPr>
              <w:tab/>
            </w:r>
            <w:r w:rsidRPr="00743534">
              <w:rPr>
                <w:rStyle w:val="Hyperlink"/>
                <w:noProof/>
              </w:rPr>
              <w:t>PSR regulations relevant to this review</w:t>
            </w:r>
            <w:r>
              <w:rPr>
                <w:noProof/>
                <w:webHidden/>
              </w:rPr>
              <w:tab/>
            </w:r>
            <w:r>
              <w:rPr>
                <w:noProof/>
                <w:webHidden/>
              </w:rPr>
              <w:fldChar w:fldCharType="begin"/>
            </w:r>
            <w:r>
              <w:rPr>
                <w:noProof/>
                <w:webHidden/>
              </w:rPr>
              <w:instrText xml:space="preserve"> PAGEREF _Toc219399095 \h </w:instrText>
            </w:r>
            <w:r>
              <w:rPr>
                <w:noProof/>
                <w:webHidden/>
              </w:rPr>
            </w:r>
            <w:r>
              <w:rPr>
                <w:noProof/>
                <w:webHidden/>
              </w:rPr>
              <w:fldChar w:fldCharType="separate"/>
            </w:r>
            <w:r w:rsidR="00FD4960">
              <w:rPr>
                <w:noProof/>
                <w:webHidden/>
              </w:rPr>
              <w:t>10</w:t>
            </w:r>
            <w:r>
              <w:rPr>
                <w:noProof/>
                <w:webHidden/>
              </w:rPr>
              <w:fldChar w:fldCharType="end"/>
            </w:r>
          </w:hyperlink>
        </w:p>
        <w:p w14:paraId="61A89146" w14:textId="192F5F59" w:rsidR="009E0B8C" w:rsidRDefault="009E0B8C">
          <w:pPr>
            <w:pStyle w:val="TOC1"/>
            <w:rPr>
              <w:rFonts w:asciiTheme="minorHAnsi" w:eastAsiaTheme="minorEastAsia" w:hAnsiTheme="minorHAnsi"/>
              <w:noProof/>
              <w:sz w:val="24"/>
              <w:szCs w:val="24"/>
              <w:lang w:eastAsia="en-GB"/>
            </w:rPr>
          </w:pPr>
          <w:hyperlink w:anchor="_Toc219399096" w:history="1">
            <w:r w:rsidRPr="00743534">
              <w:rPr>
                <w:rStyle w:val="Hyperlink"/>
                <w:noProof/>
              </w:rPr>
              <w:t>7.</w:t>
            </w:r>
            <w:r>
              <w:rPr>
                <w:rFonts w:asciiTheme="minorHAnsi" w:eastAsiaTheme="minorEastAsia" w:hAnsiTheme="minorHAnsi"/>
                <w:noProof/>
                <w:sz w:val="24"/>
                <w:szCs w:val="24"/>
                <w:lang w:eastAsia="en-GB"/>
              </w:rPr>
              <w:tab/>
            </w:r>
            <w:r w:rsidRPr="00743534">
              <w:rPr>
                <w:rStyle w:val="Hyperlink"/>
                <w:noProof/>
              </w:rPr>
              <w:t>Panel Assessment</w:t>
            </w:r>
            <w:r>
              <w:rPr>
                <w:noProof/>
                <w:webHidden/>
              </w:rPr>
              <w:tab/>
            </w:r>
            <w:r>
              <w:rPr>
                <w:noProof/>
                <w:webHidden/>
              </w:rPr>
              <w:fldChar w:fldCharType="begin"/>
            </w:r>
            <w:r>
              <w:rPr>
                <w:noProof/>
                <w:webHidden/>
              </w:rPr>
              <w:instrText xml:space="preserve"> PAGEREF _Toc219399096 \h </w:instrText>
            </w:r>
            <w:r>
              <w:rPr>
                <w:noProof/>
                <w:webHidden/>
              </w:rPr>
            </w:r>
            <w:r>
              <w:rPr>
                <w:noProof/>
                <w:webHidden/>
              </w:rPr>
              <w:fldChar w:fldCharType="separate"/>
            </w:r>
            <w:r w:rsidR="00FD4960">
              <w:rPr>
                <w:noProof/>
                <w:webHidden/>
              </w:rPr>
              <w:t>11</w:t>
            </w:r>
            <w:r>
              <w:rPr>
                <w:noProof/>
                <w:webHidden/>
              </w:rPr>
              <w:fldChar w:fldCharType="end"/>
            </w:r>
          </w:hyperlink>
        </w:p>
        <w:p w14:paraId="1ADA0864" w14:textId="734E3BB8" w:rsidR="009E0B8C" w:rsidRDefault="009E0B8C">
          <w:pPr>
            <w:pStyle w:val="TOC2"/>
            <w:tabs>
              <w:tab w:val="right" w:leader="dot" w:pos="9016"/>
            </w:tabs>
            <w:rPr>
              <w:rFonts w:asciiTheme="minorHAnsi" w:eastAsiaTheme="minorEastAsia" w:hAnsiTheme="minorHAnsi"/>
              <w:noProof/>
              <w:sz w:val="24"/>
              <w:szCs w:val="24"/>
              <w:lang w:eastAsia="en-GB"/>
            </w:rPr>
          </w:pPr>
          <w:hyperlink w:anchor="_Toc219399097" w:history="1">
            <w:r w:rsidRPr="00743534">
              <w:rPr>
                <w:rStyle w:val="Hyperlink"/>
                <w:noProof/>
              </w:rPr>
              <w:t>7.1 NHS GM’s assessment of the effects of About Health’s change in ownership</w:t>
            </w:r>
            <w:r>
              <w:rPr>
                <w:noProof/>
                <w:webHidden/>
              </w:rPr>
              <w:tab/>
            </w:r>
            <w:r>
              <w:rPr>
                <w:noProof/>
                <w:webHidden/>
              </w:rPr>
              <w:fldChar w:fldCharType="begin"/>
            </w:r>
            <w:r>
              <w:rPr>
                <w:noProof/>
                <w:webHidden/>
              </w:rPr>
              <w:instrText xml:space="preserve"> PAGEREF _Toc219399097 \h </w:instrText>
            </w:r>
            <w:r>
              <w:rPr>
                <w:noProof/>
                <w:webHidden/>
              </w:rPr>
            </w:r>
            <w:r>
              <w:rPr>
                <w:noProof/>
                <w:webHidden/>
              </w:rPr>
              <w:fldChar w:fldCharType="separate"/>
            </w:r>
            <w:r w:rsidR="00FD4960">
              <w:rPr>
                <w:noProof/>
                <w:webHidden/>
              </w:rPr>
              <w:t>11</w:t>
            </w:r>
            <w:r>
              <w:rPr>
                <w:noProof/>
                <w:webHidden/>
              </w:rPr>
              <w:fldChar w:fldCharType="end"/>
            </w:r>
          </w:hyperlink>
        </w:p>
        <w:p w14:paraId="3980B5A0" w14:textId="4C37C7F0" w:rsidR="009E0B8C" w:rsidRDefault="009E0B8C">
          <w:pPr>
            <w:pStyle w:val="TOC2"/>
            <w:tabs>
              <w:tab w:val="right" w:leader="dot" w:pos="9016"/>
            </w:tabs>
            <w:rPr>
              <w:rFonts w:asciiTheme="minorHAnsi" w:eastAsiaTheme="minorEastAsia" w:hAnsiTheme="minorHAnsi"/>
              <w:noProof/>
              <w:sz w:val="24"/>
              <w:szCs w:val="24"/>
              <w:lang w:eastAsia="en-GB"/>
            </w:rPr>
          </w:pPr>
          <w:hyperlink w:anchor="_Toc219399098" w:history="1">
            <w:r w:rsidRPr="00743534">
              <w:rPr>
                <w:rStyle w:val="Hyperlink"/>
                <w:noProof/>
              </w:rPr>
              <w:t>7.2 NHS GM’s response to CHEC’s representations</w:t>
            </w:r>
            <w:r>
              <w:rPr>
                <w:noProof/>
                <w:webHidden/>
              </w:rPr>
              <w:tab/>
            </w:r>
            <w:r>
              <w:rPr>
                <w:noProof/>
                <w:webHidden/>
              </w:rPr>
              <w:fldChar w:fldCharType="begin"/>
            </w:r>
            <w:r>
              <w:rPr>
                <w:noProof/>
                <w:webHidden/>
              </w:rPr>
              <w:instrText xml:space="preserve"> PAGEREF _Toc219399098 \h </w:instrText>
            </w:r>
            <w:r>
              <w:rPr>
                <w:noProof/>
                <w:webHidden/>
              </w:rPr>
            </w:r>
            <w:r>
              <w:rPr>
                <w:noProof/>
                <w:webHidden/>
              </w:rPr>
              <w:fldChar w:fldCharType="separate"/>
            </w:r>
            <w:r w:rsidR="00FD4960">
              <w:rPr>
                <w:noProof/>
                <w:webHidden/>
              </w:rPr>
              <w:t>19</w:t>
            </w:r>
            <w:r>
              <w:rPr>
                <w:noProof/>
                <w:webHidden/>
              </w:rPr>
              <w:fldChar w:fldCharType="end"/>
            </w:r>
          </w:hyperlink>
        </w:p>
        <w:p w14:paraId="19C4980A" w14:textId="3AAE1CE5" w:rsidR="009E0B8C" w:rsidRDefault="009E0B8C">
          <w:pPr>
            <w:pStyle w:val="TOC1"/>
            <w:rPr>
              <w:rFonts w:asciiTheme="minorHAnsi" w:eastAsiaTheme="minorEastAsia" w:hAnsiTheme="minorHAnsi"/>
              <w:noProof/>
              <w:sz w:val="24"/>
              <w:szCs w:val="24"/>
              <w:lang w:eastAsia="en-GB"/>
            </w:rPr>
          </w:pPr>
          <w:hyperlink w:anchor="_Toc219399099" w:history="1">
            <w:r w:rsidRPr="00743534">
              <w:rPr>
                <w:rStyle w:val="Hyperlink"/>
                <w:noProof/>
              </w:rPr>
              <w:t>8.</w:t>
            </w:r>
            <w:r>
              <w:rPr>
                <w:rFonts w:asciiTheme="minorHAnsi" w:eastAsiaTheme="minorEastAsia" w:hAnsiTheme="minorHAnsi"/>
                <w:noProof/>
                <w:sz w:val="24"/>
                <w:szCs w:val="24"/>
                <w:lang w:eastAsia="en-GB"/>
              </w:rPr>
              <w:tab/>
            </w:r>
            <w:r w:rsidRPr="00743534">
              <w:rPr>
                <w:rStyle w:val="Hyperlink"/>
                <w:noProof/>
              </w:rPr>
              <w:t>Panel Advice</w:t>
            </w:r>
            <w:r>
              <w:rPr>
                <w:noProof/>
                <w:webHidden/>
              </w:rPr>
              <w:tab/>
            </w:r>
            <w:r>
              <w:rPr>
                <w:noProof/>
                <w:webHidden/>
              </w:rPr>
              <w:fldChar w:fldCharType="begin"/>
            </w:r>
            <w:r>
              <w:rPr>
                <w:noProof/>
                <w:webHidden/>
              </w:rPr>
              <w:instrText xml:space="preserve"> PAGEREF _Toc219399099 \h </w:instrText>
            </w:r>
            <w:r>
              <w:rPr>
                <w:noProof/>
                <w:webHidden/>
              </w:rPr>
            </w:r>
            <w:r>
              <w:rPr>
                <w:noProof/>
                <w:webHidden/>
              </w:rPr>
              <w:fldChar w:fldCharType="separate"/>
            </w:r>
            <w:r w:rsidR="00FD4960">
              <w:rPr>
                <w:noProof/>
                <w:webHidden/>
              </w:rPr>
              <w:t>27</w:t>
            </w:r>
            <w:r>
              <w:rPr>
                <w:noProof/>
                <w:webHidden/>
              </w:rPr>
              <w:fldChar w:fldCharType="end"/>
            </w:r>
          </w:hyperlink>
        </w:p>
        <w:p w14:paraId="2BA0286D" w14:textId="2609741A" w:rsidR="00AA2682" w:rsidRPr="001333AE" w:rsidRDefault="00AA2682">
          <w:r w:rsidRPr="001333AE">
            <w:rPr>
              <w:rFonts w:cs="Arial"/>
            </w:rPr>
            <w:fldChar w:fldCharType="end"/>
          </w:r>
        </w:p>
      </w:sdtContent>
    </w:sdt>
    <w:p w14:paraId="6B562A7B" w14:textId="4A335908" w:rsidR="009A328C" w:rsidRPr="00395593" w:rsidRDefault="009A328C" w:rsidP="00492B51">
      <w:pPr>
        <w:rPr>
          <w:rFonts w:cs="Arial"/>
        </w:rPr>
      </w:pPr>
      <w:r w:rsidRPr="00395593">
        <w:rPr>
          <w:rFonts w:cs="Arial"/>
        </w:rPr>
        <w:br w:type="page"/>
      </w:r>
    </w:p>
    <w:p w14:paraId="57D37A97" w14:textId="7C7887B3" w:rsidR="009A328C" w:rsidRPr="00395593" w:rsidRDefault="007109E4" w:rsidP="00CE17B6">
      <w:pPr>
        <w:pStyle w:val="Heading1"/>
      </w:pPr>
      <w:bookmarkStart w:id="0" w:name="_Toc219399087"/>
      <w:r>
        <w:lastRenderedPageBreak/>
        <w:t>Executive Summary</w:t>
      </w:r>
      <w:bookmarkEnd w:id="0"/>
    </w:p>
    <w:p w14:paraId="3CA5BC8F" w14:textId="4C4BCCAA" w:rsidR="007C3122" w:rsidRDefault="007C3122" w:rsidP="007C3122">
      <w:pPr>
        <w:pStyle w:val="ListParagraph"/>
        <w:ind w:left="567" w:hanging="567"/>
      </w:pPr>
      <w:r w:rsidRPr="00003BDD">
        <w:t xml:space="preserve">On 28 October 2025, Community Health and Eyecare Ltd (CHEC) asked the Panel to advise on the </w:t>
      </w:r>
      <w:r>
        <w:t xml:space="preserve">provider </w:t>
      </w:r>
      <w:r w:rsidRPr="00003BDD">
        <w:t xml:space="preserve">selection </w:t>
      </w:r>
      <w:r>
        <w:t xml:space="preserve">process conducted </w:t>
      </w:r>
      <w:r w:rsidRPr="00003BDD">
        <w:t>by NHS Greater Manchester Integrated Care Board (NHS GM</w:t>
      </w:r>
      <w:r>
        <w:t xml:space="preserve"> or the ICB</w:t>
      </w:r>
      <w:r w:rsidRPr="00003BDD">
        <w:t xml:space="preserve">) for its </w:t>
      </w:r>
      <w:r>
        <w:t>c</w:t>
      </w:r>
      <w:r w:rsidRPr="00003BDD">
        <w:t xml:space="preserve">ommunity </w:t>
      </w:r>
      <w:r>
        <w:t>d</w:t>
      </w:r>
      <w:r w:rsidRPr="00003BDD">
        <w:t xml:space="preserve">ermatology </w:t>
      </w:r>
      <w:r>
        <w:t>s</w:t>
      </w:r>
      <w:r w:rsidRPr="00003BDD">
        <w:t>ervice.</w:t>
      </w:r>
      <w:r>
        <w:t xml:space="preserve"> </w:t>
      </w:r>
      <w:r w:rsidRPr="00CC0B15">
        <w:t>The Panel accepted CHEC’s request on 3 November 2025 in accordance with its case acceptance criteria.</w:t>
      </w:r>
    </w:p>
    <w:p w14:paraId="78AAB092" w14:textId="528E8F86" w:rsidR="00C354FB" w:rsidRDefault="00C354FB" w:rsidP="007C3122">
      <w:pPr>
        <w:pStyle w:val="ListParagraph"/>
        <w:ind w:left="567" w:hanging="567"/>
      </w:pPr>
      <w:r w:rsidRPr="00B12A4B">
        <w:t>Community dermatology services in Greater Manchester are currently available in seven out of ten localities, with five of these delivered by Independent Sector providers and two by NHS acute providers. Levels of service provision differ in the seven localities where community dermatology services are available, resulting in uneven access to dermatology services across Greater Manchester.</w:t>
      </w:r>
      <w:r w:rsidRPr="00B12A4B">
        <w:rPr>
          <w:vertAlign w:val="superscript"/>
        </w:rPr>
        <w:t xml:space="preserve"> </w:t>
      </w:r>
      <w:r w:rsidRPr="00B12A4B">
        <w:t>The remaining three localities do not have a</w:t>
      </w:r>
      <w:r w:rsidR="00374229">
        <w:t>n identifiable</w:t>
      </w:r>
      <w:r w:rsidRPr="00B12A4B">
        <w:t xml:space="preserve"> community dermatology service.</w:t>
      </w:r>
    </w:p>
    <w:p w14:paraId="53E70431" w14:textId="2D464512" w:rsidR="007C3122" w:rsidRDefault="007C3122" w:rsidP="007C3122">
      <w:pPr>
        <w:pStyle w:val="ListParagraph"/>
        <w:ind w:left="567" w:hanging="567"/>
      </w:pPr>
      <w:r w:rsidRPr="00577AA4">
        <w:t>NHS GM</w:t>
      </w:r>
      <w:r>
        <w:t xml:space="preserve"> is in the process of implementing a new service design for community dermatology services that will improve patient access, reduce demand on secondary care and improve workforce management. All patients in Greater Manchester will have access to a community dermatology service that offers </w:t>
      </w:r>
      <w:r w:rsidRPr="00577AA4">
        <w:t>assessment, diagnosis and treatment for a range of skin conditions</w:t>
      </w:r>
      <w:r>
        <w:t xml:space="preserve">, with </w:t>
      </w:r>
      <w:r w:rsidRPr="00577AA4">
        <w:t xml:space="preserve">a single point of access </w:t>
      </w:r>
      <w:r>
        <w:t>via</w:t>
      </w:r>
      <w:r w:rsidRPr="00577AA4">
        <w:t xml:space="preserve"> primary care.</w:t>
      </w:r>
    </w:p>
    <w:p w14:paraId="5E6FEFB6" w14:textId="65AD4391" w:rsidR="007C3122" w:rsidRPr="00577AA4" w:rsidRDefault="007C3122" w:rsidP="007C3122">
      <w:pPr>
        <w:pStyle w:val="ListParagraph"/>
        <w:ind w:left="567" w:hanging="567"/>
      </w:pPr>
      <w:r w:rsidRPr="00577AA4">
        <w:t xml:space="preserve">On 7 January 2025, NHS GM </w:t>
      </w:r>
      <w:r>
        <w:t>began</w:t>
      </w:r>
      <w:r w:rsidRPr="00577AA4">
        <w:t xml:space="preserve"> a competitive process </w:t>
      </w:r>
      <w:r>
        <w:t xml:space="preserve">under the PSR regulations </w:t>
      </w:r>
      <w:r w:rsidRPr="00577AA4">
        <w:t>to select provider</w:t>
      </w:r>
      <w:r>
        <w:t>s</w:t>
      </w:r>
      <w:r w:rsidRPr="00577AA4">
        <w:t xml:space="preserve"> </w:t>
      </w:r>
      <w:r>
        <w:t xml:space="preserve">for the </w:t>
      </w:r>
      <w:r w:rsidRPr="00577AA4">
        <w:t>community dermatology service</w:t>
      </w:r>
      <w:r>
        <w:t>. T</w:t>
      </w:r>
      <w:r w:rsidRPr="00577AA4">
        <w:t xml:space="preserve">he procurement </w:t>
      </w:r>
      <w:r>
        <w:t xml:space="preserve">was </w:t>
      </w:r>
      <w:r w:rsidRPr="00577AA4">
        <w:t xml:space="preserve">divided into five </w:t>
      </w:r>
      <w:r>
        <w:t>lots, each serving a different area of Greater Manchester</w:t>
      </w:r>
      <w:r w:rsidRPr="00577AA4">
        <w:t xml:space="preserve">. The contract </w:t>
      </w:r>
      <w:r>
        <w:t xml:space="preserve">for each lot has a </w:t>
      </w:r>
      <w:r w:rsidRPr="00577AA4">
        <w:t>three year</w:t>
      </w:r>
      <w:r>
        <w:t xml:space="preserve"> duration</w:t>
      </w:r>
      <w:r w:rsidRPr="00577AA4">
        <w:t xml:space="preserve"> with </w:t>
      </w:r>
      <w:r>
        <w:t xml:space="preserve">the option of </w:t>
      </w:r>
      <w:r w:rsidRPr="00577AA4">
        <w:t>a two</w:t>
      </w:r>
      <w:r>
        <w:t xml:space="preserve"> </w:t>
      </w:r>
      <w:r w:rsidRPr="00577AA4">
        <w:t>year extension</w:t>
      </w:r>
      <w:r>
        <w:t xml:space="preserve">. The </w:t>
      </w:r>
      <w:r w:rsidRPr="00577AA4">
        <w:t xml:space="preserve">intended start </w:t>
      </w:r>
      <w:r>
        <w:t xml:space="preserve">date for the contracts was </w:t>
      </w:r>
      <w:r w:rsidRPr="00577AA4">
        <w:t>August 2025</w:t>
      </w:r>
      <w:r>
        <w:t xml:space="preserve">, and their </w:t>
      </w:r>
      <w:r w:rsidRPr="00577AA4">
        <w:t xml:space="preserve">combined total value </w:t>
      </w:r>
      <w:r>
        <w:t xml:space="preserve">is </w:t>
      </w:r>
      <w:r w:rsidRPr="00577AA4">
        <w:t>approximately £44.3</w:t>
      </w:r>
      <w:r>
        <w:t xml:space="preserve"> </w:t>
      </w:r>
      <w:r w:rsidRPr="00577AA4">
        <w:t>m</w:t>
      </w:r>
      <w:r>
        <w:t>illion</w:t>
      </w:r>
      <w:r w:rsidRPr="00577AA4">
        <w:t xml:space="preserve"> (excluding VAT).</w:t>
      </w:r>
    </w:p>
    <w:p w14:paraId="074BF210" w14:textId="4A934B05" w:rsidR="007C3122" w:rsidRPr="0049467C" w:rsidRDefault="007C3122" w:rsidP="007C3122">
      <w:pPr>
        <w:pStyle w:val="ListParagraph"/>
        <w:ind w:left="567" w:hanging="567"/>
      </w:pPr>
      <w:r>
        <w:t xml:space="preserve">The deadline for proposals was 28 February 2025, and bids were received from ten providers, each </w:t>
      </w:r>
      <w:r w:rsidRPr="0049467C">
        <w:t xml:space="preserve">bidding for one or </w:t>
      </w:r>
      <w:r>
        <w:t>more</w:t>
      </w:r>
      <w:r w:rsidRPr="0049467C">
        <w:t xml:space="preserve"> lots. Evaluation took place between 10</w:t>
      </w:r>
      <w:r>
        <w:t> </w:t>
      </w:r>
      <w:r w:rsidRPr="0049467C">
        <w:t>March and 9</w:t>
      </w:r>
      <w:r>
        <w:t> </w:t>
      </w:r>
      <w:r w:rsidRPr="0049467C">
        <w:t>May</w:t>
      </w:r>
      <w:r>
        <w:t>, and a contract award recommendation was ready for approval by 29 May</w:t>
      </w:r>
      <w:r w:rsidRPr="0049467C">
        <w:t xml:space="preserve">. </w:t>
      </w:r>
      <w:r w:rsidRPr="00B22320">
        <w:t xml:space="preserve">About Health </w:t>
      </w:r>
      <w:r>
        <w:t xml:space="preserve">Limited (About Health) </w:t>
      </w:r>
      <w:r w:rsidRPr="00B22320">
        <w:t xml:space="preserve">was ranked first for all </w:t>
      </w:r>
      <w:r>
        <w:t xml:space="preserve">five </w:t>
      </w:r>
      <w:r w:rsidRPr="00B22320">
        <w:t xml:space="preserve">lots, </w:t>
      </w:r>
      <w:r>
        <w:t xml:space="preserve">scoring 82% </w:t>
      </w:r>
      <w:r w:rsidR="000255C3">
        <w:t>for</w:t>
      </w:r>
      <w:r>
        <w:t xml:space="preserve"> Lot 2 and 80% </w:t>
      </w:r>
      <w:r w:rsidR="000255C3">
        <w:t>for</w:t>
      </w:r>
      <w:r>
        <w:t xml:space="preserve"> the remaining lots. </w:t>
      </w:r>
      <w:r w:rsidRPr="00B22320">
        <w:t xml:space="preserve">CHEC </w:t>
      </w:r>
      <w:r>
        <w:t xml:space="preserve">was </w:t>
      </w:r>
      <w:r w:rsidRPr="00B22320">
        <w:t xml:space="preserve">ranked third for all </w:t>
      </w:r>
      <w:r>
        <w:t xml:space="preserve">five </w:t>
      </w:r>
      <w:r w:rsidRPr="00B22320">
        <w:t>lot</w:t>
      </w:r>
      <w:r>
        <w:t>s, scoring 70.75% for each lot</w:t>
      </w:r>
      <w:r w:rsidRPr="00B22320">
        <w:t>.</w:t>
      </w:r>
    </w:p>
    <w:p w14:paraId="0553398E" w14:textId="0B652053" w:rsidR="007C3122" w:rsidRDefault="007C3122" w:rsidP="007C3122">
      <w:pPr>
        <w:pStyle w:val="ListParagraph"/>
        <w:ind w:left="567" w:hanging="567"/>
      </w:pPr>
      <w:r>
        <w:t xml:space="preserve">On 4 June 2025, before the contract award decision was approved, About Health notified </w:t>
      </w:r>
      <w:r w:rsidRPr="00FA3C0B">
        <w:t>NHS GM’s contracting team</w:t>
      </w:r>
      <w:r>
        <w:t xml:space="preserve"> of an imminent change to its ownership, namely that About Health would be acquired from its then parent company, Totally plc</w:t>
      </w:r>
      <w:r w:rsidR="002C6018">
        <w:t xml:space="preserve"> (Totally)</w:t>
      </w:r>
      <w:r>
        <w:t>, by PHL Group</w:t>
      </w:r>
      <w:r w:rsidR="002C6018">
        <w:t xml:space="preserve"> (PHL)</w:t>
      </w:r>
      <w:r>
        <w:t>.</w:t>
      </w:r>
      <w:r w:rsidR="0059077C">
        <w:t xml:space="preserve"> </w:t>
      </w:r>
      <w:r>
        <w:t>On 5 June 2025, NHS GM’s contracting team informed colleagues on the team overseeing the provider selection process for the community dermatology service of About Health’s imminent change in ownership.</w:t>
      </w:r>
    </w:p>
    <w:p w14:paraId="64D39FF3" w14:textId="38D0AFA6" w:rsidR="007C3122" w:rsidRDefault="007C3122" w:rsidP="007C3122">
      <w:pPr>
        <w:pStyle w:val="ListParagraph"/>
        <w:ind w:left="567" w:hanging="567"/>
      </w:pPr>
      <w:r>
        <w:t xml:space="preserve">NHS GM concluded, on 6 June 2025, that About Health’s proposal was a standalone bid (i.e. separate from its parent company) and the change in </w:t>
      </w:r>
      <w:r w:rsidR="002B0DBD">
        <w:t>its</w:t>
      </w:r>
      <w:r>
        <w:t xml:space="preserve"> ownership did not affect the outcome of the provider selection process. It decided that, as a result, no further action was required at that time and</w:t>
      </w:r>
      <w:r w:rsidRPr="00516B66">
        <w:t xml:space="preserve"> “any clarifications would be carried out during the due diligence process”.</w:t>
      </w:r>
    </w:p>
    <w:p w14:paraId="25AC234B" w14:textId="3749E3E4" w:rsidR="007C3122" w:rsidRDefault="007C3122" w:rsidP="007C3122">
      <w:pPr>
        <w:pStyle w:val="ListParagraph"/>
        <w:ind w:left="567" w:hanging="567"/>
      </w:pPr>
      <w:r>
        <w:t xml:space="preserve">PHL completed its acquisition of About Health (and three other Totally trading subsidiaries) on 8 June 2025. Approximately two months later, on 12 August, NHS GM </w:t>
      </w:r>
      <w:r>
        <w:lastRenderedPageBreak/>
        <w:t xml:space="preserve">published an intention to award notice </w:t>
      </w:r>
      <w:r w:rsidRPr="0049467C">
        <w:t>announcing that About Health was the successful bidder for all five lots</w:t>
      </w:r>
      <w:r>
        <w:t>.</w:t>
      </w:r>
    </w:p>
    <w:p w14:paraId="179F82EF" w14:textId="2EC6C133" w:rsidR="007C3122" w:rsidRDefault="007C3122" w:rsidP="007C3122">
      <w:pPr>
        <w:pStyle w:val="ListParagraph"/>
        <w:ind w:left="567" w:hanging="567"/>
      </w:pPr>
      <w:r>
        <w:t>NHS GM commenced due diligence on About Health’s proposal on 12 August 2025.</w:t>
      </w:r>
      <w:r w:rsidR="006659F2">
        <w:t xml:space="preserve"> </w:t>
      </w:r>
      <w:r>
        <w:t>On 21 October 2025, NHS GM wrote to About Health saying that</w:t>
      </w:r>
      <w:r w:rsidR="00BF2DF3">
        <w:t>,</w:t>
      </w:r>
      <w:r>
        <w:t xml:space="preserve"> “following the conclusion of the standstill period and satisfactory completion of the ICB’s due diligence process”, NHS GM would be continuing with the contract award to About Health.</w:t>
      </w:r>
    </w:p>
    <w:p w14:paraId="2344FFF5" w14:textId="3C60B670" w:rsidR="007C3122" w:rsidRDefault="007C3122" w:rsidP="007C3122">
      <w:pPr>
        <w:pStyle w:val="ListParagraph"/>
        <w:ind w:left="567" w:hanging="567"/>
      </w:pPr>
      <w:r>
        <w:t xml:space="preserve">On 18 August 2025, before the end of the standstill period, CHEC raised concerns with NHS GM, and requested information, about the provider selection process. NHS GM </w:t>
      </w:r>
      <w:r w:rsidDel="009B29A8">
        <w:t xml:space="preserve">responded to CHEC’s </w:t>
      </w:r>
      <w:r w:rsidR="00BF2DF3">
        <w:t>information request</w:t>
      </w:r>
      <w:r>
        <w:t xml:space="preserve"> on 18 September.</w:t>
      </w:r>
      <w:r w:rsidR="00CA3E8D">
        <w:t xml:space="preserve"> </w:t>
      </w:r>
      <w:r>
        <w:t xml:space="preserve">On 25 September 2025, </w:t>
      </w:r>
      <w:r w:rsidRPr="00321BF5">
        <w:t>CHEC</w:t>
      </w:r>
      <w:r>
        <w:t xml:space="preserve"> </w:t>
      </w:r>
      <w:r w:rsidRPr="00321BF5">
        <w:t>made further representations</w:t>
      </w:r>
      <w:r>
        <w:t xml:space="preserve"> to NHS GM</w:t>
      </w:r>
      <w:r w:rsidRPr="00321BF5">
        <w:t xml:space="preserve">, </w:t>
      </w:r>
      <w:r>
        <w:t xml:space="preserve">based on NHS GM’s response to its </w:t>
      </w:r>
      <w:r w:rsidR="0093031A">
        <w:t>information request</w:t>
      </w:r>
      <w:r w:rsidRPr="00321BF5">
        <w:t xml:space="preserve">, and </w:t>
      </w:r>
      <w:r w:rsidR="0093031A">
        <w:t xml:space="preserve">also </w:t>
      </w:r>
      <w:r>
        <w:t>requested further information. CHEC followed up with another request for information on 9 October.</w:t>
      </w:r>
    </w:p>
    <w:p w14:paraId="291C1247" w14:textId="44937019" w:rsidR="007C3122" w:rsidRDefault="007C3122" w:rsidP="007C3122">
      <w:pPr>
        <w:pStyle w:val="ListParagraph"/>
        <w:ind w:left="567" w:hanging="567"/>
      </w:pPr>
      <w:r>
        <w:t>On 21 October 2025, NHS GM wrote to CHEC, setting out its response to CHEC’s representations of 18 August and 25 September and advising CHEC of its further decision to continue with the contract award to About Health.</w:t>
      </w:r>
    </w:p>
    <w:p w14:paraId="44ACFF3C" w14:textId="52219BC3" w:rsidR="00A519B8" w:rsidRPr="00EF5D1C" w:rsidRDefault="009E7DC1" w:rsidP="00A519B8">
      <w:pPr>
        <w:pStyle w:val="ListParagraph"/>
        <w:ind w:left="567" w:hanging="567"/>
        <w:contextualSpacing/>
      </w:pPr>
      <w:r>
        <w:t>This report sets out t</w:t>
      </w:r>
      <w:r w:rsidR="00A519B8" w:rsidRPr="00EF5D1C">
        <w:t xml:space="preserve">he Panel’s assessment of whether </w:t>
      </w:r>
      <w:r w:rsidR="00A519B8">
        <w:t>NHS GM, in conducting the provider selection process for its community dermatology service,</w:t>
      </w:r>
      <w:r w:rsidR="00A519B8" w:rsidRPr="00EF5D1C">
        <w:t xml:space="preserve"> </w:t>
      </w:r>
      <w:r w:rsidR="00A519B8">
        <w:t>breached</w:t>
      </w:r>
      <w:r w:rsidR="00A519B8" w:rsidRPr="00EF5D1C">
        <w:t xml:space="preserve"> the PSR regulations:</w:t>
      </w:r>
    </w:p>
    <w:p w14:paraId="3BC86AC0" w14:textId="7A48326C" w:rsidR="00A519B8" w:rsidRDefault="00A519B8" w:rsidP="00A519B8">
      <w:pPr>
        <w:pStyle w:val="ListParagraph"/>
        <w:numPr>
          <w:ilvl w:val="0"/>
          <w:numId w:val="10"/>
        </w:numPr>
        <w:ind w:left="1077" w:hanging="357"/>
        <w:contextualSpacing/>
      </w:pPr>
      <w:r>
        <w:t xml:space="preserve">first, </w:t>
      </w:r>
      <w:r w:rsidR="00560566">
        <w:t>when</w:t>
      </w:r>
      <w:r>
        <w:t xml:space="preserve"> assessing the effect of About Health’s change in ownership on the provider selection process; and</w:t>
      </w:r>
    </w:p>
    <w:p w14:paraId="12B42C4F" w14:textId="7FDCA6F2" w:rsidR="00A519B8" w:rsidRDefault="00A519B8" w:rsidP="00A8730B">
      <w:pPr>
        <w:pStyle w:val="ListParagraph"/>
        <w:numPr>
          <w:ilvl w:val="0"/>
          <w:numId w:val="10"/>
        </w:numPr>
        <w:ind w:left="1077" w:hanging="357"/>
      </w:pPr>
      <w:r>
        <w:t xml:space="preserve">second, </w:t>
      </w:r>
      <w:r w:rsidR="00560566">
        <w:t xml:space="preserve">when </w:t>
      </w:r>
      <w:r>
        <w:t>responding to CHEC’s representations and requests for information.</w:t>
      </w:r>
    </w:p>
    <w:p w14:paraId="03277AD6" w14:textId="35575850" w:rsidR="004D1D78" w:rsidRDefault="004D1D78" w:rsidP="00A8730B">
      <w:pPr>
        <w:pStyle w:val="ListParagraph"/>
        <w:spacing w:after="120"/>
        <w:ind w:left="567" w:hanging="567"/>
      </w:pPr>
      <w:r>
        <w:t>The Panel’s findings are as follows:</w:t>
      </w:r>
    </w:p>
    <w:p w14:paraId="1CA0058A" w14:textId="77777777" w:rsidR="004D1D78" w:rsidRPr="00EA773C" w:rsidRDefault="004D1D78" w:rsidP="00A8730B">
      <w:pPr>
        <w:pStyle w:val="ListParagraph"/>
        <w:numPr>
          <w:ilvl w:val="0"/>
          <w:numId w:val="11"/>
        </w:numPr>
        <w:spacing w:after="120"/>
      </w:pPr>
      <w:r w:rsidRPr="00EA773C">
        <w:t xml:space="preserve">First, the Panel finds </w:t>
      </w:r>
      <w:r>
        <w:t>that NHS GM, in announcing About Health as the successful bidder without assuring itself that its selection remained valid following About Health’s change in ownership, breached the PSR regulations and in particular the obligation to act fairly.</w:t>
      </w:r>
    </w:p>
    <w:p w14:paraId="42012F8A" w14:textId="08384BF1" w:rsidR="004D1D78" w:rsidRDefault="004D1D78" w:rsidP="00A8730B">
      <w:pPr>
        <w:pStyle w:val="ListParagraph"/>
        <w:numPr>
          <w:ilvl w:val="0"/>
          <w:numId w:val="39"/>
        </w:numPr>
        <w:tabs>
          <w:tab w:val="clear" w:pos="720"/>
        </w:tabs>
        <w:spacing w:after="120"/>
        <w:ind w:left="1134" w:hanging="425"/>
      </w:pPr>
      <w:r w:rsidRPr="00EA773C">
        <w:t xml:space="preserve">Second, </w:t>
      </w:r>
      <w:r>
        <w:t>the Panel finds that NHS GM, in responding to CHEC’s information request of 25 September 2025</w:t>
      </w:r>
      <w:r w:rsidR="00EF3076">
        <w:t xml:space="preserve"> at the same time as advising CHEC of its further decision</w:t>
      </w:r>
      <w:r>
        <w:t>, breached its obligations under Regulation 12(4)(a) to “ensure each provider who made representations is afforded such further opportunity to explain or clarify the representations made as the relevant authority considers appropriate”.</w:t>
      </w:r>
    </w:p>
    <w:p w14:paraId="428998A6" w14:textId="6EA3B53F" w:rsidR="004D1D78" w:rsidRDefault="004D1D78" w:rsidP="004D1D78">
      <w:pPr>
        <w:pStyle w:val="ListParagraph"/>
        <w:numPr>
          <w:ilvl w:val="0"/>
          <w:numId w:val="39"/>
        </w:numPr>
        <w:tabs>
          <w:tab w:val="clear" w:pos="720"/>
        </w:tabs>
        <w:ind w:left="1134" w:hanging="425"/>
      </w:pPr>
      <w:r>
        <w:t xml:space="preserve">Finally, the Panel finds that NHS GM, in </w:t>
      </w:r>
      <w:r w:rsidR="004C79D0">
        <w:t xml:space="preserve">refusing to </w:t>
      </w:r>
      <w:r>
        <w:t>respond to CHEC’s information request of 9 October 2025, breached the PSR regulations, and in particular Regulation 12(4)(b)</w:t>
      </w:r>
      <w:r w:rsidDel="008D1A88">
        <w:t xml:space="preserve">, which requires it to </w:t>
      </w:r>
      <w:r>
        <w:t>“provide promptly any information requested by an aggrieved provider where the relevant authority has a duty to record that information”.</w:t>
      </w:r>
    </w:p>
    <w:p w14:paraId="6D8FB3F5" w14:textId="77777777" w:rsidR="004D1D78" w:rsidRPr="00827969" w:rsidRDefault="004D1D78" w:rsidP="004D1D78">
      <w:pPr>
        <w:pStyle w:val="ListParagraph"/>
        <w:spacing w:after="120"/>
        <w:ind w:left="567" w:hanging="567"/>
        <w:contextualSpacing/>
      </w:pPr>
      <w:r w:rsidRPr="00827969">
        <w:t>Given these conclusions, three options are open to the Panel. The Panel may advise that:</w:t>
      </w:r>
    </w:p>
    <w:p w14:paraId="4D893CC4" w14:textId="285A2788" w:rsidR="004D1D78" w:rsidRPr="00827969" w:rsidRDefault="00F50D20" w:rsidP="004D1D78">
      <w:pPr>
        <w:pStyle w:val="ListParagraph"/>
        <w:numPr>
          <w:ilvl w:val="0"/>
          <w:numId w:val="12"/>
        </w:numPr>
        <w:contextualSpacing/>
      </w:pPr>
      <w:r>
        <w:t>t</w:t>
      </w:r>
      <w:r w:rsidR="004D1D78" w:rsidRPr="00827969">
        <w:t xml:space="preserve">he breaches had no material effect on </w:t>
      </w:r>
      <w:r w:rsidR="004D1D78">
        <w:t>NHS GM</w:t>
      </w:r>
      <w:r w:rsidR="004D1D78" w:rsidRPr="00827969">
        <w:t>’s selection of a provider and it should proceed with awarding the contract as originally intended;</w:t>
      </w:r>
    </w:p>
    <w:p w14:paraId="24ED142E" w14:textId="77777777" w:rsidR="004D1D78" w:rsidRPr="00827969" w:rsidRDefault="004D1D78" w:rsidP="004D1D78">
      <w:pPr>
        <w:pStyle w:val="ListParagraph"/>
        <w:numPr>
          <w:ilvl w:val="0"/>
          <w:numId w:val="12"/>
        </w:numPr>
        <w:contextualSpacing/>
      </w:pPr>
      <w:r>
        <w:lastRenderedPageBreak/>
        <w:t xml:space="preserve">NHS GM </w:t>
      </w:r>
      <w:r w:rsidRPr="00827969">
        <w:t>should return to an earlier step in the provider selection process to rectify the issues identified by the Panel; or</w:t>
      </w:r>
    </w:p>
    <w:p w14:paraId="362BEE8C" w14:textId="77777777" w:rsidR="004D1D78" w:rsidRPr="00827969" w:rsidRDefault="004D1D78" w:rsidP="004D1D78">
      <w:pPr>
        <w:pStyle w:val="ListParagraph"/>
        <w:numPr>
          <w:ilvl w:val="0"/>
          <w:numId w:val="12"/>
        </w:numPr>
      </w:pPr>
      <w:r>
        <w:t>NHS GM</w:t>
      </w:r>
      <w:r w:rsidRPr="00827969">
        <w:t xml:space="preserve"> should abandon the current provider selection process.</w:t>
      </w:r>
    </w:p>
    <w:p w14:paraId="4E6B2F6D" w14:textId="565AF95C" w:rsidR="004D1D78" w:rsidRDefault="004D1D78" w:rsidP="004D1D78">
      <w:pPr>
        <w:pStyle w:val="ListParagraph"/>
        <w:ind w:left="567" w:hanging="567"/>
      </w:pPr>
      <w:r w:rsidRPr="001E6347">
        <w:t xml:space="preserve">The Panel’s view is that the breaches </w:t>
      </w:r>
      <w:r w:rsidR="00E551A5">
        <w:t>it has</w:t>
      </w:r>
      <w:r w:rsidRPr="001E6347">
        <w:t xml:space="preserve"> identified may have had a material effect on NHS GM’s selection of a provider given that NHS GM could not be assured that its scores for About Health’s responses to the questions </w:t>
      </w:r>
      <w:r w:rsidR="00BB46B3">
        <w:t>for bidders</w:t>
      </w:r>
      <w:r w:rsidRPr="001E6347">
        <w:t xml:space="preserve"> were still valid following </w:t>
      </w:r>
      <w:r w:rsidR="00BB46B3">
        <w:t>About Health’s</w:t>
      </w:r>
      <w:r w:rsidRPr="001E6347">
        <w:t xml:space="preserve"> change in ownership, and that About Health continued to be the highest ranked bidder for the community dermatology services contracts.</w:t>
      </w:r>
    </w:p>
    <w:p w14:paraId="010735C7" w14:textId="7E6D7D4A" w:rsidR="004D1D78" w:rsidRDefault="004D1D78" w:rsidP="004D1D78">
      <w:pPr>
        <w:pStyle w:val="ListParagraph"/>
        <w:ind w:left="567" w:hanging="567"/>
      </w:pPr>
      <w:r>
        <w:t xml:space="preserve">As a result, the Panel’s advice is that NHS GM should return to an earlier step in the provider selection process to rectify the issues identified by the Panel. </w:t>
      </w:r>
      <w:r w:rsidR="00344C45" w:rsidRPr="00344C45">
        <w:t>Specifically, the Panel advises NHS GM to return to Step 3 of the competitive process (assessment of offers received). The Panel’s advice, however, is that, in doing so, NHS GM may confine its reassessment to the relevant elements of the offer received from About Health, after gathering sufficient information about the potential effect of About Health’s change in ownership on its proposal. NHS GM should then follow the subsequent steps of the competitive process.</w:t>
      </w:r>
    </w:p>
    <w:p w14:paraId="732964EA" w14:textId="68B62B51" w:rsidR="007A47C8" w:rsidRDefault="007A47C8" w:rsidP="00CE17B6">
      <w:pPr>
        <w:pStyle w:val="Heading1"/>
      </w:pPr>
      <w:bookmarkStart w:id="1" w:name="_Toc219399088"/>
      <w:r>
        <w:t>Introduction</w:t>
      </w:r>
      <w:bookmarkEnd w:id="1"/>
    </w:p>
    <w:p w14:paraId="3D9419D3" w14:textId="6E9572D6" w:rsidR="00003BDD" w:rsidRPr="00003BDD" w:rsidRDefault="00003BDD" w:rsidP="00780A51">
      <w:pPr>
        <w:pStyle w:val="ListParagraph"/>
        <w:ind w:left="567" w:hanging="567"/>
      </w:pPr>
      <w:r w:rsidRPr="00003BDD">
        <w:t>On 28 October 2025, Community Health and Eyecare Ltd (CHEC)</w:t>
      </w:r>
      <w:r w:rsidR="007A2659">
        <w:rPr>
          <w:rStyle w:val="FootnoteReference"/>
        </w:rPr>
        <w:footnoteReference w:id="2"/>
      </w:r>
      <w:r w:rsidRPr="00003BDD">
        <w:t xml:space="preserve"> asked the Panel to advise on the </w:t>
      </w:r>
      <w:r w:rsidR="00ED7174">
        <w:t xml:space="preserve">provider </w:t>
      </w:r>
      <w:r w:rsidRPr="00003BDD">
        <w:t xml:space="preserve">selection </w:t>
      </w:r>
      <w:r w:rsidR="00ED7174">
        <w:t xml:space="preserve">process conducted </w:t>
      </w:r>
      <w:r w:rsidRPr="00003BDD">
        <w:t>by NHS Greater Manchester Integrated Care Board (NHS GM</w:t>
      </w:r>
      <w:r w:rsidR="00A73FD3">
        <w:t xml:space="preserve"> or the ICB</w:t>
      </w:r>
      <w:r w:rsidRPr="00003BDD">
        <w:t xml:space="preserve">) for its </w:t>
      </w:r>
      <w:r w:rsidR="003216FC">
        <w:t>c</w:t>
      </w:r>
      <w:r w:rsidRPr="00003BDD">
        <w:t xml:space="preserve">ommunity </w:t>
      </w:r>
      <w:r w:rsidR="003216FC">
        <w:t>d</w:t>
      </w:r>
      <w:r w:rsidRPr="00003BDD">
        <w:t xml:space="preserve">ermatology </w:t>
      </w:r>
      <w:r w:rsidR="003216FC">
        <w:t>s</w:t>
      </w:r>
      <w:r w:rsidRPr="00003BDD">
        <w:t>ervice.</w:t>
      </w:r>
      <w:r w:rsidR="008B4F5C">
        <w:rPr>
          <w:rStyle w:val="FootnoteReference"/>
        </w:rPr>
        <w:footnoteReference w:id="3"/>
      </w:r>
    </w:p>
    <w:p w14:paraId="3FDA7BCC" w14:textId="2E7B11AD" w:rsidR="00CC0B15" w:rsidRPr="00CC0B15" w:rsidRDefault="00CC0B15" w:rsidP="00780A51">
      <w:pPr>
        <w:pStyle w:val="ListParagraph"/>
        <w:ind w:left="567" w:hanging="567"/>
      </w:pPr>
      <w:r w:rsidRPr="00CC0B15">
        <w:t>The Panel accepted CHEC’s request on 3 November 2025 in accordance with its case acceptance criteria. These criteria set out both eligibility requirements and the prioritisation criteria the Panel will apply when approaching full caseload capacity.</w:t>
      </w:r>
      <w:r w:rsidR="00D552EE">
        <w:rPr>
          <w:rStyle w:val="FootnoteReference"/>
        </w:rPr>
        <w:footnoteReference w:id="4"/>
      </w:r>
      <w:r w:rsidRPr="00CC0B15">
        <w:t xml:space="preserve"> CHEC’s request met the eligibility requirements, and as the Panel was approaching full capacity, the request was also considered against the prioritisation criteria. The Panel </w:t>
      </w:r>
      <w:r w:rsidR="00C66B36">
        <w:t>noted</w:t>
      </w:r>
      <w:r w:rsidRPr="00054743">
        <w:t xml:space="preserve"> that </w:t>
      </w:r>
      <w:r w:rsidR="0007572D" w:rsidRPr="00054743">
        <w:t>the case raise</w:t>
      </w:r>
      <w:r w:rsidR="00054743" w:rsidRPr="00054743">
        <w:t>d</w:t>
      </w:r>
      <w:r w:rsidR="0007572D" w:rsidRPr="00054743">
        <w:t xml:space="preserve"> issues </w:t>
      </w:r>
      <w:r w:rsidR="00276F76">
        <w:t>where the Panel’s views</w:t>
      </w:r>
      <w:r w:rsidR="00A248DA">
        <w:t xml:space="preserve"> </w:t>
      </w:r>
      <w:r w:rsidR="0007572D" w:rsidRPr="00054743">
        <w:t>could potentially assist</w:t>
      </w:r>
      <w:r w:rsidR="00570C23">
        <w:t xml:space="preserve"> in </w:t>
      </w:r>
      <w:r w:rsidR="0007572D" w:rsidRPr="00054743">
        <w:t>interpret</w:t>
      </w:r>
      <w:r w:rsidR="00570C23">
        <w:t xml:space="preserve">ing </w:t>
      </w:r>
      <w:r w:rsidR="0007572D" w:rsidRPr="00054743">
        <w:t xml:space="preserve">the PSR </w:t>
      </w:r>
      <w:r w:rsidR="00570C23">
        <w:t>regulations</w:t>
      </w:r>
      <w:r w:rsidR="002F043E">
        <w:t xml:space="preserve">, namely </w:t>
      </w:r>
      <w:r w:rsidR="002F043E" w:rsidRPr="00054743">
        <w:t xml:space="preserve">around </w:t>
      </w:r>
      <w:r w:rsidR="002F043E">
        <w:t xml:space="preserve">a </w:t>
      </w:r>
      <w:r w:rsidR="002F043E" w:rsidRPr="00054743">
        <w:t>change of ownership for a successful bidder</w:t>
      </w:r>
      <w:r w:rsidR="0007572D" w:rsidRPr="00054743">
        <w:t>.</w:t>
      </w:r>
      <w:r w:rsidRPr="00054743">
        <w:t xml:space="preserve"> As a</w:t>
      </w:r>
      <w:r w:rsidRPr="00CC0B15">
        <w:t xml:space="preserve"> result, the case was accepted for review.</w:t>
      </w:r>
    </w:p>
    <w:p w14:paraId="70F9733F" w14:textId="0E1842AA" w:rsidR="000D1372" w:rsidRPr="000D1372" w:rsidRDefault="000D1372" w:rsidP="00780A51">
      <w:pPr>
        <w:pStyle w:val="ListParagraph"/>
        <w:ind w:left="567" w:hanging="567"/>
        <w:contextualSpacing/>
      </w:pPr>
      <w:r w:rsidRPr="000D1372">
        <w:t xml:space="preserve">The Panel’s Chair appointed </w:t>
      </w:r>
      <w:r w:rsidR="00207271">
        <w:t xml:space="preserve">the following </w:t>
      </w:r>
      <w:r w:rsidRPr="000D1372">
        <w:t xml:space="preserve">three members to a Case Panel for this </w:t>
      </w:r>
      <w:r w:rsidR="00F66AC3">
        <w:t>review</w:t>
      </w:r>
      <w:r w:rsidRPr="000D1372">
        <w:t>:</w:t>
      </w:r>
    </w:p>
    <w:p w14:paraId="420940C1" w14:textId="2BC00755" w:rsidR="007A47C8" w:rsidRDefault="000D1372" w:rsidP="00F6120E">
      <w:pPr>
        <w:pStyle w:val="ListParagraph"/>
        <w:numPr>
          <w:ilvl w:val="0"/>
          <w:numId w:val="8"/>
        </w:numPr>
        <w:ind w:left="1077" w:hanging="357"/>
        <w:contextualSpacing/>
      </w:pPr>
      <w:r>
        <w:t>Andrew Taylor, Panel Chair;</w:t>
      </w:r>
    </w:p>
    <w:p w14:paraId="7ABC8EAD" w14:textId="220C54D2" w:rsidR="000D1372" w:rsidRDefault="000D1372" w:rsidP="00F6120E">
      <w:pPr>
        <w:pStyle w:val="ListParagraph"/>
        <w:numPr>
          <w:ilvl w:val="0"/>
          <w:numId w:val="8"/>
        </w:numPr>
        <w:ind w:left="1077" w:hanging="357"/>
        <w:contextualSpacing/>
      </w:pPr>
      <w:r>
        <w:t>Carole Begent, Case Panel Member; and</w:t>
      </w:r>
    </w:p>
    <w:p w14:paraId="3C46B451" w14:textId="432D5C4A" w:rsidR="000D1372" w:rsidRDefault="000D1372" w:rsidP="00F6120E">
      <w:pPr>
        <w:pStyle w:val="ListParagraph"/>
        <w:numPr>
          <w:ilvl w:val="0"/>
          <w:numId w:val="8"/>
        </w:numPr>
        <w:ind w:left="1077" w:hanging="357"/>
      </w:pPr>
      <w:r>
        <w:t>Alison Tonge</w:t>
      </w:r>
      <w:r w:rsidR="00967F7B">
        <w:t>, Case Panel Member.</w:t>
      </w:r>
      <w:r w:rsidR="009640E5">
        <w:rPr>
          <w:rStyle w:val="FootnoteReference"/>
        </w:rPr>
        <w:footnoteReference w:id="5"/>
      </w:r>
    </w:p>
    <w:p w14:paraId="77021CEF" w14:textId="22EA31D2" w:rsidR="00967F7B" w:rsidRDefault="00967F7B" w:rsidP="00780A51">
      <w:pPr>
        <w:pStyle w:val="ListParagraph"/>
        <w:ind w:left="567" w:hanging="567"/>
      </w:pPr>
      <w:r>
        <w:t xml:space="preserve">The Case </w:t>
      </w:r>
      <w:r w:rsidR="00C20E8A" w:rsidRPr="00C20E8A">
        <w:t>Panel’s review has been carried out in accordance with the Panel’s Standard Operating Procedures.</w:t>
      </w:r>
      <w:r w:rsidR="00250A56">
        <w:rPr>
          <w:rStyle w:val="FootnoteReference"/>
        </w:rPr>
        <w:footnoteReference w:id="6"/>
      </w:r>
    </w:p>
    <w:p w14:paraId="02EA6CD6" w14:textId="5A2F48F2" w:rsidR="00D552EE" w:rsidRDefault="0050651B" w:rsidP="00780A51">
      <w:pPr>
        <w:pStyle w:val="ListParagraph"/>
        <w:ind w:left="567" w:hanging="567"/>
        <w:contextualSpacing/>
      </w:pPr>
      <w:r w:rsidRPr="0050651B">
        <w:lastRenderedPageBreak/>
        <w:t>This report provides the Panel’s assessment and advice to NHS GM and is set out as follows:</w:t>
      </w:r>
    </w:p>
    <w:p w14:paraId="4D62B834" w14:textId="77777777" w:rsidR="00022A45" w:rsidRDefault="00022A45" w:rsidP="00F6120E">
      <w:pPr>
        <w:pStyle w:val="ListParagraph"/>
        <w:numPr>
          <w:ilvl w:val="0"/>
          <w:numId w:val="9"/>
        </w:numPr>
        <w:ind w:left="1077" w:hanging="357"/>
        <w:contextualSpacing/>
      </w:pPr>
      <w:r>
        <w:t>Section 3 briefly describes the role of the Panel;</w:t>
      </w:r>
    </w:p>
    <w:p w14:paraId="5F41839F" w14:textId="42806664" w:rsidR="00022A45" w:rsidRDefault="00022A45" w:rsidP="00F6120E">
      <w:pPr>
        <w:pStyle w:val="ListParagraph"/>
        <w:numPr>
          <w:ilvl w:val="0"/>
          <w:numId w:val="9"/>
        </w:numPr>
        <w:ind w:left="1077" w:hanging="357"/>
        <w:contextualSpacing/>
      </w:pPr>
      <w:r>
        <w:t xml:space="preserve">Section 4 sets out the background to the Panel’s review, including the events leading up to, and including, the </w:t>
      </w:r>
      <w:r w:rsidR="00801D03">
        <w:t xml:space="preserve">provider </w:t>
      </w:r>
      <w:r>
        <w:t xml:space="preserve">selection </w:t>
      </w:r>
      <w:r w:rsidR="00801D03">
        <w:t>process</w:t>
      </w:r>
      <w:r>
        <w:t>;</w:t>
      </w:r>
    </w:p>
    <w:p w14:paraId="6F6357B4" w14:textId="77777777" w:rsidR="00022A45" w:rsidRDefault="00022A45" w:rsidP="00F6120E">
      <w:pPr>
        <w:pStyle w:val="ListParagraph"/>
        <w:numPr>
          <w:ilvl w:val="0"/>
          <w:numId w:val="9"/>
        </w:numPr>
        <w:ind w:left="1077" w:hanging="357"/>
        <w:contextualSpacing/>
      </w:pPr>
      <w:r>
        <w:t>Section 5 sets out the concerns raised by CHEC;</w:t>
      </w:r>
    </w:p>
    <w:p w14:paraId="512898A3" w14:textId="293E11F3" w:rsidR="00022A45" w:rsidRDefault="00022A45" w:rsidP="00F6120E">
      <w:pPr>
        <w:pStyle w:val="ListParagraph"/>
        <w:numPr>
          <w:ilvl w:val="0"/>
          <w:numId w:val="9"/>
        </w:numPr>
        <w:ind w:left="1077" w:hanging="357"/>
        <w:contextualSpacing/>
      </w:pPr>
      <w:r>
        <w:t>Section 6 summarise</w:t>
      </w:r>
      <w:r w:rsidR="00801D03">
        <w:t>s</w:t>
      </w:r>
      <w:r>
        <w:t xml:space="preserve"> the PSR regulations relevant to this review;</w:t>
      </w:r>
    </w:p>
    <w:p w14:paraId="1D7495FC" w14:textId="1F12167A" w:rsidR="00022A45" w:rsidRDefault="00022A45" w:rsidP="00F6120E">
      <w:pPr>
        <w:pStyle w:val="ListParagraph"/>
        <w:numPr>
          <w:ilvl w:val="0"/>
          <w:numId w:val="9"/>
        </w:numPr>
        <w:ind w:left="1077" w:hanging="357"/>
        <w:contextualSpacing/>
      </w:pPr>
      <w:r>
        <w:t xml:space="preserve">Section 7 sets out the </w:t>
      </w:r>
      <w:r w:rsidR="00D87FB2">
        <w:t xml:space="preserve">Panel’s assessment of the </w:t>
      </w:r>
      <w:r>
        <w:t>issues; and</w:t>
      </w:r>
    </w:p>
    <w:p w14:paraId="37517ADF" w14:textId="64AEED9E" w:rsidR="0050651B" w:rsidRDefault="00022A45" w:rsidP="00F6120E">
      <w:pPr>
        <w:pStyle w:val="ListParagraph"/>
        <w:numPr>
          <w:ilvl w:val="0"/>
          <w:numId w:val="9"/>
        </w:numPr>
        <w:ind w:left="1077" w:hanging="357"/>
      </w:pPr>
      <w:r>
        <w:t>Section 8 sets out the Panel’s advice to NHS GM</w:t>
      </w:r>
      <w:r w:rsidR="006D226F">
        <w:t>.</w:t>
      </w:r>
      <w:r w:rsidR="006D226F">
        <w:rPr>
          <w:rStyle w:val="FootnoteReference"/>
        </w:rPr>
        <w:footnoteReference w:id="7"/>
      </w:r>
    </w:p>
    <w:p w14:paraId="1677787D" w14:textId="0C994B66" w:rsidR="00F6120E" w:rsidRDefault="00F6120E" w:rsidP="00780A51">
      <w:pPr>
        <w:pStyle w:val="ListParagraph"/>
        <w:ind w:left="567" w:hanging="567"/>
      </w:pPr>
      <w:r>
        <w:t>The Panel thanks NHS GM and CHEC for their assistance and cooperation during this review.</w:t>
      </w:r>
    </w:p>
    <w:p w14:paraId="089261E1" w14:textId="5A5C4D4D" w:rsidR="00F6120E" w:rsidRDefault="00F6120E" w:rsidP="00CE17B6">
      <w:pPr>
        <w:pStyle w:val="Heading1"/>
      </w:pPr>
      <w:bookmarkStart w:id="2" w:name="_Toc219399089"/>
      <w:r>
        <w:t>Role of the Panel</w:t>
      </w:r>
      <w:bookmarkEnd w:id="2"/>
    </w:p>
    <w:p w14:paraId="39FA4F30" w14:textId="435EC959" w:rsidR="00F6120E" w:rsidRDefault="00524AF3" w:rsidP="00780A51">
      <w:pPr>
        <w:pStyle w:val="ListParagraph"/>
        <w:ind w:left="567" w:hanging="567"/>
      </w:pPr>
      <w:r w:rsidRPr="00524AF3">
        <w:t xml:space="preserve">The </w:t>
      </w:r>
      <w:r w:rsidR="007E1855" w:rsidRPr="00524AF3">
        <w:t xml:space="preserve">Provider Selection Regime </w:t>
      </w:r>
      <w:r w:rsidR="007E1855">
        <w:t xml:space="preserve">(PSR) </w:t>
      </w:r>
      <w:r w:rsidRPr="00524AF3">
        <w:t xml:space="preserve">regulations, issued under the Health and Care Act 2022, put into effect the Provider Selection Regime for NHS and local authority commissioning of health care services. The PSR regulations </w:t>
      </w:r>
      <w:r w:rsidR="00211804">
        <w:t xml:space="preserve">were adopted </w:t>
      </w:r>
      <w:r w:rsidRPr="00524AF3">
        <w:t>on 1</w:t>
      </w:r>
      <w:r w:rsidR="00211804">
        <w:t> </w:t>
      </w:r>
      <w:r w:rsidRPr="00524AF3">
        <w:t>January 2024, and give relevant authorities (i.e. commissioners) greater flexibility in the selection of providers of health care services</w:t>
      </w:r>
      <w:r w:rsidR="00CB41A4">
        <w:t>.</w:t>
      </w:r>
      <w:r w:rsidR="00CB41A4">
        <w:rPr>
          <w:rStyle w:val="FootnoteReference"/>
        </w:rPr>
        <w:footnoteReference w:id="8"/>
      </w:r>
    </w:p>
    <w:p w14:paraId="6C953FF0" w14:textId="77777777" w:rsidR="00253AE0" w:rsidRDefault="00253AE0" w:rsidP="00780A51">
      <w:pPr>
        <w:pStyle w:val="ListParagraph"/>
        <w:ind w:left="567" w:hanging="567"/>
      </w:pPr>
      <w:r>
        <w:t>The Panel’s role is to act as an independent review body where a provider has concerns about a commissioner’s provider selection decision. Panel reviews only take place following a commissioner’s review of its original decision.</w:t>
      </w:r>
    </w:p>
    <w:p w14:paraId="34C2C1BD" w14:textId="54661E47" w:rsidR="00253AE0" w:rsidRDefault="00253AE0" w:rsidP="00780A51">
      <w:pPr>
        <w:pStyle w:val="ListParagraph"/>
        <w:ind w:left="567" w:hanging="567"/>
      </w:pPr>
      <w:r>
        <w:t>For each review, the Panel’s assessment and advice is supplied to the commissioner and the potential provider that has requested the Panel’s review. It is also published on the Panel’s webpages. The commissioner is then responsible for reviewing its decision in light of the Panel’s advice.</w:t>
      </w:r>
    </w:p>
    <w:p w14:paraId="52B1E930" w14:textId="655D2775" w:rsidR="00BB7C58" w:rsidRDefault="00253AE0" w:rsidP="00CE17B6">
      <w:pPr>
        <w:pStyle w:val="Heading1"/>
      </w:pPr>
      <w:bookmarkStart w:id="3" w:name="_Toc219399090"/>
      <w:r>
        <w:t>Background to this review</w:t>
      </w:r>
      <w:bookmarkEnd w:id="3"/>
    </w:p>
    <w:p w14:paraId="4E1D2A46" w14:textId="610484DC" w:rsidR="00420E63" w:rsidRDefault="00420E63" w:rsidP="00780A51">
      <w:pPr>
        <w:pStyle w:val="ListParagraph"/>
        <w:ind w:left="567" w:hanging="567"/>
        <w:contextualSpacing/>
      </w:pPr>
      <w:r>
        <w:t>This section sets out the background to the Panel’s review</w:t>
      </w:r>
      <w:r w:rsidR="00F811FB">
        <w:t xml:space="preserve"> in three parts:</w:t>
      </w:r>
    </w:p>
    <w:p w14:paraId="48C5B9A1" w14:textId="59912D84" w:rsidR="00F811FB" w:rsidRDefault="000C082E" w:rsidP="00A10BA9">
      <w:pPr>
        <w:pStyle w:val="ListParagraph"/>
        <w:numPr>
          <w:ilvl w:val="0"/>
          <w:numId w:val="9"/>
        </w:numPr>
        <w:ind w:left="1077" w:hanging="357"/>
        <w:contextualSpacing/>
      </w:pPr>
      <w:r>
        <w:t xml:space="preserve">Section 4.1 provides </w:t>
      </w:r>
      <w:r w:rsidR="00995012">
        <w:t xml:space="preserve">an overview of </w:t>
      </w:r>
      <w:r w:rsidR="00F811FB">
        <w:t xml:space="preserve">NHS GM’s provider selection process for </w:t>
      </w:r>
      <w:r w:rsidR="0019018B">
        <w:t>its</w:t>
      </w:r>
      <w:r w:rsidR="00995012">
        <w:t xml:space="preserve"> </w:t>
      </w:r>
      <w:r w:rsidR="00F811FB">
        <w:t xml:space="preserve">community dermatology </w:t>
      </w:r>
      <w:r w:rsidR="00995012">
        <w:t>service</w:t>
      </w:r>
      <w:r>
        <w:t>;</w:t>
      </w:r>
    </w:p>
    <w:p w14:paraId="327F2186" w14:textId="17176270" w:rsidR="000C082E" w:rsidRDefault="000C082E" w:rsidP="00A10BA9">
      <w:pPr>
        <w:pStyle w:val="ListParagraph"/>
        <w:numPr>
          <w:ilvl w:val="0"/>
          <w:numId w:val="9"/>
        </w:numPr>
        <w:ind w:left="1077" w:hanging="357"/>
        <w:contextualSpacing/>
      </w:pPr>
      <w:r>
        <w:t>Section 4.2 outlines CHEC’s representation</w:t>
      </w:r>
      <w:r w:rsidR="00271BA9">
        <w:t>s</w:t>
      </w:r>
      <w:r>
        <w:t xml:space="preserve"> </w:t>
      </w:r>
      <w:r w:rsidR="00271BA9">
        <w:t xml:space="preserve">to NHS GM </w:t>
      </w:r>
      <w:r>
        <w:t xml:space="preserve">following </w:t>
      </w:r>
      <w:r w:rsidR="00674D22">
        <w:t>the ICB’s</w:t>
      </w:r>
      <w:r w:rsidR="00271BA9">
        <w:t xml:space="preserve"> </w:t>
      </w:r>
      <w:r w:rsidR="00716A3E">
        <w:t>announcement</w:t>
      </w:r>
      <w:r w:rsidR="007C082D">
        <w:t xml:space="preserve"> of the successful bidder; and</w:t>
      </w:r>
    </w:p>
    <w:p w14:paraId="4600EE7B" w14:textId="199AA508" w:rsidR="007C082D" w:rsidRDefault="007C082D" w:rsidP="00F811FB">
      <w:pPr>
        <w:pStyle w:val="ListParagraph"/>
        <w:numPr>
          <w:ilvl w:val="0"/>
          <w:numId w:val="9"/>
        </w:numPr>
      </w:pPr>
      <w:r>
        <w:t xml:space="preserve">Section 4.3 describes </w:t>
      </w:r>
      <w:r w:rsidR="00E33B0F">
        <w:t>NHS GM’s</w:t>
      </w:r>
      <w:r>
        <w:t xml:space="preserve"> due diligence </w:t>
      </w:r>
      <w:r w:rsidR="00452B9F">
        <w:t xml:space="preserve">exercise </w:t>
      </w:r>
      <w:r w:rsidR="002F736C">
        <w:t>in relation to</w:t>
      </w:r>
      <w:r w:rsidR="00E35F1B">
        <w:t xml:space="preserve"> </w:t>
      </w:r>
      <w:r w:rsidR="00E33B0F">
        <w:t xml:space="preserve">the </w:t>
      </w:r>
      <w:r w:rsidR="00A10BA9">
        <w:t>successful bidder</w:t>
      </w:r>
      <w:r w:rsidR="002F736C">
        <w:t>’s change in ownership</w:t>
      </w:r>
      <w:r w:rsidR="00A10BA9">
        <w:t>.</w:t>
      </w:r>
    </w:p>
    <w:p w14:paraId="4EC90383" w14:textId="421D230C" w:rsidR="003802EC" w:rsidRDefault="003802EC" w:rsidP="0071023E">
      <w:pPr>
        <w:pStyle w:val="Heading2"/>
        <w:spacing w:before="240" w:after="160" w:line="276" w:lineRule="auto"/>
      </w:pPr>
      <w:bookmarkStart w:id="4" w:name="_Toc219399091"/>
      <w:r>
        <w:t xml:space="preserve">4.1 </w:t>
      </w:r>
      <w:r w:rsidR="00825A89">
        <w:t>NHS GM’s</w:t>
      </w:r>
      <w:r w:rsidR="00921770">
        <w:t xml:space="preserve"> provider selection process for </w:t>
      </w:r>
      <w:r w:rsidR="00825A89">
        <w:t>the</w:t>
      </w:r>
      <w:r w:rsidR="00B26A47">
        <w:t xml:space="preserve"> </w:t>
      </w:r>
      <w:r w:rsidR="00921770">
        <w:t>community dermatology service</w:t>
      </w:r>
      <w:bookmarkEnd w:id="4"/>
    </w:p>
    <w:p w14:paraId="2E76AA77" w14:textId="5C8DAEB7" w:rsidR="00B013A5" w:rsidRDefault="002B2B22" w:rsidP="00700900">
      <w:pPr>
        <w:pStyle w:val="ListParagraph"/>
        <w:ind w:left="567" w:hanging="567"/>
      </w:pPr>
      <w:r>
        <w:t>Community dermatology services in Greater Manchester</w:t>
      </w:r>
      <w:r w:rsidR="002C1A24">
        <w:t xml:space="preserve"> </w:t>
      </w:r>
      <w:r w:rsidR="0070314F">
        <w:t xml:space="preserve">are currently </w:t>
      </w:r>
      <w:r w:rsidR="003140B3">
        <w:t xml:space="preserve">available </w:t>
      </w:r>
      <w:r w:rsidR="00AB22D5">
        <w:t xml:space="preserve">in </w:t>
      </w:r>
      <w:r w:rsidR="00B12A4B" w:rsidRPr="00B12A4B">
        <w:t>seven</w:t>
      </w:r>
      <w:r w:rsidR="009B2BC8">
        <w:t xml:space="preserve"> </w:t>
      </w:r>
      <w:r w:rsidR="004274B0">
        <w:t xml:space="preserve">out </w:t>
      </w:r>
      <w:r w:rsidR="006669F5">
        <w:t xml:space="preserve">of ten </w:t>
      </w:r>
      <w:r w:rsidR="009B2BC8">
        <w:t>localities</w:t>
      </w:r>
      <w:r w:rsidR="005909C7">
        <w:t xml:space="preserve">, </w:t>
      </w:r>
      <w:r w:rsidR="00B12A4B" w:rsidRPr="00B12A4B">
        <w:t xml:space="preserve">with five of these delivered by Independent Sector providers </w:t>
      </w:r>
      <w:r w:rsidR="00B12A4B" w:rsidRPr="00B12A4B">
        <w:lastRenderedPageBreak/>
        <w:t>and two by NHS acute providers.</w:t>
      </w:r>
      <w:r w:rsidR="00714532">
        <w:t xml:space="preserve"> </w:t>
      </w:r>
      <w:r w:rsidR="00FB73B0">
        <w:t>Levels of service provision differ i</w:t>
      </w:r>
      <w:r w:rsidR="00B3182D">
        <w:t xml:space="preserve">n the </w:t>
      </w:r>
      <w:r w:rsidR="00B12A4B" w:rsidRPr="00B12A4B">
        <w:t>seven</w:t>
      </w:r>
      <w:r w:rsidR="00B3182D">
        <w:t xml:space="preserve"> localities where community dermatology services are available, </w:t>
      </w:r>
      <w:r w:rsidR="00D04246">
        <w:t>resulting in uneven access to dermatology services across Greater Manchester</w:t>
      </w:r>
      <w:r w:rsidR="00B3182D">
        <w:t>.</w:t>
      </w:r>
      <w:r w:rsidR="00B12A4B" w:rsidRPr="00B12A4B">
        <w:rPr>
          <w:vertAlign w:val="superscript"/>
        </w:rPr>
        <w:t xml:space="preserve"> </w:t>
      </w:r>
      <w:r w:rsidR="00B12A4B" w:rsidRPr="00B12A4B">
        <w:t xml:space="preserve">The remaining three localities do not have </w:t>
      </w:r>
      <w:r w:rsidR="00374229" w:rsidRPr="00B12A4B">
        <w:t>a</w:t>
      </w:r>
      <w:r w:rsidR="00374229">
        <w:t>n identifiable</w:t>
      </w:r>
      <w:r w:rsidR="00374229" w:rsidRPr="00B12A4B">
        <w:t xml:space="preserve"> </w:t>
      </w:r>
      <w:r w:rsidR="00B12A4B" w:rsidRPr="00B12A4B">
        <w:t>community dermatology service.</w:t>
      </w:r>
      <w:r w:rsidR="001F4498">
        <w:rPr>
          <w:rStyle w:val="FootnoteReference"/>
        </w:rPr>
        <w:footnoteReference w:id="9"/>
      </w:r>
    </w:p>
    <w:p w14:paraId="26DC47FB" w14:textId="6679B9DA" w:rsidR="00BF740C" w:rsidRDefault="00B01C4F" w:rsidP="00700900">
      <w:pPr>
        <w:pStyle w:val="ListParagraph"/>
        <w:ind w:left="567" w:hanging="567"/>
      </w:pPr>
      <w:r w:rsidRPr="00577AA4">
        <w:t>NHS GM</w:t>
      </w:r>
      <w:r>
        <w:t xml:space="preserve"> is </w:t>
      </w:r>
      <w:r w:rsidR="005D0ABE">
        <w:t xml:space="preserve">in the process of </w:t>
      </w:r>
      <w:r>
        <w:t xml:space="preserve">implementing a new service design </w:t>
      </w:r>
      <w:r w:rsidR="00B96F86">
        <w:t xml:space="preserve">for community dermatology services </w:t>
      </w:r>
      <w:r>
        <w:t>t</w:t>
      </w:r>
      <w:r w:rsidR="00F30AC6">
        <w:t>hat will</w:t>
      </w:r>
      <w:r w:rsidR="00FC37BB">
        <w:t xml:space="preserve"> improve patient access</w:t>
      </w:r>
      <w:r w:rsidR="007E207F">
        <w:t>, reduc</w:t>
      </w:r>
      <w:r w:rsidR="00655218">
        <w:t>e</w:t>
      </w:r>
      <w:r w:rsidR="007E207F">
        <w:t xml:space="preserve"> demand on </w:t>
      </w:r>
      <w:r w:rsidR="00414FF1">
        <w:t xml:space="preserve">secondary care </w:t>
      </w:r>
      <w:r w:rsidR="00280196">
        <w:t xml:space="preserve">and </w:t>
      </w:r>
      <w:r w:rsidR="007E207F">
        <w:t>improv</w:t>
      </w:r>
      <w:r w:rsidR="00655218">
        <w:t>e</w:t>
      </w:r>
      <w:r w:rsidR="007E207F">
        <w:t xml:space="preserve"> </w:t>
      </w:r>
      <w:r w:rsidR="00B96F86">
        <w:t xml:space="preserve">workforce </w:t>
      </w:r>
      <w:r w:rsidR="00280196">
        <w:t>management</w:t>
      </w:r>
      <w:r w:rsidR="00A10915">
        <w:t xml:space="preserve">. </w:t>
      </w:r>
      <w:r w:rsidR="00C348BF">
        <w:t xml:space="preserve">All </w:t>
      </w:r>
      <w:r w:rsidR="008A1D2C">
        <w:t xml:space="preserve">patients </w:t>
      </w:r>
      <w:r w:rsidR="00C348BF">
        <w:t xml:space="preserve">in Greater Manchester </w:t>
      </w:r>
      <w:r w:rsidR="002F10DF">
        <w:t xml:space="preserve">will </w:t>
      </w:r>
      <w:r w:rsidR="00A2676F">
        <w:t xml:space="preserve">have </w:t>
      </w:r>
      <w:r w:rsidR="00BF740C">
        <w:t xml:space="preserve">access </w:t>
      </w:r>
      <w:r w:rsidR="00A2676F">
        <w:t xml:space="preserve">to </w:t>
      </w:r>
      <w:r w:rsidR="003A02FE">
        <w:t xml:space="preserve">a </w:t>
      </w:r>
      <w:r w:rsidR="00A10915">
        <w:t xml:space="preserve">community dermatology </w:t>
      </w:r>
      <w:r w:rsidR="00075E63">
        <w:t xml:space="preserve">service that </w:t>
      </w:r>
      <w:r w:rsidR="00472C53">
        <w:t>offer</w:t>
      </w:r>
      <w:r w:rsidR="003A02FE">
        <w:t>s</w:t>
      </w:r>
      <w:r w:rsidR="00472C53">
        <w:t xml:space="preserve"> </w:t>
      </w:r>
      <w:r w:rsidR="00075E63" w:rsidRPr="00577AA4">
        <w:t>assessment, diagnosis and treatment for a range of skin conditions</w:t>
      </w:r>
      <w:r w:rsidR="00075E63">
        <w:t xml:space="preserve">, </w:t>
      </w:r>
      <w:r w:rsidR="002740A4">
        <w:t>with</w:t>
      </w:r>
      <w:r w:rsidR="00075E63">
        <w:t xml:space="preserve"> </w:t>
      </w:r>
      <w:r w:rsidR="00075E63" w:rsidRPr="00577AA4">
        <w:t xml:space="preserve">a single point of access </w:t>
      </w:r>
      <w:r w:rsidR="00472C53">
        <w:t>via</w:t>
      </w:r>
      <w:r w:rsidR="00075E63" w:rsidRPr="00577AA4">
        <w:t xml:space="preserve"> primary care.</w:t>
      </w:r>
      <w:r w:rsidR="00075E63" w:rsidRPr="00577AA4">
        <w:rPr>
          <w:rStyle w:val="FootnoteReference"/>
        </w:rPr>
        <w:footnoteReference w:id="10"/>
      </w:r>
    </w:p>
    <w:p w14:paraId="1415C5BB" w14:textId="6E8689AB" w:rsidR="00233632" w:rsidRPr="001F3786" w:rsidRDefault="00472C53" w:rsidP="00700900">
      <w:pPr>
        <w:pStyle w:val="ListParagraph"/>
        <w:ind w:left="567" w:hanging="567"/>
      </w:pPr>
      <w:r>
        <w:t xml:space="preserve">On 16 August 2024, </w:t>
      </w:r>
      <w:r w:rsidR="00613BFC">
        <w:t xml:space="preserve">NHS GM </w:t>
      </w:r>
      <w:r w:rsidR="00245CD1">
        <w:t>launch</w:t>
      </w:r>
      <w:r w:rsidR="00C743EC">
        <w:t xml:space="preserve">ed </w:t>
      </w:r>
      <w:r w:rsidR="00613BFC">
        <w:t xml:space="preserve">a </w:t>
      </w:r>
      <w:r w:rsidR="007E73CA">
        <w:t>market engagement exercise</w:t>
      </w:r>
      <w:r w:rsidR="00C743EC">
        <w:t>, by way of a prior information notice,</w:t>
      </w:r>
      <w:r w:rsidR="007E73CA">
        <w:t xml:space="preserve"> </w:t>
      </w:r>
      <w:r w:rsidR="008C721B">
        <w:t xml:space="preserve">to inform its </w:t>
      </w:r>
      <w:r w:rsidR="0051043D">
        <w:t>provider selection process</w:t>
      </w:r>
      <w:r w:rsidR="008C721B">
        <w:t xml:space="preserve"> for the new </w:t>
      </w:r>
      <w:r w:rsidR="00C743EC">
        <w:t>community dermatology service.</w:t>
      </w:r>
      <w:r w:rsidR="008C721B">
        <w:t xml:space="preserve"> </w:t>
      </w:r>
      <w:r w:rsidR="00C743EC">
        <w:t>T</w:t>
      </w:r>
      <w:r w:rsidR="00980C68">
        <w:t>hirty providers express</w:t>
      </w:r>
      <w:r w:rsidR="008C721B">
        <w:t xml:space="preserve">ed </w:t>
      </w:r>
      <w:r w:rsidR="00980C68">
        <w:t>interest</w:t>
      </w:r>
      <w:r w:rsidR="00C743EC">
        <w:t xml:space="preserve"> in response to the notice</w:t>
      </w:r>
      <w:r w:rsidR="003259E9">
        <w:t>.</w:t>
      </w:r>
      <w:r w:rsidR="001F3786">
        <w:rPr>
          <w:rStyle w:val="FootnoteReference"/>
        </w:rPr>
        <w:footnoteReference w:id="11"/>
      </w:r>
    </w:p>
    <w:p w14:paraId="7112FDD0" w14:textId="30DE3BB2" w:rsidR="00835070" w:rsidRPr="00577AA4" w:rsidRDefault="00C0224A" w:rsidP="00700900">
      <w:pPr>
        <w:pStyle w:val="ListParagraph"/>
        <w:ind w:left="567" w:hanging="567"/>
      </w:pPr>
      <w:r w:rsidRPr="00577AA4">
        <w:t xml:space="preserve">On </w:t>
      </w:r>
      <w:r w:rsidR="00A40378" w:rsidRPr="00577AA4">
        <w:t>7 January 2025, NHS GM</w:t>
      </w:r>
      <w:r w:rsidRPr="00577AA4">
        <w:t xml:space="preserve"> </w:t>
      </w:r>
      <w:r w:rsidR="00006D02">
        <w:t>began</w:t>
      </w:r>
      <w:r w:rsidRPr="00577AA4">
        <w:t xml:space="preserve"> a competitive process </w:t>
      </w:r>
      <w:r w:rsidR="00006D02">
        <w:t xml:space="preserve">under the PSR regulations </w:t>
      </w:r>
      <w:r w:rsidRPr="00577AA4">
        <w:t>to select provider</w:t>
      </w:r>
      <w:r w:rsidR="00B02118">
        <w:t>s</w:t>
      </w:r>
      <w:r w:rsidRPr="00577AA4">
        <w:t xml:space="preserve"> </w:t>
      </w:r>
      <w:r w:rsidR="00C0322D">
        <w:t>for</w:t>
      </w:r>
      <w:r w:rsidR="00B02118">
        <w:t xml:space="preserve"> </w:t>
      </w:r>
      <w:r w:rsidR="008F4B58">
        <w:t xml:space="preserve">the </w:t>
      </w:r>
      <w:r w:rsidR="00A40378" w:rsidRPr="00577AA4">
        <w:t>community dermatology service</w:t>
      </w:r>
      <w:r w:rsidR="004A08B6">
        <w:t>. T</w:t>
      </w:r>
      <w:r w:rsidR="001A44BB" w:rsidRPr="00577AA4">
        <w:t xml:space="preserve">he procurement </w:t>
      </w:r>
      <w:r w:rsidR="004A08B6">
        <w:t xml:space="preserve">was </w:t>
      </w:r>
      <w:r w:rsidR="001A44BB" w:rsidRPr="00577AA4">
        <w:t xml:space="preserve">divided into five </w:t>
      </w:r>
      <w:r w:rsidR="004A08B6">
        <w:t>lots</w:t>
      </w:r>
      <w:r w:rsidR="00F13E40">
        <w:t>,</w:t>
      </w:r>
      <w:r w:rsidR="004A08B6">
        <w:t xml:space="preserve"> each serving a different </w:t>
      </w:r>
      <w:r w:rsidR="00F13E40">
        <w:t>area of Greater Manchester</w:t>
      </w:r>
      <w:r w:rsidR="001A44BB" w:rsidRPr="00577AA4">
        <w:t xml:space="preserve">. </w:t>
      </w:r>
      <w:r w:rsidRPr="00577AA4">
        <w:t>The contract</w:t>
      </w:r>
      <w:r w:rsidR="00516FCA" w:rsidRPr="00577AA4">
        <w:t xml:space="preserve"> </w:t>
      </w:r>
      <w:r w:rsidR="006B6DB3">
        <w:t>for each lot</w:t>
      </w:r>
      <w:r w:rsidR="0009233F">
        <w:t xml:space="preserve"> </w:t>
      </w:r>
      <w:r w:rsidR="009B0062">
        <w:t>ha</w:t>
      </w:r>
      <w:r w:rsidR="000A1E91">
        <w:t>s</w:t>
      </w:r>
      <w:r w:rsidR="009B0062">
        <w:t xml:space="preserve"> a </w:t>
      </w:r>
      <w:r w:rsidR="00D26085" w:rsidRPr="00577AA4">
        <w:t xml:space="preserve">three </w:t>
      </w:r>
      <w:r w:rsidRPr="00577AA4">
        <w:t>year</w:t>
      </w:r>
      <w:r w:rsidR="009B0062">
        <w:t xml:space="preserve"> duration</w:t>
      </w:r>
      <w:r w:rsidRPr="00577AA4">
        <w:t xml:space="preserve"> </w:t>
      </w:r>
      <w:r w:rsidR="00D26085" w:rsidRPr="00577AA4">
        <w:t xml:space="preserve">with </w:t>
      </w:r>
      <w:r w:rsidR="009B0062">
        <w:t xml:space="preserve">the option of </w:t>
      </w:r>
      <w:r w:rsidR="00516FCA" w:rsidRPr="00577AA4">
        <w:t xml:space="preserve">a </w:t>
      </w:r>
      <w:r w:rsidR="00D26085" w:rsidRPr="00577AA4">
        <w:t>two</w:t>
      </w:r>
      <w:r w:rsidR="009B0062">
        <w:t xml:space="preserve"> </w:t>
      </w:r>
      <w:r w:rsidR="00D26085" w:rsidRPr="00577AA4">
        <w:t>year extension</w:t>
      </w:r>
      <w:r w:rsidR="0009233F">
        <w:t xml:space="preserve">. The </w:t>
      </w:r>
      <w:r w:rsidR="004658F6" w:rsidRPr="00577AA4">
        <w:t xml:space="preserve">intended start </w:t>
      </w:r>
      <w:r w:rsidR="0009233F">
        <w:t xml:space="preserve">date </w:t>
      </w:r>
      <w:r w:rsidR="00E24A58">
        <w:t xml:space="preserve">for the contracts </w:t>
      </w:r>
      <w:r w:rsidR="0009233F">
        <w:t xml:space="preserve">was </w:t>
      </w:r>
      <w:r w:rsidR="004658F6" w:rsidRPr="00577AA4">
        <w:t>August 2025</w:t>
      </w:r>
      <w:r w:rsidR="007F2F22">
        <w:t xml:space="preserve">, and their </w:t>
      </w:r>
      <w:r w:rsidR="00A32BE0" w:rsidRPr="00577AA4">
        <w:t xml:space="preserve">combined </w:t>
      </w:r>
      <w:r w:rsidRPr="00577AA4">
        <w:t xml:space="preserve">total value </w:t>
      </w:r>
      <w:r w:rsidR="007F2F22">
        <w:t xml:space="preserve">is </w:t>
      </w:r>
      <w:r w:rsidRPr="00577AA4">
        <w:t>approximately £</w:t>
      </w:r>
      <w:r w:rsidR="00FD426A" w:rsidRPr="00577AA4">
        <w:t>44.3</w:t>
      </w:r>
      <w:r w:rsidR="00D0619C">
        <w:t xml:space="preserve"> </w:t>
      </w:r>
      <w:r w:rsidR="00FD426A" w:rsidRPr="00577AA4">
        <w:t>m</w:t>
      </w:r>
      <w:r w:rsidR="00D0619C">
        <w:t>illion</w:t>
      </w:r>
      <w:r w:rsidRPr="00577AA4">
        <w:t xml:space="preserve"> (excluding VAT).</w:t>
      </w:r>
      <w:r w:rsidR="00D308A0" w:rsidRPr="00577AA4">
        <w:rPr>
          <w:rStyle w:val="FootnoteReference"/>
        </w:rPr>
        <w:footnoteReference w:id="12"/>
      </w:r>
    </w:p>
    <w:p w14:paraId="0344E59F" w14:textId="62621A4F" w:rsidR="00835070" w:rsidRPr="0049467C" w:rsidRDefault="006B6DB3" w:rsidP="00700900">
      <w:pPr>
        <w:pStyle w:val="ListParagraph"/>
        <w:ind w:left="567" w:hanging="567"/>
      </w:pPr>
      <w:bookmarkStart w:id="5" w:name="_Ref216680126"/>
      <w:r>
        <w:t>The deadline</w:t>
      </w:r>
      <w:r w:rsidR="00A706CB">
        <w:t xml:space="preserve"> for </w:t>
      </w:r>
      <w:r>
        <w:t>proposals was 28 February 2025, and b</w:t>
      </w:r>
      <w:r w:rsidR="00A706CB">
        <w:t>ids were received from ten providers</w:t>
      </w:r>
      <w:r w:rsidR="00D320E0">
        <w:t xml:space="preserve">, </w:t>
      </w:r>
      <w:r w:rsidR="00400FD3">
        <w:t xml:space="preserve">each </w:t>
      </w:r>
      <w:r w:rsidR="1536DAFE" w:rsidRPr="0049467C">
        <w:t xml:space="preserve">bidding for one or </w:t>
      </w:r>
      <w:r w:rsidR="00400FD3">
        <w:t>more</w:t>
      </w:r>
      <w:r w:rsidR="1536DAFE" w:rsidRPr="0049467C">
        <w:t xml:space="preserve"> lots.</w:t>
      </w:r>
      <w:r w:rsidR="00BA79B9">
        <w:rPr>
          <w:rStyle w:val="FootnoteReference"/>
        </w:rPr>
        <w:footnoteReference w:id="13"/>
      </w:r>
      <w:r w:rsidR="1536DAFE" w:rsidRPr="0049467C">
        <w:t xml:space="preserve"> </w:t>
      </w:r>
      <w:r w:rsidR="0D44D3B9" w:rsidRPr="0049467C">
        <w:t>Evaluation took place between 10</w:t>
      </w:r>
      <w:r w:rsidR="00DA758C">
        <w:t> </w:t>
      </w:r>
      <w:r w:rsidR="0D44D3B9" w:rsidRPr="0049467C">
        <w:t>March and 9</w:t>
      </w:r>
      <w:r w:rsidR="00A87CB9">
        <w:t> </w:t>
      </w:r>
      <w:r w:rsidR="0D44D3B9" w:rsidRPr="0049467C">
        <w:t>May</w:t>
      </w:r>
      <w:r w:rsidR="009D45B6">
        <w:t>, and</w:t>
      </w:r>
      <w:r w:rsidR="00A56CF8">
        <w:t xml:space="preserve"> a </w:t>
      </w:r>
      <w:r w:rsidR="504F94EE">
        <w:t xml:space="preserve">contract award recommendation </w:t>
      </w:r>
      <w:r w:rsidR="009D45B6">
        <w:t>was ready</w:t>
      </w:r>
      <w:r w:rsidR="00A56CF8">
        <w:t xml:space="preserve"> </w:t>
      </w:r>
      <w:r w:rsidR="504F94EE">
        <w:t>for approval</w:t>
      </w:r>
      <w:r w:rsidR="118920A1">
        <w:t xml:space="preserve"> </w:t>
      </w:r>
      <w:r w:rsidR="00A56CF8">
        <w:t xml:space="preserve">by </w:t>
      </w:r>
      <w:r w:rsidR="00353A78">
        <w:t>29</w:t>
      </w:r>
      <w:r w:rsidR="005C4AE7">
        <w:t> </w:t>
      </w:r>
      <w:r w:rsidR="19634771">
        <w:t>May</w:t>
      </w:r>
      <w:r w:rsidR="0D44D3B9" w:rsidRPr="0049467C">
        <w:t>.</w:t>
      </w:r>
      <w:r w:rsidR="00353A78">
        <w:rPr>
          <w:rStyle w:val="FootnoteReference"/>
        </w:rPr>
        <w:footnoteReference w:id="14"/>
      </w:r>
      <w:r w:rsidR="0D44D3B9" w:rsidRPr="0049467C">
        <w:t xml:space="preserve"> </w:t>
      </w:r>
      <w:r w:rsidR="2F5761AC" w:rsidRPr="00B22320">
        <w:t xml:space="preserve">About Health </w:t>
      </w:r>
      <w:r w:rsidR="346A7372">
        <w:t>Limited (About Health)</w:t>
      </w:r>
      <w:r w:rsidR="00E95C81">
        <w:rPr>
          <w:rStyle w:val="FootnoteReference"/>
        </w:rPr>
        <w:footnoteReference w:id="15"/>
      </w:r>
      <w:r w:rsidR="346A7372">
        <w:t xml:space="preserve"> </w:t>
      </w:r>
      <w:r w:rsidR="2F5761AC" w:rsidRPr="00B22320">
        <w:t xml:space="preserve">was ranked first for all </w:t>
      </w:r>
      <w:r w:rsidR="00664E9D">
        <w:t xml:space="preserve">five </w:t>
      </w:r>
      <w:r w:rsidR="2F5761AC" w:rsidRPr="00B22320">
        <w:t xml:space="preserve">lots, </w:t>
      </w:r>
      <w:r w:rsidR="0047704A">
        <w:t xml:space="preserve">scoring </w:t>
      </w:r>
      <w:r w:rsidR="007C6589">
        <w:t xml:space="preserve">82% </w:t>
      </w:r>
      <w:r w:rsidR="0000444F">
        <w:t>for</w:t>
      </w:r>
      <w:r w:rsidR="007C6589">
        <w:t xml:space="preserve"> Lot 2 and </w:t>
      </w:r>
      <w:r w:rsidR="00EC56A2">
        <w:t xml:space="preserve">80% </w:t>
      </w:r>
      <w:r w:rsidR="0000444F">
        <w:t>for</w:t>
      </w:r>
      <w:r w:rsidR="00EC56A2">
        <w:t xml:space="preserve"> </w:t>
      </w:r>
      <w:r w:rsidR="00E30AC3">
        <w:t>the remaining lots</w:t>
      </w:r>
      <w:r w:rsidR="00A20440">
        <w:t xml:space="preserve">. </w:t>
      </w:r>
      <w:r w:rsidR="2F5761AC" w:rsidRPr="00B22320">
        <w:t xml:space="preserve">CHEC </w:t>
      </w:r>
      <w:r w:rsidR="00664E9D">
        <w:t xml:space="preserve">was </w:t>
      </w:r>
      <w:r w:rsidR="2F5761AC" w:rsidRPr="00B22320">
        <w:t xml:space="preserve">ranked </w:t>
      </w:r>
      <w:r w:rsidR="6E486E94" w:rsidRPr="00B22320">
        <w:t xml:space="preserve">third for all </w:t>
      </w:r>
      <w:r w:rsidR="00664E9D">
        <w:t xml:space="preserve">five </w:t>
      </w:r>
      <w:r w:rsidR="6E486E94" w:rsidRPr="00B22320">
        <w:t>lot</w:t>
      </w:r>
      <w:r w:rsidR="772B83B7">
        <w:t>s</w:t>
      </w:r>
      <w:r w:rsidR="00A20440">
        <w:t xml:space="preserve">, scoring 70.75% </w:t>
      </w:r>
      <w:r w:rsidR="00F6110C">
        <w:t>for each lot</w:t>
      </w:r>
      <w:r w:rsidR="2F5761AC" w:rsidRPr="00B22320">
        <w:t>.</w:t>
      </w:r>
      <w:bookmarkEnd w:id="5"/>
    </w:p>
    <w:p w14:paraId="137DD50B" w14:textId="6966A32F" w:rsidR="00C12A07" w:rsidRDefault="00F00D03" w:rsidP="00700900">
      <w:pPr>
        <w:pStyle w:val="ListParagraph"/>
        <w:ind w:left="567" w:hanging="567"/>
      </w:pPr>
      <w:bookmarkStart w:id="6" w:name="_Ref215832710"/>
      <w:r>
        <w:t xml:space="preserve">On 4 June 2025, </w:t>
      </w:r>
      <w:r w:rsidR="00EB1EAF">
        <w:t xml:space="preserve">before </w:t>
      </w:r>
      <w:r w:rsidR="00C04178">
        <w:t xml:space="preserve">the contract award decision was </w:t>
      </w:r>
      <w:r w:rsidR="00EB1EAF">
        <w:t>approv</w:t>
      </w:r>
      <w:r w:rsidR="00C04178">
        <w:t>ed</w:t>
      </w:r>
      <w:r w:rsidR="00EB1EAF">
        <w:t xml:space="preserve">, About Health notified </w:t>
      </w:r>
      <w:r w:rsidR="00EB1EAF" w:rsidRPr="00FA3C0B">
        <w:t>NHS GM</w:t>
      </w:r>
      <w:r w:rsidR="006540B1" w:rsidRPr="00FA3C0B">
        <w:t>’s contracting team</w:t>
      </w:r>
      <w:r w:rsidR="00EB1EAF">
        <w:t xml:space="preserve"> of an imminent change </w:t>
      </w:r>
      <w:r w:rsidR="00DA1825">
        <w:t>to</w:t>
      </w:r>
      <w:r w:rsidR="00EB1EAF">
        <w:t xml:space="preserve"> </w:t>
      </w:r>
      <w:r w:rsidR="006B76E6">
        <w:t>its</w:t>
      </w:r>
      <w:r w:rsidR="00EB1EAF">
        <w:t xml:space="preserve"> ownership</w:t>
      </w:r>
      <w:r w:rsidR="000B7C73">
        <w:t xml:space="preserve">, </w:t>
      </w:r>
      <w:r w:rsidR="00C36438">
        <w:t xml:space="preserve">namely that </w:t>
      </w:r>
      <w:r w:rsidR="005773AA">
        <w:t xml:space="preserve">About Health would be acquired </w:t>
      </w:r>
      <w:r w:rsidR="006A4775">
        <w:t xml:space="preserve">from its then parent company, Totally </w:t>
      </w:r>
      <w:r w:rsidR="00BF6DCE">
        <w:t>p</w:t>
      </w:r>
      <w:r w:rsidR="006A4775">
        <w:t>lc</w:t>
      </w:r>
      <w:r w:rsidR="00D56557">
        <w:t xml:space="preserve"> (Totally)</w:t>
      </w:r>
      <w:r w:rsidR="006A4775">
        <w:t>,</w:t>
      </w:r>
      <w:r w:rsidR="00C01A0B">
        <w:rPr>
          <w:rStyle w:val="FootnoteReference"/>
        </w:rPr>
        <w:footnoteReference w:id="16"/>
      </w:r>
      <w:r w:rsidR="00C01A0B">
        <w:t xml:space="preserve"> </w:t>
      </w:r>
      <w:r w:rsidR="005773AA">
        <w:t xml:space="preserve">by </w:t>
      </w:r>
      <w:r w:rsidR="00DA1825">
        <w:t>PHL Group</w:t>
      </w:r>
      <w:r w:rsidR="00D50C36">
        <w:t xml:space="preserve"> (PHL)</w:t>
      </w:r>
      <w:r w:rsidR="004C6873">
        <w:t>.</w:t>
      </w:r>
      <w:r w:rsidR="00C01A0B">
        <w:rPr>
          <w:rStyle w:val="FootnoteReference"/>
        </w:rPr>
        <w:footnoteReference w:id="17"/>
      </w:r>
    </w:p>
    <w:p w14:paraId="700E3BDA" w14:textId="6472E7BF" w:rsidR="00531C31" w:rsidRDefault="004F7287" w:rsidP="00700900">
      <w:pPr>
        <w:pStyle w:val="ListParagraph"/>
        <w:ind w:left="567" w:hanging="567"/>
      </w:pPr>
      <w:bookmarkStart w:id="7" w:name="_Ref217914160"/>
      <w:bookmarkStart w:id="8" w:name="_Ref216780222"/>
      <w:bookmarkStart w:id="9" w:name="_Ref216679854"/>
      <w:r>
        <w:t>On 5 June 2025</w:t>
      </w:r>
      <w:r w:rsidR="00C579B9">
        <w:t xml:space="preserve">, </w:t>
      </w:r>
      <w:r w:rsidR="00306E00">
        <w:t>NHS GM’s</w:t>
      </w:r>
      <w:r w:rsidR="007F5ED3">
        <w:t xml:space="preserve"> contracting team </w:t>
      </w:r>
      <w:r w:rsidR="00416C5F">
        <w:t>informed</w:t>
      </w:r>
      <w:r w:rsidR="007F5ED3">
        <w:t xml:space="preserve"> colleagues </w:t>
      </w:r>
      <w:r w:rsidR="00B04F37">
        <w:t xml:space="preserve">on </w:t>
      </w:r>
      <w:r w:rsidR="006F4D27">
        <w:t xml:space="preserve">the team </w:t>
      </w:r>
      <w:r w:rsidR="007D0898">
        <w:t xml:space="preserve">overseeing </w:t>
      </w:r>
      <w:r w:rsidR="007F5ED3">
        <w:t xml:space="preserve">the </w:t>
      </w:r>
      <w:r w:rsidR="0050493F">
        <w:t xml:space="preserve">provider selection process for the </w:t>
      </w:r>
      <w:r w:rsidR="00FE2E1D">
        <w:t>community dermatology service o</w:t>
      </w:r>
      <w:r w:rsidR="00F35B9A">
        <w:t>f</w:t>
      </w:r>
      <w:r w:rsidR="00B9533A">
        <w:t xml:space="preserve"> </w:t>
      </w:r>
      <w:r w:rsidR="00306E00">
        <w:t xml:space="preserve">About Health’s </w:t>
      </w:r>
      <w:r w:rsidR="000B76CC">
        <w:t xml:space="preserve">imminent </w:t>
      </w:r>
      <w:r w:rsidR="00B9533A">
        <w:t>change in ownership</w:t>
      </w:r>
      <w:r w:rsidR="00516B66">
        <w:t xml:space="preserve">. </w:t>
      </w:r>
      <w:r w:rsidR="00F871B7">
        <w:t xml:space="preserve">On receiving this news, </w:t>
      </w:r>
      <w:r w:rsidR="00516B66" w:rsidRPr="00516B66">
        <w:t>NHS GM</w:t>
      </w:r>
      <w:r w:rsidR="00516B66">
        <w:t>’s procure</w:t>
      </w:r>
      <w:r w:rsidR="00C55982">
        <w:t xml:space="preserve">ment leads </w:t>
      </w:r>
      <w:r w:rsidR="00C734B0">
        <w:t>agreed</w:t>
      </w:r>
      <w:r w:rsidR="00516B66" w:rsidRPr="00516B66">
        <w:t xml:space="preserve"> that </w:t>
      </w:r>
      <w:r w:rsidR="00633D61">
        <w:t xml:space="preserve">they needed to “understand </w:t>
      </w:r>
      <w:r w:rsidR="00516B66" w:rsidRPr="00516B66">
        <w:t>t</w:t>
      </w:r>
      <w:r w:rsidR="005E13BE">
        <w:t xml:space="preserve">he </w:t>
      </w:r>
      <w:r w:rsidR="00633D61">
        <w:t xml:space="preserve">implications for </w:t>
      </w:r>
      <w:r w:rsidR="00516B66" w:rsidRPr="00516B66">
        <w:t xml:space="preserve">the procurement </w:t>
      </w:r>
      <w:r w:rsidR="00CC5652">
        <w:t xml:space="preserve">and </w:t>
      </w:r>
      <w:r w:rsidR="00633D61">
        <w:t>the successful bidder status”</w:t>
      </w:r>
      <w:r w:rsidR="00753B4E">
        <w:t>.</w:t>
      </w:r>
      <w:bookmarkEnd w:id="7"/>
      <w:r w:rsidR="00150E5E">
        <w:rPr>
          <w:rStyle w:val="FootnoteReference"/>
        </w:rPr>
        <w:footnoteReference w:id="18"/>
      </w:r>
    </w:p>
    <w:p w14:paraId="08BCFAC4" w14:textId="1F0081E0" w:rsidR="00204DF9" w:rsidRDefault="009B7A17" w:rsidP="00700900">
      <w:pPr>
        <w:pStyle w:val="ListParagraph"/>
        <w:ind w:left="567" w:hanging="567"/>
      </w:pPr>
      <w:bookmarkStart w:id="10" w:name="_Ref217742916"/>
      <w:r>
        <w:lastRenderedPageBreak/>
        <w:t xml:space="preserve">NHS GM </w:t>
      </w:r>
      <w:r w:rsidR="00455864">
        <w:t>concluded</w:t>
      </w:r>
      <w:r w:rsidR="00F9048B">
        <w:t xml:space="preserve">, on 6 June 2025, </w:t>
      </w:r>
      <w:r w:rsidR="00B155B5">
        <w:t xml:space="preserve">that </w:t>
      </w:r>
      <w:r w:rsidR="00CD79A1">
        <w:t xml:space="preserve">About Health’s proposal </w:t>
      </w:r>
      <w:r w:rsidR="00B155B5">
        <w:t xml:space="preserve">was a standalone bid </w:t>
      </w:r>
      <w:r w:rsidR="00920E85">
        <w:t xml:space="preserve">(i.e. separate from its parent company) </w:t>
      </w:r>
      <w:r w:rsidR="00B155B5">
        <w:t xml:space="preserve">and the change in </w:t>
      </w:r>
      <w:r w:rsidR="00A26391">
        <w:t>its</w:t>
      </w:r>
      <w:r w:rsidR="00E5194A">
        <w:t xml:space="preserve"> ownership did not affect the outcome</w:t>
      </w:r>
      <w:r w:rsidR="00617ACE">
        <w:t xml:space="preserve"> of the provider selection process</w:t>
      </w:r>
      <w:r w:rsidR="00E5194A">
        <w:t xml:space="preserve">. </w:t>
      </w:r>
      <w:r w:rsidR="00FA013F">
        <w:t>It decided that, a</w:t>
      </w:r>
      <w:r w:rsidR="00E5194A">
        <w:t xml:space="preserve">s a result, </w:t>
      </w:r>
      <w:r w:rsidR="00C72DF1">
        <w:t xml:space="preserve">no further action was required </w:t>
      </w:r>
      <w:r w:rsidR="00FA013F">
        <w:t xml:space="preserve">at that time </w:t>
      </w:r>
      <w:r w:rsidR="00C72DF1">
        <w:t>and</w:t>
      </w:r>
      <w:r w:rsidR="00516B66" w:rsidRPr="00516B66">
        <w:t xml:space="preserve"> “any clarifications would be carried out during the due diligence process”.</w:t>
      </w:r>
      <w:r w:rsidR="00DF5747">
        <w:rPr>
          <w:rStyle w:val="FootnoteReference"/>
        </w:rPr>
        <w:footnoteReference w:id="19"/>
      </w:r>
      <w:bookmarkStart w:id="11" w:name="_Ref215817361"/>
      <w:bookmarkEnd w:id="8"/>
      <w:bookmarkEnd w:id="10"/>
    </w:p>
    <w:p w14:paraId="1BFEA87A" w14:textId="469FFE3E" w:rsidR="00337CE3" w:rsidRDefault="00550393" w:rsidP="00700900">
      <w:pPr>
        <w:pStyle w:val="ListParagraph"/>
        <w:ind w:left="567" w:hanging="567"/>
      </w:pPr>
      <w:bookmarkStart w:id="12" w:name="_Ref217743835"/>
      <w:r>
        <w:t>PHL completed its acquisition of About Health (</w:t>
      </w:r>
      <w:r w:rsidR="00BC0CB3">
        <w:t>a</w:t>
      </w:r>
      <w:r w:rsidR="00617ACE">
        <w:t xml:space="preserve">nd three other </w:t>
      </w:r>
      <w:r>
        <w:t>Totally trading subsidiaries)</w:t>
      </w:r>
      <w:r w:rsidR="004F7287">
        <w:t xml:space="preserve"> on 8 June</w:t>
      </w:r>
      <w:r w:rsidR="00C659E4">
        <w:t xml:space="preserve"> 2025</w:t>
      </w:r>
      <w:r>
        <w:t>.</w:t>
      </w:r>
      <w:r w:rsidR="00EB3DED">
        <w:rPr>
          <w:rStyle w:val="FootnoteReference"/>
        </w:rPr>
        <w:footnoteReference w:id="20"/>
      </w:r>
      <w:r w:rsidR="00FA3B70">
        <w:t xml:space="preserve"> </w:t>
      </w:r>
      <w:bookmarkStart w:id="13" w:name="_Ref215577184"/>
      <w:bookmarkEnd w:id="6"/>
      <w:bookmarkEnd w:id="9"/>
      <w:bookmarkEnd w:id="11"/>
      <w:r w:rsidR="00F87C39">
        <w:t>Approximately two months later, o</w:t>
      </w:r>
      <w:r w:rsidR="00151A95">
        <w:t xml:space="preserve">n 12 August, NHS GM published </w:t>
      </w:r>
      <w:r w:rsidR="008B4BC5">
        <w:t>an</w:t>
      </w:r>
      <w:r w:rsidR="00151A95">
        <w:t xml:space="preserve"> intention to award notice </w:t>
      </w:r>
      <w:r w:rsidR="00151A95" w:rsidRPr="0049467C">
        <w:t>announcing that About Health was the successful bidder for all five lots</w:t>
      </w:r>
      <w:r w:rsidR="000F1071">
        <w:t>.</w:t>
      </w:r>
      <w:bookmarkEnd w:id="12"/>
    </w:p>
    <w:p w14:paraId="3AE5D91A" w14:textId="2DFC58F0" w:rsidR="005E6B00" w:rsidRPr="002F58BE" w:rsidRDefault="005E6B00" w:rsidP="005E6B00">
      <w:pPr>
        <w:pStyle w:val="Heading2"/>
        <w:spacing w:before="240" w:after="160" w:line="276" w:lineRule="auto"/>
      </w:pPr>
      <w:bookmarkStart w:id="14" w:name="_Toc219399093"/>
      <w:bookmarkStart w:id="15" w:name="_Toc219399092"/>
      <w:r>
        <w:t>4.2 NHS GM’s due diligence exercise in relation to About Health’s change in ownership</w:t>
      </w:r>
      <w:bookmarkEnd w:id="14"/>
    </w:p>
    <w:p w14:paraId="1EC68A65" w14:textId="5D51CCF1" w:rsidR="005E6B00" w:rsidRDefault="005E6B00" w:rsidP="005E6B00">
      <w:pPr>
        <w:pStyle w:val="ListParagraph"/>
        <w:ind w:left="567" w:hanging="567"/>
      </w:pPr>
      <w:bookmarkStart w:id="16" w:name="_Ref217743937"/>
      <w:r>
        <w:t>NHS GM commenced due diligence on About Health’s proposal on 12 August 2025,</w:t>
      </w:r>
      <w:r w:rsidRPr="002A793D">
        <w:t xml:space="preserve"> </w:t>
      </w:r>
      <w:r w:rsidR="00E62174">
        <w:t>raising</w:t>
      </w:r>
      <w:r>
        <w:t xml:space="preserve"> several </w:t>
      </w:r>
      <w:r w:rsidR="00211B66">
        <w:t xml:space="preserve">due diligence </w:t>
      </w:r>
      <w:r w:rsidR="007B2C21">
        <w:t xml:space="preserve">queries </w:t>
      </w:r>
      <w:r>
        <w:t>in the tender outcome letter sent to About Health.</w:t>
      </w:r>
    </w:p>
    <w:p w14:paraId="41B81743" w14:textId="1075A24A" w:rsidR="005E6B00" w:rsidRDefault="005E6B00" w:rsidP="005E6B00">
      <w:pPr>
        <w:pStyle w:val="ListParagraph"/>
        <w:ind w:left="567" w:hanging="567"/>
      </w:pPr>
      <w:r>
        <w:t xml:space="preserve">Further </w:t>
      </w:r>
      <w:r w:rsidR="005C4CD9">
        <w:t>requests for information were raised</w:t>
      </w:r>
      <w:r w:rsidR="0088565A">
        <w:t xml:space="preserve"> by NHS GM to About Health</w:t>
      </w:r>
      <w:r>
        <w:t xml:space="preserve"> on 26 August </w:t>
      </w:r>
      <w:r w:rsidR="0088565A">
        <w:t xml:space="preserve">via email, </w:t>
      </w:r>
      <w:r>
        <w:t>and, on 19 September,</w:t>
      </w:r>
      <w:r w:rsidRPr="00446C52">
        <w:t xml:space="preserve"> </w:t>
      </w:r>
      <w:r>
        <w:t xml:space="preserve">NHS GM asked About Health, amongst other </w:t>
      </w:r>
      <w:r w:rsidR="005C4CD9">
        <w:t>due diligence queries</w:t>
      </w:r>
      <w:r>
        <w:t xml:space="preserve">, to update its response to eight questions in the basic selection questionnaire and to eight questions in the award questionnaire. </w:t>
      </w:r>
      <w:bookmarkStart w:id="17" w:name="_Ref216644522"/>
      <w:bookmarkEnd w:id="16"/>
      <w:r>
        <w:t xml:space="preserve">On 2 October, NHS GM </w:t>
      </w:r>
      <w:r w:rsidR="00AB34D7">
        <w:t>made</w:t>
      </w:r>
      <w:r>
        <w:t xml:space="preserve"> further </w:t>
      </w:r>
      <w:r w:rsidR="00A52A0E">
        <w:t xml:space="preserve">due diligence queries </w:t>
      </w:r>
      <w:r>
        <w:t xml:space="preserve">following up on previous responses </w:t>
      </w:r>
      <w:r w:rsidR="00A52A0E">
        <w:t xml:space="preserve">that had been received from </w:t>
      </w:r>
      <w:r>
        <w:t>PHL</w:t>
      </w:r>
      <w:r w:rsidR="00A52A0E">
        <w:t xml:space="preserve"> on behalf of About Health</w:t>
      </w:r>
      <w:r>
        <w:t>.</w:t>
      </w:r>
      <w:bookmarkEnd w:id="17"/>
    </w:p>
    <w:p w14:paraId="4E61459F" w14:textId="2B11F3D4" w:rsidR="005E6B00" w:rsidRDefault="005E6B00" w:rsidP="005E6B00">
      <w:pPr>
        <w:pStyle w:val="ListParagraph"/>
        <w:ind w:left="567" w:hanging="567"/>
      </w:pPr>
      <w:r>
        <w:t>On 21 October 2025, NHS GM wrote to About Health saying that</w:t>
      </w:r>
      <w:r w:rsidR="00612E91">
        <w:t>,</w:t>
      </w:r>
      <w:r>
        <w:t xml:space="preserve"> “following the conclusion of the standstill period and satisfactory completion of the ICB’s due diligence process”, NHS GM would be continuing with the contract award to About Health.</w:t>
      </w:r>
      <w:r>
        <w:rPr>
          <w:rStyle w:val="FootnoteReference"/>
        </w:rPr>
        <w:footnoteReference w:id="21"/>
      </w:r>
    </w:p>
    <w:p w14:paraId="15539D50" w14:textId="0BE4AC5F" w:rsidR="00882816" w:rsidRDefault="00882816" w:rsidP="0071023E">
      <w:pPr>
        <w:pStyle w:val="Heading2"/>
        <w:spacing w:before="240" w:after="160"/>
      </w:pPr>
      <w:r>
        <w:t>4.</w:t>
      </w:r>
      <w:r w:rsidR="00573F16">
        <w:t>3</w:t>
      </w:r>
      <w:r>
        <w:t xml:space="preserve"> CHEC’s representations to NHS GM</w:t>
      </w:r>
      <w:r w:rsidR="00B26A47">
        <w:t xml:space="preserve"> about the provider selection process</w:t>
      </w:r>
      <w:bookmarkEnd w:id="15"/>
    </w:p>
    <w:p w14:paraId="66E70BC6" w14:textId="5023A87A" w:rsidR="00B74EBA" w:rsidRDefault="00B74EBA" w:rsidP="00E1248A">
      <w:pPr>
        <w:pStyle w:val="ListParagraph"/>
        <w:ind w:left="567" w:hanging="567"/>
      </w:pPr>
      <w:r>
        <w:t>On 18 August</w:t>
      </w:r>
      <w:r w:rsidR="00CF6633">
        <w:t xml:space="preserve"> 2025</w:t>
      </w:r>
      <w:r>
        <w:t xml:space="preserve">, </w:t>
      </w:r>
      <w:r w:rsidR="00153DCE">
        <w:t xml:space="preserve">before </w:t>
      </w:r>
      <w:r>
        <w:t>the end of the standstill period, CHEC rais</w:t>
      </w:r>
      <w:r w:rsidR="00CA6DB3">
        <w:t xml:space="preserve">ed </w:t>
      </w:r>
      <w:r>
        <w:t xml:space="preserve">concerns </w:t>
      </w:r>
      <w:r w:rsidR="00BC08AE">
        <w:t>with NHS GM</w:t>
      </w:r>
      <w:r w:rsidR="00E37C1A">
        <w:t>, and requested information,</w:t>
      </w:r>
      <w:r w:rsidR="00BC08AE">
        <w:t xml:space="preserve"> </w:t>
      </w:r>
      <w:r>
        <w:t>about the provider selection process</w:t>
      </w:r>
      <w:r w:rsidR="005210C9">
        <w:t>.</w:t>
      </w:r>
      <w:r w:rsidR="00774E5F">
        <w:rPr>
          <w:rStyle w:val="FootnoteReference"/>
        </w:rPr>
        <w:footnoteReference w:id="22"/>
      </w:r>
      <w:r w:rsidR="00BC08AE">
        <w:t xml:space="preserve"> </w:t>
      </w:r>
      <w:r w:rsidR="00422B07">
        <w:t>NHS GM</w:t>
      </w:r>
      <w:r w:rsidR="009B29A8">
        <w:t xml:space="preserve"> </w:t>
      </w:r>
      <w:r w:rsidR="00E65006" w:rsidDel="009B29A8">
        <w:t xml:space="preserve">responded to CHEC’s </w:t>
      </w:r>
      <w:r w:rsidR="009047E7">
        <w:t>information request</w:t>
      </w:r>
      <w:r w:rsidR="00E37C1A">
        <w:t xml:space="preserve"> on </w:t>
      </w:r>
      <w:r>
        <w:t>18</w:t>
      </w:r>
      <w:r w:rsidR="00422B07">
        <w:t> </w:t>
      </w:r>
      <w:r>
        <w:t>September.</w:t>
      </w:r>
      <w:r w:rsidR="00AA76F3">
        <w:rPr>
          <w:rStyle w:val="FootnoteReference"/>
        </w:rPr>
        <w:footnoteReference w:id="23"/>
      </w:r>
    </w:p>
    <w:p w14:paraId="6D816233" w14:textId="5BA6CD45" w:rsidR="00BA5EC4" w:rsidRDefault="00502B87" w:rsidP="00E1248A">
      <w:pPr>
        <w:pStyle w:val="ListParagraph"/>
        <w:ind w:left="567" w:hanging="567"/>
      </w:pPr>
      <w:bookmarkStart w:id="18" w:name="_Ref215577196"/>
      <w:r>
        <w:t xml:space="preserve">On 25 September 2025, </w:t>
      </w:r>
      <w:r w:rsidR="00B74EBA" w:rsidRPr="00321BF5">
        <w:t>CHEC</w:t>
      </w:r>
      <w:r>
        <w:t xml:space="preserve"> </w:t>
      </w:r>
      <w:r w:rsidRPr="00321BF5">
        <w:t>made further representations</w:t>
      </w:r>
      <w:r>
        <w:t xml:space="preserve"> to NHS GM</w:t>
      </w:r>
      <w:r w:rsidR="00B74EBA" w:rsidRPr="00321BF5">
        <w:t xml:space="preserve">, </w:t>
      </w:r>
      <w:r>
        <w:t xml:space="preserve">based on </w:t>
      </w:r>
      <w:r w:rsidR="007E3C2F">
        <w:t xml:space="preserve">NHS GM’s response to its </w:t>
      </w:r>
      <w:r w:rsidR="009047E7">
        <w:t>information request</w:t>
      </w:r>
      <w:r w:rsidR="00373D6E">
        <w:t xml:space="preserve"> of 18 August</w:t>
      </w:r>
      <w:r w:rsidR="00B74EBA" w:rsidRPr="00321BF5">
        <w:t xml:space="preserve">, and </w:t>
      </w:r>
      <w:r w:rsidR="009047E7">
        <w:t>also</w:t>
      </w:r>
      <w:r w:rsidR="00B74EBA" w:rsidRPr="00321BF5">
        <w:t xml:space="preserve"> </w:t>
      </w:r>
      <w:r w:rsidR="00411F91">
        <w:t xml:space="preserve">requested further </w:t>
      </w:r>
      <w:r w:rsidR="00CF6633">
        <w:t>information</w:t>
      </w:r>
      <w:r w:rsidR="00B74EBA">
        <w:t>.</w:t>
      </w:r>
      <w:r w:rsidR="00426946">
        <w:rPr>
          <w:rStyle w:val="FootnoteReference"/>
        </w:rPr>
        <w:footnoteReference w:id="24"/>
      </w:r>
      <w:r w:rsidR="00B74EBA">
        <w:t xml:space="preserve"> </w:t>
      </w:r>
      <w:r w:rsidR="00BA5EC4">
        <w:t xml:space="preserve">CHEC followed up with </w:t>
      </w:r>
      <w:r w:rsidR="00411F91">
        <w:t xml:space="preserve">another </w:t>
      </w:r>
      <w:r w:rsidR="00BA5EC4">
        <w:t>request for information on 9 October.</w:t>
      </w:r>
      <w:r w:rsidR="00A54B76">
        <w:rPr>
          <w:rStyle w:val="FootnoteReference"/>
        </w:rPr>
        <w:footnoteReference w:id="25"/>
      </w:r>
    </w:p>
    <w:p w14:paraId="7B39B369" w14:textId="0892F6CD" w:rsidR="00812716" w:rsidRDefault="00B74EBA" w:rsidP="00E1248A">
      <w:pPr>
        <w:pStyle w:val="ListParagraph"/>
        <w:ind w:left="567" w:hanging="567"/>
      </w:pPr>
      <w:bookmarkStart w:id="19" w:name="_Ref216636416"/>
      <w:r>
        <w:t xml:space="preserve">On 21 October 2025, NHS GM </w:t>
      </w:r>
      <w:r w:rsidR="007D7849">
        <w:t xml:space="preserve">wrote to </w:t>
      </w:r>
      <w:r w:rsidR="00812716">
        <w:t>CHEC</w:t>
      </w:r>
      <w:r w:rsidR="004B5705">
        <w:t>,</w:t>
      </w:r>
      <w:r w:rsidR="00812716">
        <w:t xml:space="preserve"> </w:t>
      </w:r>
      <w:r w:rsidR="007D7849">
        <w:t xml:space="preserve">setting out its </w:t>
      </w:r>
      <w:r w:rsidR="00122911">
        <w:t xml:space="preserve">response to CHEC’s representations </w:t>
      </w:r>
      <w:r w:rsidR="005F4E59">
        <w:t xml:space="preserve">of 18 August and 25 September </w:t>
      </w:r>
      <w:r w:rsidR="00122911">
        <w:t xml:space="preserve">and advising CHEC of its </w:t>
      </w:r>
      <w:r w:rsidR="007D7849">
        <w:t>further decision to continue with the contract award to About Health.</w:t>
      </w:r>
      <w:r w:rsidR="008B4203">
        <w:t xml:space="preserve"> </w:t>
      </w:r>
      <w:r w:rsidR="00A5580B">
        <w:t>NHS GM also told CHEC that</w:t>
      </w:r>
      <w:r w:rsidR="002D7986">
        <w:t xml:space="preserve"> </w:t>
      </w:r>
      <w:r w:rsidR="009A14F0">
        <w:t xml:space="preserve">it </w:t>
      </w:r>
      <w:r w:rsidR="00495256">
        <w:t xml:space="preserve">would not </w:t>
      </w:r>
      <w:r w:rsidR="00DC6D43">
        <w:t>be responding to CHEC’s information request of 9 October.</w:t>
      </w:r>
    </w:p>
    <w:p w14:paraId="25EE4B5B" w14:textId="6C9F7E78" w:rsidR="00E27F0B" w:rsidRDefault="00DF0BAA" w:rsidP="00E1248A">
      <w:pPr>
        <w:pStyle w:val="ListParagraph"/>
        <w:ind w:left="567" w:hanging="567"/>
      </w:pPr>
      <w:bookmarkStart w:id="20" w:name="_Ref216801176"/>
      <w:bookmarkEnd w:id="18"/>
      <w:bookmarkEnd w:id="19"/>
      <w:r>
        <w:lastRenderedPageBreak/>
        <w:t>On 23 October</w:t>
      </w:r>
      <w:r w:rsidR="00324DB1">
        <w:t xml:space="preserve"> 2025</w:t>
      </w:r>
      <w:r>
        <w:t xml:space="preserve">, CHEC reiterated its </w:t>
      </w:r>
      <w:r w:rsidR="005F4E59">
        <w:t xml:space="preserve">9 October </w:t>
      </w:r>
      <w:r>
        <w:t xml:space="preserve">request for information and asked </w:t>
      </w:r>
      <w:r w:rsidR="00B74EBA">
        <w:t>NHS GM</w:t>
      </w:r>
      <w:r w:rsidR="00B74EBA" w:rsidRPr="002A63E7">
        <w:t xml:space="preserve"> </w:t>
      </w:r>
      <w:r>
        <w:t xml:space="preserve">to </w:t>
      </w:r>
      <w:r w:rsidR="00255D8C">
        <w:t xml:space="preserve">delay </w:t>
      </w:r>
      <w:r w:rsidR="00B74EBA" w:rsidRPr="002A63E7">
        <w:t xml:space="preserve">its final decision until at least </w:t>
      </w:r>
      <w:r w:rsidR="00B74EBA">
        <w:t>ten</w:t>
      </w:r>
      <w:r w:rsidR="00B74EBA" w:rsidRPr="002A63E7">
        <w:t xml:space="preserve"> working days after the disclosure of the requested information</w:t>
      </w:r>
      <w:r w:rsidR="00B74EBA">
        <w:t>.</w:t>
      </w:r>
      <w:r w:rsidR="00E27F0B">
        <w:t xml:space="preserve"> </w:t>
      </w:r>
      <w:r w:rsidR="00B74EBA">
        <w:t xml:space="preserve">On 28 October, NHS GM told CHEC that </w:t>
      </w:r>
      <w:r w:rsidR="00532BA5" w:rsidRPr="00532BA5">
        <w:t>it would not “engage in further rounds of provision of information, clarification and explanation of representations and further reviews of the ICB’s decision”</w:t>
      </w:r>
      <w:r w:rsidR="007677FF">
        <w:t xml:space="preserve">, and that </w:t>
      </w:r>
      <w:r w:rsidR="00B74EBA" w:rsidRPr="00491BDD">
        <w:t>the standstill</w:t>
      </w:r>
      <w:r w:rsidR="00B74EBA">
        <w:t xml:space="preserve"> </w:t>
      </w:r>
      <w:r w:rsidR="00B74EBA" w:rsidRPr="00491BDD">
        <w:t>period</w:t>
      </w:r>
      <w:r w:rsidR="00B74EBA">
        <w:t xml:space="preserve"> </w:t>
      </w:r>
      <w:r w:rsidR="00B74EBA" w:rsidRPr="00491BDD">
        <w:t>would end</w:t>
      </w:r>
      <w:r w:rsidR="00B74EBA">
        <w:t xml:space="preserve"> </w:t>
      </w:r>
      <w:r w:rsidR="00B74EBA" w:rsidRPr="00491BDD">
        <w:t>at midnight</w:t>
      </w:r>
      <w:r w:rsidR="00000F11">
        <w:t xml:space="preserve"> that day</w:t>
      </w:r>
      <w:r w:rsidR="00B74EBA">
        <w:t>.</w:t>
      </w:r>
      <w:bookmarkEnd w:id="20"/>
    </w:p>
    <w:p w14:paraId="39805F2C" w14:textId="02C16DC2" w:rsidR="00B74EBA" w:rsidRDefault="000618F2" w:rsidP="00E1248A">
      <w:pPr>
        <w:pStyle w:val="ListParagraph"/>
        <w:ind w:left="567" w:hanging="567"/>
      </w:pPr>
      <w:r>
        <w:t xml:space="preserve">CHEC, </w:t>
      </w:r>
      <w:r w:rsidR="00867E41">
        <w:t>after receiving this</w:t>
      </w:r>
      <w:r>
        <w:t xml:space="preserve"> response, </w:t>
      </w:r>
      <w:r w:rsidR="00B74EBA" w:rsidRPr="002F58BE">
        <w:t xml:space="preserve">asked the Panel </w:t>
      </w:r>
      <w:r>
        <w:t xml:space="preserve">on </w:t>
      </w:r>
      <w:r w:rsidR="00867E41">
        <w:t>28 October 2025</w:t>
      </w:r>
      <w:r>
        <w:t xml:space="preserve"> </w:t>
      </w:r>
      <w:r w:rsidR="00B74EBA" w:rsidRPr="002F58BE">
        <w:t xml:space="preserve">to review NHS GM’s provider selection process. The Panel accepted </w:t>
      </w:r>
      <w:r w:rsidR="00867E41">
        <w:t>CHEC’s</w:t>
      </w:r>
      <w:r w:rsidR="00B74EBA" w:rsidRPr="002F58BE">
        <w:t xml:space="preserve"> request on</w:t>
      </w:r>
      <w:r w:rsidR="00B74EBA">
        <w:t xml:space="preserve"> 3 November</w:t>
      </w:r>
      <w:r w:rsidR="00B74EBA" w:rsidRPr="002F58BE">
        <w:t xml:space="preserve">. On being made aware of the Panel’s </w:t>
      </w:r>
      <w:r w:rsidR="00D57AC3">
        <w:t xml:space="preserve">case </w:t>
      </w:r>
      <w:r w:rsidR="00B74EBA" w:rsidRPr="002F58BE">
        <w:t>acceptance decision, NHS GM confirmed that it would hold the standstill period open for the duration of the Panel’s review.</w:t>
      </w:r>
    </w:p>
    <w:p w14:paraId="22D57282" w14:textId="1DD5096B" w:rsidR="00E71303" w:rsidRDefault="00C0224A" w:rsidP="00CE17B6">
      <w:pPr>
        <w:pStyle w:val="Heading1"/>
      </w:pPr>
      <w:bookmarkStart w:id="21" w:name="_Toc219399094"/>
      <w:bookmarkEnd w:id="13"/>
      <w:r>
        <w:t>Representations by CHEC</w:t>
      </w:r>
      <w:bookmarkEnd w:id="21"/>
    </w:p>
    <w:p w14:paraId="71CCF0B7" w14:textId="7FF26BE5" w:rsidR="00C661C3" w:rsidRPr="00C661C3" w:rsidRDefault="00C661C3" w:rsidP="00F86650">
      <w:pPr>
        <w:pStyle w:val="ListParagraph"/>
        <w:spacing w:after="120"/>
        <w:ind w:left="567" w:hanging="567"/>
      </w:pPr>
      <w:bookmarkStart w:id="22" w:name="_Ref215576957"/>
      <w:r w:rsidRPr="00C661C3">
        <w:t>CHEC’s concerns about the provider selection process, as summarised in its representations to the Panel</w:t>
      </w:r>
      <w:r w:rsidR="00C811B5">
        <w:t>, dated 28 October 2025</w:t>
      </w:r>
      <w:r w:rsidRPr="00C661C3">
        <w:t>, were as follows:</w:t>
      </w:r>
      <w:bookmarkEnd w:id="22"/>
    </w:p>
    <w:p w14:paraId="5946B4D0" w14:textId="40E86124" w:rsidR="00047C96" w:rsidRDefault="00047C96" w:rsidP="00DD5314">
      <w:pPr>
        <w:spacing w:after="120" w:line="259" w:lineRule="auto"/>
        <w:ind w:left="851"/>
        <w:rPr>
          <w:sz w:val="21"/>
          <w:szCs w:val="21"/>
        </w:rPr>
      </w:pPr>
      <w:r>
        <w:rPr>
          <w:sz w:val="21"/>
          <w:szCs w:val="21"/>
        </w:rPr>
        <w:t>“</w:t>
      </w:r>
      <w:r w:rsidR="007333F3">
        <w:rPr>
          <w:sz w:val="21"/>
          <w:szCs w:val="21"/>
        </w:rPr>
        <w:t xml:space="preserve">On 6 June 2025, Total PLC entered into administration and on 8-9 June </w:t>
      </w:r>
      <w:r w:rsidR="005A7266">
        <w:rPr>
          <w:sz w:val="21"/>
          <w:szCs w:val="21"/>
        </w:rPr>
        <w:t>2025 About Health was acquired by PHL Group Ltd. We understand that the transaction resulted in a material change of ownership, governance and strategic control of About Health.</w:t>
      </w:r>
    </w:p>
    <w:p w14:paraId="3C603227" w14:textId="500A0753" w:rsidR="00671506" w:rsidRDefault="00671506" w:rsidP="00DD5314">
      <w:pPr>
        <w:spacing w:after="120" w:line="259" w:lineRule="auto"/>
        <w:ind w:left="851"/>
        <w:rPr>
          <w:sz w:val="21"/>
          <w:szCs w:val="21"/>
        </w:rPr>
      </w:pPr>
      <w:r>
        <w:rPr>
          <w:sz w:val="21"/>
          <w:szCs w:val="21"/>
        </w:rPr>
        <w:t>“On 18 August 2025, we made preliminary representations in light of the above and questioned the ICB with regard to the assessment (in particular the financial assessment) of About Health’s bid in circumstances where, as we understand,</w:t>
      </w:r>
      <w:r w:rsidR="00F15828">
        <w:rPr>
          <w:sz w:val="21"/>
          <w:szCs w:val="21"/>
        </w:rPr>
        <w:t xml:space="preserve"> the administration of Totally PLC was precipitated by a convergence of serious financial and operational risks, including the loss of a major NHS 111 contract, profit warnings and …</w:t>
      </w:r>
    </w:p>
    <w:p w14:paraId="69FFB01B" w14:textId="6CB7911B" w:rsidR="00544B23" w:rsidRPr="00544B23" w:rsidRDefault="00544B23" w:rsidP="00DD5314">
      <w:pPr>
        <w:spacing w:after="120" w:line="259" w:lineRule="auto"/>
        <w:ind w:left="851"/>
        <w:rPr>
          <w:sz w:val="21"/>
          <w:szCs w:val="21"/>
        </w:rPr>
      </w:pPr>
      <w:r w:rsidRPr="00544B23">
        <w:rPr>
          <w:sz w:val="21"/>
          <w:szCs w:val="21"/>
        </w:rPr>
        <w:t>“The ICB is refusing to provide information to allow CHEC to understand the decision-making process and whether the procurement was conducted in a proper, fair and transparent way.</w:t>
      </w:r>
    </w:p>
    <w:p w14:paraId="1113ED54" w14:textId="14C549A2" w:rsidR="00544B23" w:rsidRPr="003A4900" w:rsidRDefault="00544B23" w:rsidP="00DD5314">
      <w:pPr>
        <w:spacing w:after="120" w:line="259" w:lineRule="auto"/>
        <w:ind w:left="851"/>
        <w:rPr>
          <w:sz w:val="21"/>
          <w:szCs w:val="21"/>
        </w:rPr>
      </w:pPr>
      <w:r w:rsidRPr="00544B23">
        <w:rPr>
          <w:sz w:val="21"/>
          <w:szCs w:val="21"/>
        </w:rPr>
        <w:t xml:space="preserve">“As described </w:t>
      </w:r>
      <w:r w:rsidRPr="007F7263">
        <w:rPr>
          <w:sz w:val="21"/>
          <w:szCs w:val="21"/>
        </w:rPr>
        <w:t>at question 9 above</w:t>
      </w:r>
      <w:r w:rsidR="00414079">
        <w:rPr>
          <w:sz w:val="21"/>
          <w:szCs w:val="21"/>
        </w:rPr>
        <w:t xml:space="preserve"> </w:t>
      </w:r>
      <w:r w:rsidR="00414079" w:rsidRPr="003A4900">
        <w:rPr>
          <w:sz w:val="21"/>
          <w:szCs w:val="21"/>
        </w:rPr>
        <w:t xml:space="preserve">[referring to </w:t>
      </w:r>
      <w:r w:rsidR="007F7263" w:rsidRPr="003A4900">
        <w:rPr>
          <w:sz w:val="21"/>
          <w:szCs w:val="21"/>
        </w:rPr>
        <w:t>its pro forma submission to the Panel]</w:t>
      </w:r>
      <w:r w:rsidRPr="003A4900">
        <w:rPr>
          <w:sz w:val="21"/>
          <w:szCs w:val="21"/>
        </w:rPr>
        <w:t>, the ICB has not acted transparently.</w:t>
      </w:r>
    </w:p>
    <w:p w14:paraId="44846A1C" w14:textId="51A9D16B" w:rsidR="00544B23" w:rsidRPr="003A4900" w:rsidRDefault="00544B23" w:rsidP="00DD5314">
      <w:pPr>
        <w:spacing w:after="120" w:line="259" w:lineRule="auto"/>
        <w:ind w:left="851"/>
        <w:rPr>
          <w:sz w:val="21"/>
          <w:szCs w:val="21"/>
        </w:rPr>
      </w:pPr>
      <w:r w:rsidRPr="003A4900">
        <w:rPr>
          <w:sz w:val="21"/>
          <w:szCs w:val="21"/>
        </w:rPr>
        <w:t>“We have made preliminary representations regarding the serious financial and operational risks that may arise in relation to the changes in the bidder, made midway through the process, but the lack of information means that we have no visibility as to the process followed. These preliminary representations are described above, but given the ICB’s refusal to share any documents, there may be further representations we would want to make about the ICB’s decision-making process.</w:t>
      </w:r>
    </w:p>
    <w:p w14:paraId="26E78FA9" w14:textId="1C270A75" w:rsidR="00544B23" w:rsidRPr="003A4900" w:rsidRDefault="00544B23" w:rsidP="00DD5314">
      <w:pPr>
        <w:spacing w:after="120" w:line="259" w:lineRule="auto"/>
        <w:ind w:left="851"/>
        <w:rPr>
          <w:sz w:val="21"/>
          <w:szCs w:val="21"/>
        </w:rPr>
      </w:pPr>
      <w:r w:rsidRPr="003A4900">
        <w:rPr>
          <w:sz w:val="21"/>
          <w:szCs w:val="21"/>
        </w:rPr>
        <w:t xml:space="preserve">“As the Panel will be aware, Regulation 12(4)(b) of the PSR says that where an ICB has received representations from a provider, the ICB must </w:t>
      </w:r>
      <w:r w:rsidR="00AE4D36">
        <w:rPr>
          <w:sz w:val="21"/>
          <w:szCs w:val="21"/>
        </w:rPr>
        <w:t>‘</w:t>
      </w:r>
      <w:r w:rsidRPr="003A4900">
        <w:rPr>
          <w:sz w:val="21"/>
          <w:szCs w:val="21"/>
        </w:rPr>
        <w:t>provide promptly any information requested by an aggrieved provider where the relevant authority has a duty to record that information under regulation 24 (information requirements)</w:t>
      </w:r>
      <w:r w:rsidR="00AE4D36">
        <w:rPr>
          <w:sz w:val="21"/>
          <w:szCs w:val="21"/>
        </w:rPr>
        <w:t>’</w:t>
      </w:r>
      <w:r w:rsidRPr="003A4900">
        <w:rPr>
          <w:sz w:val="21"/>
          <w:szCs w:val="21"/>
        </w:rPr>
        <w:t>.</w:t>
      </w:r>
    </w:p>
    <w:p w14:paraId="1C7F17EB" w14:textId="48507D9F" w:rsidR="00544B23" w:rsidRPr="003A4900" w:rsidRDefault="00544B23" w:rsidP="00DD5314">
      <w:pPr>
        <w:spacing w:after="120" w:line="259" w:lineRule="auto"/>
        <w:ind w:left="851"/>
        <w:rPr>
          <w:sz w:val="21"/>
          <w:szCs w:val="21"/>
        </w:rPr>
      </w:pPr>
      <w:r w:rsidRPr="003A4900">
        <w:rPr>
          <w:sz w:val="21"/>
          <w:szCs w:val="21"/>
        </w:rPr>
        <w:t xml:space="preserve">“Regulation 24 sets out the information that commissioners must record. This includes: </w:t>
      </w:r>
      <w:r w:rsidR="003722CD">
        <w:rPr>
          <w:sz w:val="21"/>
          <w:szCs w:val="21"/>
        </w:rPr>
        <w:t>‘</w:t>
      </w:r>
      <w:r w:rsidRPr="003A4900">
        <w:rPr>
          <w:sz w:val="21"/>
          <w:szCs w:val="21"/>
        </w:rPr>
        <w:t>… (d) the decision-making process followed, including the identity of individuals making decisions;(f) where the Competitive Process was followed, a description of the way in which the key criteria were taken into account, the basic selection criteria were assessed and contract or framework award criteria were evaluated when making a decision;[and] (g) the reasons for decisions made under these Regulations …</w:t>
      </w:r>
      <w:r w:rsidR="003722CD">
        <w:rPr>
          <w:sz w:val="21"/>
          <w:szCs w:val="21"/>
        </w:rPr>
        <w:t>’</w:t>
      </w:r>
      <w:r w:rsidRPr="003A4900">
        <w:rPr>
          <w:sz w:val="21"/>
          <w:szCs w:val="21"/>
        </w:rPr>
        <w:t>.</w:t>
      </w:r>
    </w:p>
    <w:p w14:paraId="52C55DD3" w14:textId="292DBDCD" w:rsidR="00544B23" w:rsidRPr="00544B23" w:rsidRDefault="00544B23" w:rsidP="00DD5314">
      <w:pPr>
        <w:spacing w:after="120" w:line="259" w:lineRule="auto"/>
        <w:ind w:left="851"/>
        <w:rPr>
          <w:sz w:val="21"/>
          <w:szCs w:val="21"/>
        </w:rPr>
      </w:pPr>
      <w:r w:rsidRPr="003A4900">
        <w:rPr>
          <w:sz w:val="21"/>
          <w:szCs w:val="21"/>
        </w:rPr>
        <w:lastRenderedPageBreak/>
        <w:t>“The ICB has repeatedly refused to provide this information. The timeline of our interactions with the ICB are described at question 9 above</w:t>
      </w:r>
      <w:r w:rsidR="00CA3B98" w:rsidRPr="003A4900">
        <w:rPr>
          <w:sz w:val="21"/>
          <w:szCs w:val="21"/>
        </w:rPr>
        <w:t xml:space="preserve"> [referring to its pro forma submission to the Panel]</w:t>
      </w:r>
      <w:r w:rsidRPr="003A4900">
        <w:rPr>
          <w:sz w:val="21"/>
          <w:szCs w:val="21"/>
        </w:rPr>
        <w:t>.</w:t>
      </w:r>
    </w:p>
    <w:p w14:paraId="18F65571" w14:textId="78AD3E1E" w:rsidR="00150A99" w:rsidRDefault="00544B23" w:rsidP="00DD5314">
      <w:pPr>
        <w:spacing w:line="259" w:lineRule="auto"/>
        <w:ind w:left="851"/>
        <w:rPr>
          <w:sz w:val="21"/>
          <w:szCs w:val="21"/>
        </w:rPr>
      </w:pPr>
      <w:r w:rsidRPr="00544B23">
        <w:rPr>
          <w:sz w:val="21"/>
          <w:szCs w:val="21"/>
        </w:rPr>
        <w:t>“Given the high value and length of this contract, we are deeply concerned that the ICB is deliberately breaching the requirements on it under law, and seek the Panel’s review of this matter.”</w:t>
      </w:r>
    </w:p>
    <w:p w14:paraId="48F78A56" w14:textId="23790B0D" w:rsidR="00025674" w:rsidRDefault="00025674" w:rsidP="00CE17B6">
      <w:pPr>
        <w:pStyle w:val="Heading1"/>
      </w:pPr>
      <w:bookmarkStart w:id="23" w:name="_Toc219399095"/>
      <w:r>
        <w:t>PSR regulations relevant to this review</w:t>
      </w:r>
      <w:bookmarkEnd w:id="23"/>
    </w:p>
    <w:p w14:paraId="04F74C5F" w14:textId="3F85C3A8" w:rsidR="00B34EF2" w:rsidRPr="00B34EF2" w:rsidRDefault="0037668E" w:rsidP="00C65A39">
      <w:pPr>
        <w:pStyle w:val="ListParagraph"/>
        <w:spacing w:after="120"/>
        <w:ind w:left="567" w:hanging="567"/>
      </w:pPr>
      <w:r>
        <w:t>This section sets out those parts of the PSR regulations relevant to this review</w:t>
      </w:r>
      <w:r w:rsidR="00D834E6">
        <w:t>.</w:t>
      </w:r>
    </w:p>
    <w:p w14:paraId="5310C896" w14:textId="710F2022" w:rsidR="00F03E91" w:rsidRDefault="00F03E91" w:rsidP="00F226F8">
      <w:pPr>
        <w:pStyle w:val="ListParagraph"/>
        <w:numPr>
          <w:ilvl w:val="0"/>
          <w:numId w:val="10"/>
        </w:numPr>
        <w:spacing w:after="120"/>
        <w:ind w:hanging="357"/>
      </w:pPr>
      <w:r>
        <w:t>Regulation 4</w:t>
      </w:r>
      <w:r w:rsidR="0072311A">
        <w:t xml:space="preserve"> </w:t>
      </w:r>
      <w:r w:rsidR="0042098C">
        <w:t>sets out the procurement principles by which commissioners must abide</w:t>
      </w:r>
      <w:r w:rsidR="005135CA">
        <w:t xml:space="preserve">. It says that “when </w:t>
      </w:r>
      <w:r w:rsidR="008F0FAD">
        <w:t xml:space="preserve">procuring </w:t>
      </w:r>
      <w:r w:rsidR="005135CA">
        <w:t>relevant health care services, a relevant authority must act (a) with a view to (i) securing the needs of the people who use the services, (ii) improving the quality of the services</w:t>
      </w:r>
      <w:r w:rsidR="00A75716">
        <w:t>, and (iii) improving efficiency in the provision of the services; and (b) transparently, fairly and proportionately”.</w:t>
      </w:r>
    </w:p>
    <w:p w14:paraId="73E08A1C" w14:textId="77777777" w:rsidR="009C7A0D" w:rsidRDefault="00D24586" w:rsidP="00F226F8">
      <w:pPr>
        <w:pStyle w:val="ListParagraph"/>
        <w:numPr>
          <w:ilvl w:val="0"/>
          <w:numId w:val="10"/>
        </w:numPr>
        <w:spacing w:after="120"/>
        <w:ind w:hanging="357"/>
      </w:pPr>
      <w:r>
        <w:t>Regulation 12 sets out the requirements on commissioners in relation to the standstill period after a contract award decision. It states that</w:t>
      </w:r>
    </w:p>
    <w:p w14:paraId="092A9C15" w14:textId="081F3834" w:rsidR="00025674" w:rsidRDefault="00D24586" w:rsidP="009C7A0D">
      <w:pPr>
        <w:pStyle w:val="ListParagraph"/>
        <w:numPr>
          <w:ilvl w:val="0"/>
          <w:numId w:val="0"/>
        </w:numPr>
        <w:spacing w:after="120"/>
        <w:ind w:left="1080"/>
      </w:pPr>
      <w:r>
        <w:t xml:space="preserve">“(4) where the relevant authority receives representations [during the standstill period], it must </w:t>
      </w:r>
      <w:r w:rsidR="00E0669C">
        <w:t>(a) ensure each provider who made representation is afforded such further opportunity to explain or clarify the representations made as the relevant authority considers appropriate</w:t>
      </w:r>
      <w:r w:rsidR="009074BD">
        <w:t>,</w:t>
      </w:r>
      <w:r>
        <w:t xml:space="preserve"> (b) provide promptly any information requested by an aggrieved provider where the relevant authority has a duty to record that information under regulation 24 (information requirements).</w:t>
      </w:r>
    </w:p>
    <w:p w14:paraId="33F0053B" w14:textId="4B5B462F" w:rsidR="009C7A0D" w:rsidRDefault="009C7A0D" w:rsidP="009C7A0D">
      <w:pPr>
        <w:pStyle w:val="ListParagraph"/>
        <w:numPr>
          <w:ilvl w:val="0"/>
          <w:numId w:val="0"/>
        </w:numPr>
        <w:spacing w:after="120"/>
        <w:ind w:left="1080"/>
      </w:pPr>
      <w:r>
        <w:t xml:space="preserve">“(5) </w:t>
      </w:r>
      <w:r w:rsidR="00B46D5F">
        <w:t xml:space="preserve">Paragraph (4)(b) does not require the provision of information where provision </w:t>
      </w:r>
      <w:r>
        <w:t>(a) would prejudice the legitimate commercial interests of any person, including those of the relevant authority; (b) might prejudice fair competition between providers; or (c) would otherwise be contrary to the public interest</w:t>
      </w:r>
      <w:r w:rsidR="002510D1">
        <w:t>.”</w:t>
      </w:r>
    </w:p>
    <w:p w14:paraId="33089537" w14:textId="7662D5E7" w:rsidR="00797925" w:rsidRDefault="00653E62" w:rsidP="00F226F8">
      <w:pPr>
        <w:pStyle w:val="ListParagraph"/>
        <w:numPr>
          <w:ilvl w:val="0"/>
          <w:numId w:val="10"/>
        </w:numPr>
        <w:ind w:hanging="357"/>
      </w:pPr>
      <w:r w:rsidRPr="00653E62">
        <w:t>Regulation 24 sets out the information that must be recorded by commissioners. This includes</w:t>
      </w:r>
      <w:r w:rsidR="009074BD">
        <w:t xml:space="preserve"> </w:t>
      </w:r>
      <w:r w:rsidRPr="00653E62">
        <w:t>“… (d) the decision-making process followed, including the identity of individuals making decisions; (e)</w:t>
      </w:r>
      <w:r w:rsidR="009074BD">
        <w:t xml:space="preserve"> </w:t>
      </w:r>
      <w:r w:rsidRPr="00653E62">
        <w:t>where</w:t>
      </w:r>
      <w:r w:rsidR="009074BD">
        <w:t xml:space="preserve"> </w:t>
      </w:r>
      <w:r w:rsidRPr="00653E62">
        <w:t>Direct Award Process C or the Most Suitable Provider process was followed,</w:t>
      </w:r>
      <w:r w:rsidR="009074BD">
        <w:t xml:space="preserve"> </w:t>
      </w:r>
      <w:r w:rsidRPr="00653E62">
        <w:t>a description of the way in which the key criteria were taken into account, the basic selection criteria were assessed when making a decision</w:t>
      </w:r>
      <w:r w:rsidR="009074BD">
        <w:t xml:space="preserve"> </w:t>
      </w:r>
      <w:r w:rsidRPr="00653E62">
        <w:t>…</w:t>
      </w:r>
      <w:r w:rsidR="009074BD">
        <w:t xml:space="preserve"> </w:t>
      </w:r>
      <w:r w:rsidRPr="00653E62">
        <w:t>(g) the reasons for decisions made under these Regulations</w:t>
      </w:r>
      <w:r w:rsidR="00047B47">
        <w:t xml:space="preserve"> </w:t>
      </w:r>
      <w:r w:rsidRPr="00653E62">
        <w:t>…”</w:t>
      </w:r>
    </w:p>
    <w:p w14:paraId="48B5A881" w14:textId="524C51FE" w:rsidR="00357097" w:rsidRPr="008B410D" w:rsidRDefault="00A12E05" w:rsidP="00357097">
      <w:pPr>
        <w:pStyle w:val="ListParagraph"/>
        <w:ind w:left="567" w:hanging="567"/>
      </w:pPr>
      <w:r>
        <w:t>Commissioner</w:t>
      </w:r>
      <w:r w:rsidR="008F5DFF">
        <w:t xml:space="preserve">s must also </w:t>
      </w:r>
      <w:r w:rsidR="00357097" w:rsidRPr="001647B8">
        <w:t xml:space="preserve">have regard to </w:t>
      </w:r>
      <w:r w:rsidR="00357097" w:rsidRPr="00132C0A">
        <w:t>the</w:t>
      </w:r>
      <w:r w:rsidR="00357097">
        <w:t xml:space="preserve"> Provider Selection Regime Statutory Guidance </w:t>
      </w:r>
      <w:r w:rsidR="00357097" w:rsidRPr="000F3347">
        <w:t>when arranging services in scope of the PSR</w:t>
      </w:r>
      <w:r w:rsidR="00357097">
        <w:t xml:space="preserve"> regulations</w:t>
      </w:r>
      <w:r w:rsidR="008F5DFF">
        <w:t xml:space="preserve"> (</w:t>
      </w:r>
      <w:r w:rsidR="008B6A6A">
        <w:t xml:space="preserve">as per </w:t>
      </w:r>
      <w:r w:rsidR="008F5DFF" w:rsidRPr="00132C0A">
        <w:t>s12ZB(5) of the National Health Service Act 2006</w:t>
      </w:r>
      <w:r w:rsidR="008F5DFF">
        <w:t>)</w:t>
      </w:r>
      <w:r w:rsidR="00357097">
        <w:t>.</w:t>
      </w:r>
      <w:r w:rsidR="00357097">
        <w:rPr>
          <w:rStyle w:val="FootnoteReference"/>
        </w:rPr>
        <w:footnoteReference w:id="26"/>
      </w:r>
      <w:r w:rsidR="00357097">
        <w:t xml:space="preserve"> Reference is made</w:t>
      </w:r>
      <w:r w:rsidR="00E77A57">
        <w:t>, where necessary,</w:t>
      </w:r>
      <w:r w:rsidR="00357097">
        <w:t xml:space="preserve"> to relevant provisions of the Statutory Guidance in the Panel’s assessment of the issues in Section 7.</w:t>
      </w:r>
    </w:p>
    <w:p w14:paraId="4ACFA67B" w14:textId="56876175" w:rsidR="00C74951" w:rsidRDefault="00C74951" w:rsidP="00CE17B6">
      <w:pPr>
        <w:pStyle w:val="Heading1"/>
      </w:pPr>
      <w:bookmarkStart w:id="24" w:name="_Toc219399096"/>
      <w:r>
        <w:lastRenderedPageBreak/>
        <w:t>Panel Assessment</w:t>
      </w:r>
      <w:bookmarkEnd w:id="24"/>
    </w:p>
    <w:p w14:paraId="23D02C6F" w14:textId="171FA24B" w:rsidR="00EF5D1C" w:rsidRPr="00EF5D1C" w:rsidRDefault="00EF5D1C" w:rsidP="003163CB">
      <w:pPr>
        <w:pStyle w:val="ListParagraph"/>
        <w:ind w:left="567" w:hanging="567"/>
        <w:contextualSpacing/>
      </w:pPr>
      <w:r w:rsidRPr="00EF5D1C">
        <w:t xml:space="preserve">This section sets out the Panel’s assessment of whether </w:t>
      </w:r>
      <w:r w:rsidR="00E34365">
        <w:t xml:space="preserve">NHS GM, </w:t>
      </w:r>
      <w:r w:rsidR="005038F8">
        <w:t>in</w:t>
      </w:r>
      <w:r w:rsidR="00E34365">
        <w:t xml:space="preserve"> conducting the provider selection process for </w:t>
      </w:r>
      <w:r w:rsidR="00CA0E71">
        <w:t>its</w:t>
      </w:r>
      <w:r w:rsidR="00281D59">
        <w:t xml:space="preserve"> </w:t>
      </w:r>
      <w:r w:rsidR="00E34365">
        <w:t>community dermatology service,</w:t>
      </w:r>
      <w:r w:rsidRPr="00EF5D1C">
        <w:t xml:space="preserve"> </w:t>
      </w:r>
      <w:r w:rsidR="00E52A64">
        <w:t>breached</w:t>
      </w:r>
      <w:r w:rsidRPr="00EF5D1C">
        <w:t xml:space="preserve"> the PSR regulations:</w:t>
      </w:r>
    </w:p>
    <w:p w14:paraId="39446864" w14:textId="608D8901" w:rsidR="00C74951" w:rsidRDefault="00170313" w:rsidP="00EC4066">
      <w:pPr>
        <w:pStyle w:val="ListParagraph"/>
        <w:numPr>
          <w:ilvl w:val="0"/>
          <w:numId w:val="10"/>
        </w:numPr>
        <w:ind w:left="1077" w:hanging="357"/>
        <w:contextualSpacing/>
      </w:pPr>
      <w:r>
        <w:t>f</w:t>
      </w:r>
      <w:r w:rsidR="00EF5D1C">
        <w:t xml:space="preserve">irst, </w:t>
      </w:r>
      <w:r w:rsidR="00437321">
        <w:t>when</w:t>
      </w:r>
      <w:r w:rsidR="00EF5D1C">
        <w:t xml:space="preserve"> </w:t>
      </w:r>
      <w:r w:rsidR="006C5CF1">
        <w:t>assessing the effect of</w:t>
      </w:r>
      <w:r w:rsidR="00D50EDE">
        <w:t xml:space="preserve"> </w:t>
      </w:r>
      <w:r w:rsidR="00194897">
        <w:t>About Health</w:t>
      </w:r>
      <w:r w:rsidR="000141FC">
        <w:t>’s change in ownership</w:t>
      </w:r>
      <w:r w:rsidR="00194897">
        <w:t xml:space="preserve"> </w:t>
      </w:r>
      <w:r w:rsidR="0014513B">
        <w:t xml:space="preserve">on the provider selection process </w:t>
      </w:r>
      <w:r w:rsidR="00EF5D1C">
        <w:t>(</w:t>
      </w:r>
      <w:r w:rsidR="00067988">
        <w:t xml:space="preserve">see </w:t>
      </w:r>
      <w:r w:rsidR="00EF5D1C">
        <w:t>Section 7.1);</w:t>
      </w:r>
      <w:r w:rsidR="008E35C7">
        <w:t xml:space="preserve"> and</w:t>
      </w:r>
    </w:p>
    <w:p w14:paraId="3FE71FF4" w14:textId="3D753200" w:rsidR="00EF5D1C" w:rsidRDefault="00170313" w:rsidP="00EC4066">
      <w:pPr>
        <w:pStyle w:val="ListParagraph"/>
        <w:numPr>
          <w:ilvl w:val="0"/>
          <w:numId w:val="10"/>
        </w:numPr>
        <w:ind w:left="1077" w:hanging="357"/>
        <w:contextualSpacing/>
      </w:pPr>
      <w:r>
        <w:t>s</w:t>
      </w:r>
      <w:r w:rsidR="00EF5D1C">
        <w:t xml:space="preserve">econd, </w:t>
      </w:r>
      <w:r w:rsidR="00437321">
        <w:t>when</w:t>
      </w:r>
      <w:r w:rsidR="00EF5D1C">
        <w:t xml:space="preserve"> </w:t>
      </w:r>
      <w:r w:rsidR="006C5CF1">
        <w:t>responding to</w:t>
      </w:r>
      <w:r w:rsidR="00B51CBE">
        <w:t xml:space="preserve"> </w:t>
      </w:r>
      <w:r w:rsidR="008E35C7">
        <w:t xml:space="preserve">CHEC’s representations and </w:t>
      </w:r>
      <w:r w:rsidR="002520B4">
        <w:t xml:space="preserve">requests for </w:t>
      </w:r>
      <w:r w:rsidR="008E35C7">
        <w:t>information (</w:t>
      </w:r>
      <w:r w:rsidR="00067988">
        <w:t xml:space="preserve">see </w:t>
      </w:r>
      <w:r w:rsidR="00EF5D1C">
        <w:t>Section 7.2)</w:t>
      </w:r>
      <w:r w:rsidR="00EC4066">
        <w:t>.</w:t>
      </w:r>
    </w:p>
    <w:p w14:paraId="236BC47C" w14:textId="035E062E" w:rsidR="00626A7A" w:rsidRDefault="00626A7A" w:rsidP="00C664DC">
      <w:pPr>
        <w:pStyle w:val="Heading2"/>
        <w:spacing w:before="240" w:after="120"/>
      </w:pPr>
      <w:bookmarkStart w:id="25" w:name="_Toc219399097"/>
      <w:r>
        <w:t>7.1</w:t>
      </w:r>
      <w:r w:rsidR="00710195">
        <w:t xml:space="preserve"> </w:t>
      </w:r>
      <w:r w:rsidR="00EC4066">
        <w:t xml:space="preserve">NHS GM’s </w:t>
      </w:r>
      <w:r w:rsidR="008F04FD">
        <w:t>assessment of the effects of</w:t>
      </w:r>
      <w:r w:rsidR="00281D59">
        <w:t xml:space="preserve"> </w:t>
      </w:r>
      <w:r w:rsidR="00D972F3">
        <w:t>About Health</w:t>
      </w:r>
      <w:r w:rsidR="007E7953">
        <w:t xml:space="preserve">’s </w:t>
      </w:r>
      <w:r w:rsidR="00AE7C91">
        <w:t xml:space="preserve">change in </w:t>
      </w:r>
      <w:r w:rsidR="0042725D">
        <w:t>ownership</w:t>
      </w:r>
      <w:bookmarkEnd w:id="25"/>
    </w:p>
    <w:p w14:paraId="5EA987F9" w14:textId="11D10D49" w:rsidR="008C21E7" w:rsidRDefault="009C2C5C" w:rsidP="003163CB">
      <w:pPr>
        <w:pStyle w:val="ListParagraph"/>
        <w:ind w:left="567" w:hanging="567"/>
        <w:contextualSpacing/>
      </w:pPr>
      <w:r>
        <w:t xml:space="preserve">NHS GM carried out its assessment of About Health’s change in ownership in two </w:t>
      </w:r>
      <w:r w:rsidR="00456534">
        <w:t>steps</w:t>
      </w:r>
      <w:r w:rsidR="00A22723">
        <w:t>:</w:t>
      </w:r>
    </w:p>
    <w:p w14:paraId="5C9BD91F" w14:textId="0C37F6D5" w:rsidR="009702CA" w:rsidRDefault="009702CA" w:rsidP="00B372E1">
      <w:pPr>
        <w:pStyle w:val="ListParagraph"/>
        <w:numPr>
          <w:ilvl w:val="0"/>
          <w:numId w:val="10"/>
        </w:numPr>
        <w:contextualSpacing/>
      </w:pPr>
      <w:r>
        <w:t xml:space="preserve">first, </w:t>
      </w:r>
      <w:r w:rsidR="00083303">
        <w:t xml:space="preserve">in June 2025, when </w:t>
      </w:r>
      <w:r w:rsidR="008C0E66">
        <w:t xml:space="preserve">NHS </w:t>
      </w:r>
      <w:r w:rsidR="006B0EF7">
        <w:t>GM</w:t>
      </w:r>
      <w:r w:rsidR="00083303">
        <w:t xml:space="preserve"> learned of </w:t>
      </w:r>
      <w:r w:rsidR="005C48C6">
        <w:t xml:space="preserve">About Health’s </w:t>
      </w:r>
      <w:r w:rsidR="00083303">
        <w:t xml:space="preserve">imminent </w:t>
      </w:r>
      <w:r w:rsidR="005C48C6">
        <w:t>change in ownership</w:t>
      </w:r>
      <w:r w:rsidR="00456534">
        <w:t xml:space="preserve"> </w:t>
      </w:r>
      <w:r>
        <w:t>(</w:t>
      </w:r>
      <w:r w:rsidR="00F17C15">
        <w:t xml:space="preserve">see </w:t>
      </w:r>
      <w:r>
        <w:t>Section</w:t>
      </w:r>
      <w:r w:rsidR="006B0EF7">
        <w:t> </w:t>
      </w:r>
      <w:r>
        <w:t>7.1.1); and</w:t>
      </w:r>
    </w:p>
    <w:p w14:paraId="67C037AA" w14:textId="56478DAA" w:rsidR="009702CA" w:rsidRDefault="009702CA" w:rsidP="009702CA">
      <w:pPr>
        <w:pStyle w:val="ListParagraph"/>
        <w:numPr>
          <w:ilvl w:val="0"/>
          <w:numId w:val="10"/>
        </w:numPr>
      </w:pPr>
      <w:r>
        <w:t xml:space="preserve">second, </w:t>
      </w:r>
      <w:r w:rsidR="00456534">
        <w:t xml:space="preserve">in </w:t>
      </w:r>
      <w:r w:rsidR="001508F7">
        <w:t xml:space="preserve">August to </w:t>
      </w:r>
      <w:r w:rsidR="00456534">
        <w:t>October 2025</w:t>
      </w:r>
      <w:r w:rsidR="00C20C2A">
        <w:t>,</w:t>
      </w:r>
      <w:r w:rsidR="00456534">
        <w:t xml:space="preserve"> when </w:t>
      </w:r>
      <w:r w:rsidR="006613FB">
        <w:t>NHS GM</w:t>
      </w:r>
      <w:r w:rsidR="00456534">
        <w:t xml:space="preserve"> </w:t>
      </w:r>
      <w:r w:rsidR="001508F7">
        <w:t xml:space="preserve">carried out </w:t>
      </w:r>
      <w:r w:rsidR="00E91977">
        <w:t>a</w:t>
      </w:r>
      <w:r w:rsidR="001508F7">
        <w:t xml:space="preserve"> due diligence exercise in relation to </w:t>
      </w:r>
      <w:r>
        <w:t xml:space="preserve">About Health’s </w:t>
      </w:r>
      <w:r w:rsidR="00A31AF7">
        <w:t>change in</w:t>
      </w:r>
      <w:r w:rsidR="008E549B">
        <w:t xml:space="preserve"> ownership </w:t>
      </w:r>
      <w:r>
        <w:t>(</w:t>
      </w:r>
      <w:r w:rsidR="00F17C15">
        <w:t xml:space="preserve">see </w:t>
      </w:r>
      <w:r>
        <w:t>Section 7.1.2).</w:t>
      </w:r>
    </w:p>
    <w:p w14:paraId="465EF8C5" w14:textId="1B252189" w:rsidR="00007EB9" w:rsidRDefault="008C6B43" w:rsidP="00007EB9">
      <w:pPr>
        <w:pStyle w:val="ListParagraph"/>
        <w:ind w:left="567" w:hanging="567"/>
      </w:pPr>
      <w:r>
        <w:t>T</w:t>
      </w:r>
      <w:r w:rsidR="00007EB9">
        <w:t xml:space="preserve">he Panel’s </w:t>
      </w:r>
      <w:r w:rsidR="00404F41">
        <w:t>evaluation</w:t>
      </w:r>
      <w:r w:rsidR="00007EB9">
        <w:t xml:space="preserve"> of </w:t>
      </w:r>
      <w:r w:rsidR="00010B43">
        <w:t>NHS GM’s</w:t>
      </w:r>
      <w:r>
        <w:t xml:space="preserve"> assessment </w:t>
      </w:r>
      <w:r w:rsidR="00010B43">
        <w:t xml:space="preserve">of About Health’s change in ownership </w:t>
      </w:r>
      <w:r w:rsidR="00404F41">
        <w:t>is set out in Section 7.1.3.</w:t>
      </w:r>
    </w:p>
    <w:p w14:paraId="7F219E6C" w14:textId="6D9EF290" w:rsidR="00285BA6" w:rsidRPr="008A0C03" w:rsidRDefault="00F61677" w:rsidP="008A0C03">
      <w:pPr>
        <w:pStyle w:val="ListParagraph"/>
        <w:keepNext/>
        <w:numPr>
          <w:ilvl w:val="2"/>
          <w:numId w:val="138"/>
        </w:numPr>
        <w:spacing w:before="240"/>
        <w:rPr>
          <w:b/>
          <w:bCs/>
        </w:rPr>
      </w:pPr>
      <w:r w:rsidRPr="008A0C03">
        <w:rPr>
          <w:b/>
          <w:bCs/>
        </w:rPr>
        <w:t>NHS GM’s initial a</w:t>
      </w:r>
      <w:r w:rsidR="007B40EB" w:rsidRPr="008A0C03">
        <w:rPr>
          <w:b/>
          <w:bCs/>
        </w:rPr>
        <w:t xml:space="preserve">ssessment </w:t>
      </w:r>
      <w:r w:rsidR="00283122" w:rsidRPr="008A0C03">
        <w:rPr>
          <w:b/>
          <w:bCs/>
        </w:rPr>
        <w:t xml:space="preserve">of </w:t>
      </w:r>
      <w:r w:rsidR="00E6678D" w:rsidRPr="008A0C03">
        <w:rPr>
          <w:b/>
          <w:bCs/>
        </w:rPr>
        <w:t>About Health’s change in ownership</w:t>
      </w:r>
    </w:p>
    <w:p w14:paraId="552F5C76" w14:textId="77777777" w:rsidR="008A0C03" w:rsidRDefault="00157DF6" w:rsidP="008A0C03">
      <w:pPr>
        <w:pStyle w:val="ListParagraph"/>
        <w:spacing w:after="0"/>
        <w:ind w:left="567" w:hanging="567"/>
      </w:pPr>
      <w:r>
        <w:t>To briefly recap on the relevant events concerning NHS GM’s initial assessment of About Health’s change in ownership</w:t>
      </w:r>
      <w:r w:rsidR="008A0C03">
        <w:t>:</w:t>
      </w:r>
    </w:p>
    <w:p w14:paraId="48675DC3" w14:textId="14D750FD" w:rsidR="008A0C03" w:rsidRDefault="00E54A8B" w:rsidP="008A0C03">
      <w:pPr>
        <w:pStyle w:val="ListParagraph"/>
        <w:numPr>
          <w:ilvl w:val="0"/>
          <w:numId w:val="10"/>
        </w:numPr>
        <w:spacing w:after="0"/>
      </w:pPr>
      <w:r>
        <w:t>About Health was identified as the successful bidder on 29 May 2025 (see paragraph</w:t>
      </w:r>
      <w:r w:rsidR="00851BBE">
        <w:t xml:space="preserve"> 31</w:t>
      </w:r>
      <w:r>
        <w:t>)</w:t>
      </w:r>
      <w:r w:rsidR="00DB23AD">
        <w:t>.</w:t>
      </w:r>
    </w:p>
    <w:p w14:paraId="39C66D0A" w14:textId="7B09C5AD" w:rsidR="008A0C03" w:rsidRDefault="00B23D0E" w:rsidP="008A0C03">
      <w:pPr>
        <w:pStyle w:val="ListParagraph"/>
        <w:numPr>
          <w:ilvl w:val="0"/>
          <w:numId w:val="10"/>
        </w:numPr>
        <w:spacing w:after="0"/>
      </w:pPr>
      <w:r>
        <w:t>NHS GM</w:t>
      </w:r>
      <w:r w:rsidR="00E54A8B">
        <w:t>, after being told of About Health’s impending change in ownership on 5</w:t>
      </w:r>
      <w:r w:rsidR="004E6F8C">
        <w:t> </w:t>
      </w:r>
      <w:r w:rsidR="00E54A8B">
        <w:t>June (see paragraph</w:t>
      </w:r>
      <w:r w:rsidR="00851BBE">
        <w:t xml:space="preserve"> 33</w:t>
      </w:r>
      <w:r w:rsidR="00E54A8B">
        <w:t>)</w:t>
      </w:r>
      <w:r w:rsidR="00AF7CBD">
        <w:t>, concluded</w:t>
      </w:r>
      <w:r w:rsidR="00FC3DE1">
        <w:t xml:space="preserve"> </w:t>
      </w:r>
      <w:r w:rsidR="00A8338D">
        <w:t xml:space="preserve">on 6 June </w:t>
      </w:r>
      <w:r w:rsidR="00AF7CBD">
        <w:t xml:space="preserve">that </w:t>
      </w:r>
      <w:r>
        <w:t xml:space="preserve">the </w:t>
      </w:r>
      <w:r w:rsidR="00AF7CBD">
        <w:t>change in ownership did not affect the outcome of the provider selection process</w:t>
      </w:r>
      <w:r w:rsidR="00DB23AD">
        <w:t xml:space="preserve"> (see paragraph</w:t>
      </w:r>
      <w:r w:rsidR="00851BBE">
        <w:t xml:space="preserve"> 34</w:t>
      </w:r>
      <w:r w:rsidR="00DB23AD">
        <w:t>).</w:t>
      </w:r>
    </w:p>
    <w:p w14:paraId="39C8417A" w14:textId="4D3AC1B8" w:rsidR="003F0418" w:rsidRDefault="008A0C03" w:rsidP="008A0C03">
      <w:pPr>
        <w:pStyle w:val="ListParagraph"/>
        <w:numPr>
          <w:ilvl w:val="0"/>
          <w:numId w:val="10"/>
        </w:numPr>
      </w:pPr>
      <w:r>
        <w:t xml:space="preserve">NHS GM </w:t>
      </w:r>
      <w:r w:rsidR="00DB23AD">
        <w:t xml:space="preserve">further decided </w:t>
      </w:r>
      <w:r w:rsidR="00A8338D">
        <w:t xml:space="preserve">that </w:t>
      </w:r>
      <w:r w:rsidR="0093638D">
        <w:t xml:space="preserve">any </w:t>
      </w:r>
      <w:r w:rsidR="00DB23AD">
        <w:t>clarifications about the change in ownership</w:t>
      </w:r>
      <w:r w:rsidR="0093638D">
        <w:t xml:space="preserve"> could be </w:t>
      </w:r>
      <w:r w:rsidR="00304436">
        <w:t xml:space="preserve">carried out in a due diligence exercise after </w:t>
      </w:r>
      <w:r w:rsidR="0093638D">
        <w:t xml:space="preserve">About Health was </w:t>
      </w:r>
      <w:r w:rsidR="00E17623">
        <w:t xml:space="preserve">announced as the successful bidder </w:t>
      </w:r>
      <w:r w:rsidR="00AF7CBD">
        <w:t>(see paragraph</w:t>
      </w:r>
      <w:r w:rsidR="00851BBE">
        <w:t xml:space="preserve"> 34</w:t>
      </w:r>
      <w:r w:rsidR="00AF7CBD">
        <w:t>).</w:t>
      </w:r>
    </w:p>
    <w:p w14:paraId="75055DF4" w14:textId="4B0E6F40" w:rsidR="007A44D1" w:rsidRDefault="00C034E4" w:rsidP="006F642C">
      <w:pPr>
        <w:pStyle w:val="ListParagraph"/>
        <w:ind w:left="567" w:hanging="567"/>
      </w:pPr>
      <w:bookmarkStart w:id="26" w:name="_Ref219709159"/>
      <w:bookmarkStart w:id="27" w:name="_Ref217921254"/>
      <w:r>
        <w:t>NHS GM</w:t>
      </w:r>
      <w:r w:rsidR="00DD0E8E">
        <w:t>’s</w:t>
      </w:r>
      <w:r>
        <w:t xml:space="preserve"> </w:t>
      </w:r>
      <w:r w:rsidR="0078393E">
        <w:t>conclu</w:t>
      </w:r>
      <w:r w:rsidR="00DD0E8E">
        <w:t>sion</w:t>
      </w:r>
      <w:r w:rsidR="003373A8">
        <w:t xml:space="preserve"> </w:t>
      </w:r>
      <w:r w:rsidR="00C53E8D">
        <w:t xml:space="preserve">on 6 June 2025 </w:t>
      </w:r>
      <w:r w:rsidR="003B51C0">
        <w:t xml:space="preserve">that </w:t>
      </w:r>
      <w:r w:rsidR="00A4095D">
        <w:t xml:space="preserve">About Health’s </w:t>
      </w:r>
      <w:r w:rsidR="00F86079">
        <w:t xml:space="preserve">change in </w:t>
      </w:r>
      <w:r w:rsidR="00D67A88">
        <w:t xml:space="preserve">ownership did not </w:t>
      </w:r>
      <w:r w:rsidR="005B4CFF">
        <w:t>affect the outcome of the provider selection process</w:t>
      </w:r>
      <w:r w:rsidR="00600D4D">
        <w:t xml:space="preserve"> follow</w:t>
      </w:r>
      <w:r w:rsidR="001E5C16">
        <w:t xml:space="preserve">ed </w:t>
      </w:r>
      <w:r w:rsidR="008312F8">
        <w:t xml:space="preserve">several </w:t>
      </w:r>
      <w:r w:rsidR="00600D4D">
        <w:t>email</w:t>
      </w:r>
      <w:r w:rsidR="001E5C16">
        <w:t>s</w:t>
      </w:r>
      <w:r w:rsidR="00600D4D">
        <w:t xml:space="preserve"> </w:t>
      </w:r>
      <w:r w:rsidR="009D1797">
        <w:t xml:space="preserve">and a meeting </w:t>
      </w:r>
      <w:r w:rsidR="00600D4D">
        <w:t xml:space="preserve">between </w:t>
      </w:r>
      <w:r w:rsidR="00B64C97">
        <w:t xml:space="preserve">staff </w:t>
      </w:r>
      <w:r w:rsidR="00600D4D">
        <w:t>working on the provider selection process</w:t>
      </w:r>
      <w:r w:rsidR="009D1797">
        <w:t xml:space="preserve">. (This included staff from NHS </w:t>
      </w:r>
      <w:r w:rsidR="00463862">
        <w:t xml:space="preserve">GM and from NHS </w:t>
      </w:r>
      <w:r w:rsidR="009D1797">
        <w:t xml:space="preserve">Shared Business Services (NHS SBS), which was supporting </w:t>
      </w:r>
      <w:r w:rsidR="00E81BC5">
        <w:t xml:space="preserve">NHS GM </w:t>
      </w:r>
      <w:r w:rsidR="009D1797">
        <w:t>in the provider selection process</w:t>
      </w:r>
      <w:r w:rsidR="00600D4D">
        <w:t>.</w:t>
      </w:r>
      <w:r w:rsidR="009D1797">
        <w:t>)</w:t>
      </w:r>
      <w:bookmarkEnd w:id="26"/>
    </w:p>
    <w:p w14:paraId="424318AF" w14:textId="1E49DC6A" w:rsidR="00270A17" w:rsidRDefault="00DA1640" w:rsidP="006F642C">
      <w:pPr>
        <w:pStyle w:val="ListParagraph"/>
        <w:ind w:left="567" w:hanging="567"/>
      </w:pPr>
      <w:bookmarkStart w:id="28" w:name="_Ref219390414"/>
      <w:r>
        <w:t>Th</w:t>
      </w:r>
      <w:r w:rsidR="00924D6D">
        <w:t>e</w:t>
      </w:r>
      <w:r w:rsidR="00C45F71">
        <w:t xml:space="preserve"> records of the</w:t>
      </w:r>
      <w:r w:rsidR="00D601DD">
        <w:t>se emails</w:t>
      </w:r>
      <w:r w:rsidR="00654D62">
        <w:t xml:space="preserve"> </w:t>
      </w:r>
      <w:r w:rsidR="00D601DD">
        <w:t xml:space="preserve">and </w:t>
      </w:r>
      <w:r w:rsidR="00C45F71">
        <w:t xml:space="preserve">the internal meeting </w:t>
      </w:r>
      <w:r w:rsidR="00DB00D8">
        <w:t>(</w:t>
      </w:r>
      <w:r w:rsidR="004008D3">
        <w:t xml:space="preserve">see </w:t>
      </w:r>
      <w:r w:rsidR="00DB00D8">
        <w:t>Table 1)</w:t>
      </w:r>
      <w:r w:rsidR="00A36CF5">
        <w:t xml:space="preserve"> show </w:t>
      </w:r>
      <w:r w:rsidR="00243A50">
        <w:t xml:space="preserve">that </w:t>
      </w:r>
      <w:r w:rsidR="00737F2C">
        <w:t xml:space="preserve">an </w:t>
      </w:r>
      <w:r w:rsidR="000279E1">
        <w:t>initial</w:t>
      </w:r>
      <w:r w:rsidR="00451331">
        <w:t xml:space="preserve"> </w:t>
      </w:r>
      <w:r w:rsidR="003E3C19">
        <w:t>suggestion</w:t>
      </w:r>
      <w:r w:rsidR="00243A50">
        <w:t xml:space="preserve"> </w:t>
      </w:r>
      <w:r w:rsidR="00096537">
        <w:t xml:space="preserve">that </w:t>
      </w:r>
      <w:r w:rsidR="000742FA">
        <w:t>About Health’s change in ownership</w:t>
      </w:r>
      <w:r w:rsidR="00096537">
        <w:t xml:space="preserve"> was limited to a change in group ownership</w:t>
      </w:r>
      <w:r w:rsidR="00654D62">
        <w:t>,</w:t>
      </w:r>
      <w:r w:rsidR="000742FA">
        <w:t xml:space="preserve"> </w:t>
      </w:r>
      <w:r w:rsidR="00243A50">
        <w:t xml:space="preserve">and </w:t>
      </w:r>
      <w:r w:rsidR="0060282B">
        <w:t xml:space="preserve">unchecked recollections </w:t>
      </w:r>
      <w:r w:rsidR="005A718E">
        <w:t>of</w:t>
      </w:r>
      <w:r w:rsidR="0060282B">
        <w:t xml:space="preserve"> About Health’s proposal</w:t>
      </w:r>
      <w:r w:rsidR="00654D62">
        <w:t>,</w:t>
      </w:r>
      <w:r w:rsidR="0060282B">
        <w:t xml:space="preserve"> </w:t>
      </w:r>
      <w:r w:rsidR="00737F2C">
        <w:t xml:space="preserve">turned into </w:t>
      </w:r>
      <w:r w:rsidR="00C7452A">
        <w:t xml:space="preserve">a </w:t>
      </w:r>
      <w:r w:rsidR="00AC24DE">
        <w:t xml:space="preserve">firm </w:t>
      </w:r>
      <w:r w:rsidR="000978D4">
        <w:t>conclusion</w:t>
      </w:r>
      <w:r w:rsidR="00C7452A">
        <w:t xml:space="preserve"> that </w:t>
      </w:r>
      <w:r w:rsidR="000279E1">
        <w:t>About Health</w:t>
      </w:r>
      <w:r w:rsidR="00C84EFD">
        <w:t>’s proposal was independent of its parent company</w:t>
      </w:r>
      <w:r w:rsidR="0029556E">
        <w:t xml:space="preserve"> at the time of making its bid</w:t>
      </w:r>
      <w:r w:rsidR="00460CD3">
        <w:t>.</w:t>
      </w:r>
    </w:p>
    <w:p w14:paraId="7D427187" w14:textId="027BC381" w:rsidR="000A09C1" w:rsidRPr="00635A7E" w:rsidRDefault="00BE2EF4" w:rsidP="00635A7E">
      <w:pPr>
        <w:pStyle w:val="ListParagraph"/>
        <w:ind w:left="567" w:hanging="567"/>
      </w:pPr>
      <w:r>
        <w:t>This</w:t>
      </w:r>
      <w:r w:rsidR="00C84EFD">
        <w:t xml:space="preserve">, </w:t>
      </w:r>
      <w:r>
        <w:t xml:space="preserve">in turn, </w:t>
      </w:r>
      <w:r w:rsidR="0092104B">
        <w:t>result</w:t>
      </w:r>
      <w:r>
        <w:t xml:space="preserve">ed </w:t>
      </w:r>
      <w:r w:rsidR="0092104B">
        <w:t xml:space="preserve">in </w:t>
      </w:r>
      <w:r w:rsidR="000163ED">
        <w:t xml:space="preserve">NHS GM concluding </w:t>
      </w:r>
      <w:r>
        <w:t xml:space="preserve">that </w:t>
      </w:r>
      <w:r w:rsidR="00B54422">
        <w:t>About Health’s</w:t>
      </w:r>
      <w:r w:rsidR="00C84EFD">
        <w:t xml:space="preserve"> </w:t>
      </w:r>
      <w:r w:rsidR="00C7452A">
        <w:t xml:space="preserve">change in ownership did not affect </w:t>
      </w:r>
      <w:r w:rsidR="000279E1">
        <w:t xml:space="preserve">its </w:t>
      </w:r>
      <w:r w:rsidR="00C7452A">
        <w:t xml:space="preserve">proposal or </w:t>
      </w:r>
      <w:r w:rsidR="00F0645F">
        <w:t>the outcome of the provider selection process</w:t>
      </w:r>
      <w:bookmarkEnd w:id="28"/>
      <w:r w:rsidR="0092104B">
        <w:t xml:space="preserve">, and deciding </w:t>
      </w:r>
      <w:r w:rsidR="0004524F">
        <w:t xml:space="preserve">that any questions concerning About Health’s change in ownership could be </w:t>
      </w:r>
      <w:r w:rsidR="00206322">
        <w:lastRenderedPageBreak/>
        <w:t xml:space="preserve">pursued </w:t>
      </w:r>
      <w:r w:rsidR="000E2078">
        <w:t xml:space="preserve">in </w:t>
      </w:r>
      <w:r w:rsidR="00550A8D">
        <w:t xml:space="preserve">a due diligence exercise </w:t>
      </w:r>
      <w:r w:rsidR="000D1CAF">
        <w:t>once</w:t>
      </w:r>
      <w:r w:rsidR="000E2078">
        <w:t xml:space="preserve"> About Health</w:t>
      </w:r>
      <w:r w:rsidR="000D1CAF">
        <w:t xml:space="preserve"> had been </w:t>
      </w:r>
      <w:r w:rsidR="000E2078">
        <w:t>announce</w:t>
      </w:r>
      <w:r w:rsidR="000D1CAF">
        <w:t>d</w:t>
      </w:r>
      <w:r w:rsidR="000E2078">
        <w:t xml:space="preserve"> as the successful bidder</w:t>
      </w:r>
      <w:r w:rsidR="00F0645F">
        <w:t>.</w:t>
      </w:r>
      <w:bookmarkEnd w:id="27"/>
    </w:p>
    <w:p w14:paraId="2D64935A" w14:textId="6D772DF7" w:rsidR="00EF0A52" w:rsidRPr="00AC24DE" w:rsidRDefault="0041194E" w:rsidP="00AC24DE">
      <w:pPr>
        <w:keepNext/>
        <w:spacing w:before="240" w:after="120"/>
        <w:rPr>
          <w:b/>
          <w:bCs/>
          <w:sz w:val="20"/>
          <w:szCs w:val="20"/>
        </w:rPr>
      </w:pPr>
      <w:r>
        <w:rPr>
          <w:b/>
          <w:bCs/>
          <w:sz w:val="20"/>
          <w:szCs w:val="20"/>
        </w:rPr>
        <w:t xml:space="preserve">Table 1: </w:t>
      </w:r>
      <w:r w:rsidR="00C63849">
        <w:rPr>
          <w:b/>
          <w:bCs/>
          <w:sz w:val="20"/>
          <w:szCs w:val="20"/>
        </w:rPr>
        <w:t xml:space="preserve">Discussions </w:t>
      </w:r>
      <w:r w:rsidR="00452352">
        <w:rPr>
          <w:b/>
          <w:bCs/>
          <w:sz w:val="20"/>
          <w:szCs w:val="20"/>
        </w:rPr>
        <w:t xml:space="preserve">at NHS GM concerning </w:t>
      </w:r>
      <w:r w:rsidR="004F7EC0">
        <w:rPr>
          <w:b/>
          <w:bCs/>
          <w:sz w:val="20"/>
          <w:szCs w:val="20"/>
        </w:rPr>
        <w:t>About Health’s change in ownership</w:t>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1"/>
        <w:gridCol w:w="1559"/>
        <w:gridCol w:w="6096"/>
      </w:tblGrid>
      <w:tr w:rsidR="00FF1C5E" w:rsidRPr="00256DA5" w14:paraId="424C5FF1" w14:textId="77777777" w:rsidTr="00EA7E8F">
        <w:tc>
          <w:tcPr>
            <w:tcW w:w="1271" w:type="dxa"/>
          </w:tcPr>
          <w:p w14:paraId="78DB8D67" w14:textId="308BBD53" w:rsidR="00256DA5" w:rsidRPr="00AC24DE" w:rsidRDefault="00256DA5" w:rsidP="00AC24DE">
            <w:pPr>
              <w:spacing w:before="60" w:after="60" w:line="240" w:lineRule="auto"/>
              <w:rPr>
                <w:sz w:val="18"/>
                <w:szCs w:val="18"/>
              </w:rPr>
            </w:pPr>
            <w:r>
              <w:rPr>
                <w:sz w:val="18"/>
                <w:szCs w:val="18"/>
              </w:rPr>
              <w:t>5 June 2025</w:t>
            </w:r>
          </w:p>
        </w:tc>
        <w:tc>
          <w:tcPr>
            <w:tcW w:w="1559" w:type="dxa"/>
          </w:tcPr>
          <w:p w14:paraId="19CCAEFE" w14:textId="33587C6A" w:rsidR="00256DA5" w:rsidRPr="00AC24DE" w:rsidRDefault="00256DA5" w:rsidP="00AC24DE">
            <w:pPr>
              <w:spacing w:before="60" w:after="60" w:line="240" w:lineRule="auto"/>
              <w:rPr>
                <w:sz w:val="18"/>
                <w:szCs w:val="18"/>
              </w:rPr>
            </w:pPr>
            <w:r>
              <w:rPr>
                <w:sz w:val="18"/>
                <w:szCs w:val="18"/>
              </w:rPr>
              <w:t xml:space="preserve">Email </w:t>
            </w:r>
            <w:r w:rsidR="008F4724">
              <w:rPr>
                <w:sz w:val="18"/>
                <w:szCs w:val="18"/>
              </w:rPr>
              <w:t xml:space="preserve">from NHS SBS to NHS </w:t>
            </w:r>
            <w:r w:rsidR="00E54D19">
              <w:rPr>
                <w:sz w:val="18"/>
                <w:szCs w:val="18"/>
              </w:rPr>
              <w:t>GM</w:t>
            </w:r>
          </w:p>
        </w:tc>
        <w:tc>
          <w:tcPr>
            <w:tcW w:w="6096" w:type="dxa"/>
          </w:tcPr>
          <w:p w14:paraId="37047D6C" w14:textId="2A1049A2" w:rsidR="00256DA5" w:rsidRPr="00AC24DE" w:rsidRDefault="000B1B28" w:rsidP="00AC24DE">
            <w:pPr>
              <w:spacing w:before="60" w:after="60" w:line="240" w:lineRule="auto"/>
              <w:rPr>
                <w:sz w:val="18"/>
                <w:szCs w:val="18"/>
              </w:rPr>
            </w:pPr>
            <w:r w:rsidRPr="00C3773C">
              <w:rPr>
                <w:sz w:val="18"/>
                <w:szCs w:val="18"/>
              </w:rPr>
              <w:t>“</w:t>
            </w:r>
            <w:r w:rsidR="00247BA9" w:rsidRPr="00C3773C">
              <w:rPr>
                <w:sz w:val="18"/>
                <w:szCs w:val="18"/>
              </w:rPr>
              <w:t>The bidder has provided Totally PLC as the immediate and ultimate parent company as part of their BSCQ</w:t>
            </w:r>
            <w:r w:rsidR="00C3773C">
              <w:rPr>
                <w:sz w:val="18"/>
                <w:szCs w:val="18"/>
              </w:rPr>
              <w:t xml:space="preserve"> [Basic Selection Criteria Questionnaire]</w:t>
            </w:r>
            <w:r w:rsidR="00247BA9" w:rsidRPr="00C3773C">
              <w:rPr>
                <w:sz w:val="18"/>
                <w:szCs w:val="18"/>
              </w:rPr>
              <w:t xml:space="preserve">, and </w:t>
            </w:r>
            <w:r w:rsidR="00C3773C" w:rsidRPr="00C3773C">
              <w:rPr>
                <w:sz w:val="18"/>
                <w:szCs w:val="18"/>
              </w:rPr>
              <w:t>t</w:t>
            </w:r>
            <w:r w:rsidRPr="00C3773C">
              <w:rPr>
                <w:sz w:val="18"/>
                <w:szCs w:val="18"/>
              </w:rPr>
              <w:t>his seems to be a change in group ownership rather than bidder. Once this has been actioned the bidder will potentially have a duty to inform GM how this could affect their dermatology bid submission/service delivery if any. I am afraid I do not have experience in group ownership and implications of this be it financial or service related. However, I would recommend that GM considers what information might be required from the new group and obtains appropriate assurances prior to contract signature through the bidder. There are also some provisions in our ITT document 1 discussing relevant authority due diligence and assurances and options if these are not satisfactorily completed”</w:t>
            </w:r>
          </w:p>
        </w:tc>
      </w:tr>
      <w:tr w:rsidR="00FF1C5E" w:rsidRPr="00256DA5" w14:paraId="4D26453C" w14:textId="77777777" w:rsidTr="00EA7E8F">
        <w:tc>
          <w:tcPr>
            <w:tcW w:w="1271" w:type="dxa"/>
          </w:tcPr>
          <w:p w14:paraId="070973E0" w14:textId="0EC3E482" w:rsidR="00256DA5" w:rsidRPr="00AC24DE" w:rsidRDefault="00EA7E8F" w:rsidP="00AC24DE">
            <w:pPr>
              <w:spacing w:before="60" w:after="60" w:line="240" w:lineRule="auto"/>
              <w:rPr>
                <w:sz w:val="18"/>
                <w:szCs w:val="18"/>
              </w:rPr>
            </w:pPr>
            <w:r>
              <w:rPr>
                <w:sz w:val="18"/>
                <w:szCs w:val="18"/>
              </w:rPr>
              <w:t>5 June 2025</w:t>
            </w:r>
          </w:p>
        </w:tc>
        <w:tc>
          <w:tcPr>
            <w:tcW w:w="1559" w:type="dxa"/>
          </w:tcPr>
          <w:p w14:paraId="10AF0B41" w14:textId="4C9C61C4" w:rsidR="00256DA5" w:rsidRPr="00AC24DE" w:rsidRDefault="00EA7E8F" w:rsidP="00AC24DE">
            <w:pPr>
              <w:spacing w:before="60" w:after="60" w:line="240" w:lineRule="auto"/>
              <w:rPr>
                <w:sz w:val="18"/>
                <w:szCs w:val="18"/>
              </w:rPr>
            </w:pPr>
            <w:r>
              <w:rPr>
                <w:sz w:val="18"/>
                <w:szCs w:val="18"/>
              </w:rPr>
              <w:t>Email from NHS GM to NHS SBS</w:t>
            </w:r>
          </w:p>
        </w:tc>
        <w:tc>
          <w:tcPr>
            <w:tcW w:w="6096" w:type="dxa"/>
          </w:tcPr>
          <w:p w14:paraId="52777DE9" w14:textId="7765992A" w:rsidR="00256DA5" w:rsidRPr="00AC24DE" w:rsidRDefault="00EA7E8F" w:rsidP="00AC24DE">
            <w:pPr>
              <w:spacing w:before="60" w:after="60" w:line="240" w:lineRule="auto"/>
              <w:rPr>
                <w:sz w:val="18"/>
                <w:szCs w:val="18"/>
              </w:rPr>
            </w:pPr>
            <w:r w:rsidRPr="00EA7E8F">
              <w:rPr>
                <w:sz w:val="18"/>
                <w:szCs w:val="18"/>
              </w:rPr>
              <w:t>“I think you’re saying that we’re ok to carry on as we are at the moment but that we’ll need to consider what additional information we might ask for as part of the due diligence process before contract signature?”</w:t>
            </w:r>
          </w:p>
        </w:tc>
      </w:tr>
      <w:tr w:rsidR="00FF1C5E" w:rsidRPr="00256DA5" w14:paraId="600405A5" w14:textId="77777777" w:rsidTr="00EA7E8F">
        <w:tc>
          <w:tcPr>
            <w:tcW w:w="1271" w:type="dxa"/>
          </w:tcPr>
          <w:p w14:paraId="503AF6B9" w14:textId="6552F447" w:rsidR="00256DA5" w:rsidRPr="00AC24DE" w:rsidRDefault="00EA7E8F" w:rsidP="00AC24DE">
            <w:pPr>
              <w:spacing w:before="60" w:after="60" w:line="240" w:lineRule="auto"/>
              <w:rPr>
                <w:sz w:val="18"/>
                <w:szCs w:val="18"/>
              </w:rPr>
            </w:pPr>
            <w:r>
              <w:rPr>
                <w:sz w:val="18"/>
                <w:szCs w:val="18"/>
              </w:rPr>
              <w:t>5 June 2025</w:t>
            </w:r>
          </w:p>
        </w:tc>
        <w:tc>
          <w:tcPr>
            <w:tcW w:w="1559" w:type="dxa"/>
          </w:tcPr>
          <w:p w14:paraId="0117EE94" w14:textId="0AC9E2A5" w:rsidR="00256DA5" w:rsidRPr="00AC24DE" w:rsidRDefault="00EA7E8F" w:rsidP="00AC24DE">
            <w:pPr>
              <w:spacing w:before="60" w:after="60" w:line="240" w:lineRule="auto"/>
              <w:rPr>
                <w:sz w:val="18"/>
                <w:szCs w:val="18"/>
              </w:rPr>
            </w:pPr>
            <w:r>
              <w:rPr>
                <w:sz w:val="18"/>
                <w:szCs w:val="18"/>
              </w:rPr>
              <w:t>Email from NHS SBS to NHS GM</w:t>
            </w:r>
          </w:p>
        </w:tc>
        <w:tc>
          <w:tcPr>
            <w:tcW w:w="6096" w:type="dxa"/>
          </w:tcPr>
          <w:p w14:paraId="20A465BE" w14:textId="77777777" w:rsidR="00256DA5" w:rsidRPr="00EA7E8F" w:rsidRDefault="00EA7E8F" w:rsidP="00EF0A52">
            <w:pPr>
              <w:spacing w:before="60" w:after="60" w:line="240" w:lineRule="auto"/>
              <w:rPr>
                <w:sz w:val="18"/>
                <w:szCs w:val="18"/>
              </w:rPr>
            </w:pPr>
            <w:r w:rsidRPr="00EA7E8F">
              <w:rPr>
                <w:sz w:val="18"/>
                <w:szCs w:val="18"/>
              </w:rPr>
              <w:t>“Yes, unless they had some dependency on the parent company to meet the selection criteria or perform the services, that I do not recall seeing, there shouldn’t be really an issue. The bidder information was accurate at the point of submission, and they appear to have been proactive about making the ICB aware of a change. GM however can seek any assurance it wants about the takeover of the parent decision and to assess any identified risks with the recommended bidder and how relevant those are for the contract award and contract delivery at any stage.</w:t>
            </w:r>
          </w:p>
          <w:p w14:paraId="3B7704E8" w14:textId="07C8DE06" w:rsidR="00EA7E8F" w:rsidRPr="00AC24DE" w:rsidRDefault="00EA7E8F" w:rsidP="00EA7E8F">
            <w:pPr>
              <w:spacing w:before="60" w:after="60" w:line="240" w:lineRule="auto"/>
              <w:rPr>
                <w:sz w:val="18"/>
                <w:szCs w:val="18"/>
              </w:rPr>
            </w:pPr>
            <w:r w:rsidRPr="00EA7E8F">
              <w:rPr>
                <w:sz w:val="18"/>
                <w:szCs w:val="18"/>
              </w:rPr>
              <w:t>“For now, going through GM governance for this contract award is important so please refrain from providing any outcome information on this to this bidder or any other via any other channels. I know this is not the case but just highlighting this, mindful that the outcome is still confidential and commercially sensitive at this point”</w:t>
            </w:r>
          </w:p>
        </w:tc>
      </w:tr>
      <w:tr w:rsidR="00FF1C5E" w:rsidRPr="00256DA5" w14:paraId="5B4F6777" w14:textId="77777777" w:rsidTr="00EA7E8F">
        <w:tc>
          <w:tcPr>
            <w:tcW w:w="1271" w:type="dxa"/>
          </w:tcPr>
          <w:p w14:paraId="15596682" w14:textId="54BC2FD6" w:rsidR="00256DA5" w:rsidRPr="00AC24DE" w:rsidRDefault="00AE4CB8" w:rsidP="00AC24DE">
            <w:pPr>
              <w:spacing w:before="60" w:after="60" w:line="240" w:lineRule="auto"/>
              <w:rPr>
                <w:sz w:val="18"/>
                <w:szCs w:val="18"/>
              </w:rPr>
            </w:pPr>
            <w:r>
              <w:rPr>
                <w:sz w:val="18"/>
                <w:szCs w:val="18"/>
              </w:rPr>
              <w:t>6 June 2025</w:t>
            </w:r>
          </w:p>
        </w:tc>
        <w:tc>
          <w:tcPr>
            <w:tcW w:w="1559" w:type="dxa"/>
          </w:tcPr>
          <w:p w14:paraId="21BE3B5B" w14:textId="3EDF363C" w:rsidR="00256DA5" w:rsidRPr="00AC24DE" w:rsidRDefault="00AE4CB8" w:rsidP="00AC24DE">
            <w:pPr>
              <w:spacing w:before="60" w:after="60" w:line="240" w:lineRule="auto"/>
              <w:rPr>
                <w:sz w:val="18"/>
                <w:szCs w:val="18"/>
              </w:rPr>
            </w:pPr>
            <w:r>
              <w:rPr>
                <w:sz w:val="18"/>
                <w:szCs w:val="18"/>
              </w:rPr>
              <w:t>Internal NHS GM email</w:t>
            </w:r>
          </w:p>
        </w:tc>
        <w:tc>
          <w:tcPr>
            <w:tcW w:w="6096" w:type="dxa"/>
          </w:tcPr>
          <w:p w14:paraId="545BA82B" w14:textId="0DD15D95" w:rsidR="00256DA5" w:rsidRPr="00AC24DE" w:rsidRDefault="00AE4CB8" w:rsidP="00AC24DE">
            <w:pPr>
              <w:spacing w:before="60" w:after="60" w:line="240" w:lineRule="auto"/>
              <w:rPr>
                <w:sz w:val="18"/>
                <w:szCs w:val="18"/>
              </w:rPr>
            </w:pPr>
            <w:r w:rsidRPr="00AC24DE">
              <w:rPr>
                <w:sz w:val="18"/>
                <w:szCs w:val="18"/>
              </w:rPr>
              <w:t xml:space="preserve">“I’ve liaised with [Procurement Manager] at SBS who doesn’t feel that this </w:t>
            </w:r>
            <w:r w:rsidR="00100B8A">
              <w:rPr>
                <w:sz w:val="18"/>
                <w:szCs w:val="18"/>
              </w:rPr>
              <w:t xml:space="preserve">[the change in ownership] </w:t>
            </w:r>
            <w:r w:rsidRPr="00AC24DE">
              <w:rPr>
                <w:sz w:val="18"/>
                <w:szCs w:val="18"/>
              </w:rPr>
              <w:t>impacts on the procurement at all as the bidder didn’t rely on the parent group to deliver the service. What we weren’t sure of, however, was whether this acquisition would result in a need for any specific items to be included as part of due diligence prior to contract signature and I’d be grateful if you’d give this some thought.”</w:t>
            </w:r>
          </w:p>
        </w:tc>
      </w:tr>
      <w:tr w:rsidR="00FF1C5E" w:rsidRPr="00256DA5" w14:paraId="59F2A944" w14:textId="77777777" w:rsidTr="00EA7E8F">
        <w:tc>
          <w:tcPr>
            <w:tcW w:w="1271" w:type="dxa"/>
          </w:tcPr>
          <w:p w14:paraId="10412503" w14:textId="77C8A6FF" w:rsidR="00256DA5" w:rsidRPr="00AC24DE" w:rsidRDefault="00CF1E15" w:rsidP="00AC24DE">
            <w:pPr>
              <w:spacing w:before="60" w:after="60" w:line="240" w:lineRule="auto"/>
              <w:rPr>
                <w:sz w:val="18"/>
                <w:szCs w:val="18"/>
              </w:rPr>
            </w:pPr>
            <w:r>
              <w:rPr>
                <w:sz w:val="18"/>
                <w:szCs w:val="18"/>
              </w:rPr>
              <w:t>6 June 2025</w:t>
            </w:r>
          </w:p>
        </w:tc>
        <w:tc>
          <w:tcPr>
            <w:tcW w:w="1559" w:type="dxa"/>
          </w:tcPr>
          <w:p w14:paraId="2E35A355" w14:textId="135DC731" w:rsidR="00256DA5" w:rsidRPr="00AC24DE" w:rsidRDefault="00CF1E15" w:rsidP="00AC24DE">
            <w:pPr>
              <w:spacing w:before="60" w:after="60" w:line="240" w:lineRule="auto"/>
              <w:rPr>
                <w:sz w:val="18"/>
                <w:szCs w:val="18"/>
              </w:rPr>
            </w:pPr>
            <w:r>
              <w:rPr>
                <w:sz w:val="18"/>
                <w:szCs w:val="18"/>
              </w:rPr>
              <w:t>NHS GM</w:t>
            </w:r>
            <w:r w:rsidR="00361D0B">
              <w:rPr>
                <w:sz w:val="18"/>
                <w:szCs w:val="18"/>
              </w:rPr>
              <w:t xml:space="preserve"> description of internal discussion</w:t>
            </w:r>
          </w:p>
        </w:tc>
        <w:tc>
          <w:tcPr>
            <w:tcW w:w="6096" w:type="dxa"/>
          </w:tcPr>
          <w:p w14:paraId="3A2C8B8E" w14:textId="2CCCFF3D" w:rsidR="00256DA5" w:rsidRPr="00AC24DE" w:rsidRDefault="00B37FAC" w:rsidP="00AC24DE">
            <w:pPr>
              <w:spacing w:before="60" w:after="60" w:line="240" w:lineRule="auto"/>
              <w:rPr>
                <w:sz w:val="18"/>
                <w:szCs w:val="18"/>
              </w:rPr>
            </w:pPr>
            <w:r>
              <w:rPr>
                <w:sz w:val="18"/>
                <w:szCs w:val="18"/>
              </w:rPr>
              <w:t>“</w:t>
            </w:r>
            <w:r w:rsidR="002C4334">
              <w:rPr>
                <w:sz w:val="18"/>
                <w:szCs w:val="18"/>
              </w:rPr>
              <w:t xml:space="preserve">NHS GM key evaluation panel members discussed this issue </w:t>
            </w:r>
            <w:r w:rsidR="00F065D1">
              <w:rPr>
                <w:sz w:val="18"/>
                <w:szCs w:val="18"/>
              </w:rPr>
              <w:t xml:space="preserve">[About Health’s change in ownership] </w:t>
            </w:r>
            <w:r w:rsidR="00732FF3">
              <w:rPr>
                <w:sz w:val="18"/>
                <w:szCs w:val="18"/>
              </w:rPr>
              <w:t xml:space="preserve">and </w:t>
            </w:r>
            <w:r w:rsidRPr="00AC24DE">
              <w:rPr>
                <w:sz w:val="18"/>
                <w:szCs w:val="18"/>
              </w:rPr>
              <w:t xml:space="preserve">agreed that </w:t>
            </w:r>
            <w:r w:rsidR="000F5167">
              <w:rPr>
                <w:sz w:val="18"/>
                <w:szCs w:val="18"/>
              </w:rPr>
              <w:t xml:space="preserve">the bid submitted by </w:t>
            </w:r>
            <w:r w:rsidRPr="00AC24DE">
              <w:rPr>
                <w:sz w:val="18"/>
                <w:szCs w:val="18"/>
              </w:rPr>
              <w:t>About Health</w:t>
            </w:r>
            <w:r w:rsidR="00651892">
              <w:rPr>
                <w:sz w:val="18"/>
                <w:szCs w:val="18"/>
              </w:rPr>
              <w:t xml:space="preserve"> Ltd was a </w:t>
            </w:r>
            <w:r w:rsidRPr="00AC24DE">
              <w:rPr>
                <w:sz w:val="18"/>
                <w:szCs w:val="18"/>
              </w:rPr>
              <w:t>standalone bid and the change in group ownership did not affect the final outcome</w:t>
            </w:r>
            <w:r w:rsidR="00DC104B">
              <w:rPr>
                <w:sz w:val="18"/>
                <w:szCs w:val="18"/>
              </w:rPr>
              <w:t xml:space="preserve"> [</w:t>
            </w:r>
            <w:r w:rsidRPr="00AC24DE">
              <w:rPr>
                <w:sz w:val="18"/>
                <w:szCs w:val="18"/>
              </w:rPr>
              <w:t>of the provider selection process</w:t>
            </w:r>
            <w:r w:rsidR="00DC104B">
              <w:rPr>
                <w:sz w:val="18"/>
                <w:szCs w:val="18"/>
              </w:rPr>
              <w:t xml:space="preserve">] and that further due diligence </w:t>
            </w:r>
            <w:r w:rsidR="00707B8D">
              <w:rPr>
                <w:sz w:val="18"/>
                <w:szCs w:val="18"/>
              </w:rPr>
              <w:t>would be undertaken prior to contract signature</w:t>
            </w:r>
            <w:r w:rsidRPr="00AC24DE">
              <w:rPr>
                <w:sz w:val="18"/>
                <w:szCs w:val="18"/>
              </w:rPr>
              <w:t>.</w:t>
            </w:r>
            <w:r w:rsidR="007D4688">
              <w:rPr>
                <w:sz w:val="18"/>
                <w:szCs w:val="18"/>
              </w:rPr>
              <w:t>”</w:t>
            </w:r>
          </w:p>
        </w:tc>
      </w:tr>
    </w:tbl>
    <w:p w14:paraId="7C1ECA42" w14:textId="35A64839" w:rsidR="00EF0A52" w:rsidRPr="00AC24DE" w:rsidRDefault="008132C5" w:rsidP="00AC24DE">
      <w:pPr>
        <w:spacing w:before="60" w:after="360" w:line="240" w:lineRule="auto"/>
        <w:rPr>
          <w:sz w:val="16"/>
          <w:szCs w:val="16"/>
        </w:rPr>
      </w:pPr>
      <w:r w:rsidRPr="00AC24DE">
        <w:rPr>
          <w:i/>
          <w:iCs/>
          <w:sz w:val="16"/>
          <w:szCs w:val="16"/>
        </w:rPr>
        <w:t>Sources</w:t>
      </w:r>
      <w:r>
        <w:rPr>
          <w:sz w:val="16"/>
          <w:szCs w:val="16"/>
        </w:rPr>
        <w:t xml:space="preserve">: </w:t>
      </w:r>
      <w:r w:rsidR="005E29BA">
        <w:rPr>
          <w:sz w:val="16"/>
          <w:szCs w:val="16"/>
        </w:rPr>
        <w:t xml:space="preserve">NHS GM email correspondence supplied to the Panel and </w:t>
      </w:r>
      <w:r w:rsidR="002E43C6">
        <w:rPr>
          <w:sz w:val="16"/>
          <w:szCs w:val="16"/>
        </w:rPr>
        <w:t xml:space="preserve">NHS GM </w:t>
      </w:r>
      <w:r w:rsidR="005E29BA">
        <w:rPr>
          <w:sz w:val="16"/>
          <w:szCs w:val="16"/>
        </w:rPr>
        <w:t xml:space="preserve">response to Panel </w:t>
      </w:r>
      <w:r w:rsidR="007340D0">
        <w:rPr>
          <w:sz w:val="16"/>
          <w:szCs w:val="16"/>
        </w:rPr>
        <w:t>Q</w:t>
      </w:r>
      <w:r w:rsidR="005E29BA">
        <w:rPr>
          <w:sz w:val="16"/>
          <w:szCs w:val="16"/>
        </w:rPr>
        <w:t xml:space="preserve">uestion </w:t>
      </w:r>
      <w:r w:rsidR="00F9559E">
        <w:rPr>
          <w:sz w:val="16"/>
          <w:szCs w:val="16"/>
        </w:rPr>
        <w:t>4-RA</w:t>
      </w:r>
      <w:r w:rsidR="00F07A1D">
        <w:rPr>
          <w:sz w:val="16"/>
          <w:szCs w:val="16"/>
        </w:rPr>
        <w:t>.</w:t>
      </w:r>
    </w:p>
    <w:p w14:paraId="05C375D0" w14:textId="4A1A3AAF" w:rsidR="0081147C" w:rsidRPr="00711A21" w:rsidRDefault="00700C6B" w:rsidP="003C35D7">
      <w:pPr>
        <w:keepNext/>
        <w:spacing w:before="240"/>
        <w:rPr>
          <w:b/>
          <w:bCs/>
        </w:rPr>
      </w:pPr>
      <w:r w:rsidRPr="00711A21">
        <w:rPr>
          <w:b/>
          <w:bCs/>
        </w:rPr>
        <w:t>7.1.</w:t>
      </w:r>
      <w:r w:rsidR="002B7163">
        <w:rPr>
          <w:b/>
          <w:bCs/>
        </w:rPr>
        <w:t>2</w:t>
      </w:r>
      <w:r w:rsidRPr="00711A21">
        <w:rPr>
          <w:b/>
          <w:bCs/>
        </w:rPr>
        <w:t xml:space="preserve"> </w:t>
      </w:r>
      <w:r w:rsidR="00B36419">
        <w:rPr>
          <w:b/>
          <w:bCs/>
        </w:rPr>
        <w:t xml:space="preserve">NHS GM’s </w:t>
      </w:r>
      <w:r w:rsidR="00CF6A13">
        <w:rPr>
          <w:b/>
          <w:bCs/>
        </w:rPr>
        <w:t xml:space="preserve">due diligence </w:t>
      </w:r>
      <w:r w:rsidR="00827F9A">
        <w:rPr>
          <w:b/>
          <w:bCs/>
        </w:rPr>
        <w:t xml:space="preserve">exercise </w:t>
      </w:r>
      <w:r w:rsidR="00351FD1">
        <w:rPr>
          <w:b/>
          <w:bCs/>
        </w:rPr>
        <w:t>with respect to</w:t>
      </w:r>
      <w:r w:rsidR="00CF6A13">
        <w:rPr>
          <w:b/>
          <w:bCs/>
        </w:rPr>
        <w:t xml:space="preserve"> </w:t>
      </w:r>
      <w:r w:rsidR="00B36419">
        <w:rPr>
          <w:b/>
          <w:bCs/>
        </w:rPr>
        <w:t>About Health’s change in ownership</w:t>
      </w:r>
    </w:p>
    <w:p w14:paraId="26DB8BF1" w14:textId="398E7574" w:rsidR="003A1306" w:rsidRDefault="66659972" w:rsidP="00BD6F88">
      <w:pPr>
        <w:pStyle w:val="ListParagraph"/>
        <w:ind w:left="567" w:hanging="567"/>
      </w:pPr>
      <w:r>
        <w:t xml:space="preserve">NHS GM’s due diligence </w:t>
      </w:r>
      <w:r w:rsidR="78F6B71A">
        <w:t>exercise</w:t>
      </w:r>
      <w:r w:rsidR="34F4389E">
        <w:t xml:space="preserve"> with respect to About Health’s change in ownership </w:t>
      </w:r>
      <w:r w:rsidR="003A781D">
        <w:t xml:space="preserve">commenced </w:t>
      </w:r>
      <w:r w:rsidR="001D7808">
        <w:t xml:space="preserve">after About Health </w:t>
      </w:r>
      <w:r w:rsidR="00A80C01">
        <w:t xml:space="preserve">was </w:t>
      </w:r>
      <w:r w:rsidR="001D7808">
        <w:t>announce</w:t>
      </w:r>
      <w:r w:rsidR="00A80C01">
        <w:t xml:space="preserve">d </w:t>
      </w:r>
      <w:r w:rsidR="001D7808">
        <w:t xml:space="preserve">as the successful bidder and </w:t>
      </w:r>
      <w:r w:rsidR="34F4389E">
        <w:t>was carried out</w:t>
      </w:r>
      <w:r w:rsidR="67D1CFE8">
        <w:t xml:space="preserve"> between </w:t>
      </w:r>
      <w:r w:rsidR="243A5230">
        <w:t xml:space="preserve">August </w:t>
      </w:r>
      <w:r w:rsidR="67D1CFE8">
        <w:t>and</w:t>
      </w:r>
      <w:r w:rsidR="243A5230">
        <w:t xml:space="preserve"> October 2025.</w:t>
      </w:r>
    </w:p>
    <w:p w14:paraId="0E132902" w14:textId="1DAA3FF8" w:rsidR="000625D1" w:rsidRDefault="07E98DFE" w:rsidP="00127FD0">
      <w:pPr>
        <w:pStyle w:val="ListParagraph"/>
        <w:ind w:left="567" w:hanging="567"/>
      </w:pPr>
      <w:bookmarkStart w:id="29" w:name="_Ref219050931"/>
      <w:r>
        <w:t>NHS GM’s ability to carry out d</w:t>
      </w:r>
      <w:r w:rsidR="42BD2B0C">
        <w:t xml:space="preserve">ue diligence </w:t>
      </w:r>
      <w:r>
        <w:t>“to see</w:t>
      </w:r>
      <w:r w:rsidR="686E3880">
        <w:t>k</w:t>
      </w:r>
      <w:r>
        <w:t xml:space="preserve"> the necessary reassurances in regard to the Bidder’s bid response and overall ability to deliver the requirements” was provided for in </w:t>
      </w:r>
      <w:r w:rsidR="4B2754FA">
        <w:t>its</w:t>
      </w:r>
      <w:r>
        <w:t xml:space="preserve"> </w:t>
      </w:r>
      <w:r w:rsidR="6CADA62B">
        <w:t>tender documentation. Th</w:t>
      </w:r>
      <w:r w:rsidR="1A00E5BD">
        <w:t xml:space="preserve">e relevant provision in the documentation </w:t>
      </w:r>
      <w:r w:rsidR="1A00E5BD">
        <w:lastRenderedPageBreak/>
        <w:t>(see text box below) allow</w:t>
      </w:r>
      <w:r w:rsidR="00BE114A">
        <w:t>ed</w:t>
      </w:r>
      <w:r w:rsidR="1A00E5BD">
        <w:t xml:space="preserve"> </w:t>
      </w:r>
      <w:r w:rsidR="6CADA62B">
        <w:t xml:space="preserve">NHS GM to carry out due diligence at any point </w:t>
      </w:r>
      <w:r w:rsidR="40C9DE08">
        <w:t>during or after the provider selection process</w:t>
      </w:r>
      <w:bookmarkEnd w:id="29"/>
      <w:r w:rsidR="40C9DE08">
        <w:t>.</w:t>
      </w:r>
    </w:p>
    <w:tbl>
      <w:tblPr>
        <w:tblStyle w:val="TableGrid"/>
        <w:tblW w:w="0" w:type="auto"/>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54"/>
      </w:tblGrid>
      <w:tr w:rsidR="000943F8" w:rsidRPr="009D3645" w14:paraId="68B57B06" w14:textId="77777777" w:rsidTr="00DD3E77">
        <w:tc>
          <w:tcPr>
            <w:tcW w:w="8454" w:type="dxa"/>
            <w:shd w:val="pct10" w:color="auto" w:fill="auto"/>
          </w:tcPr>
          <w:p w14:paraId="1189A617" w14:textId="77777777" w:rsidR="007915B7" w:rsidRPr="009D3645" w:rsidRDefault="007915B7" w:rsidP="00DD3E77">
            <w:pPr>
              <w:keepNext/>
              <w:spacing w:before="60" w:after="60" w:line="240" w:lineRule="auto"/>
              <w:rPr>
                <w:b/>
                <w:bCs/>
                <w:sz w:val="18"/>
                <w:szCs w:val="18"/>
              </w:rPr>
            </w:pPr>
            <w:r>
              <w:rPr>
                <w:b/>
                <w:bCs/>
                <w:sz w:val="18"/>
                <w:szCs w:val="18"/>
              </w:rPr>
              <w:t>Due diligence provision in NHS GM tender documentation for the community dermatology service</w:t>
            </w:r>
          </w:p>
        </w:tc>
      </w:tr>
      <w:tr w:rsidR="000943F8" w:rsidRPr="009D3645" w14:paraId="1CF8013D" w14:textId="77777777" w:rsidTr="00DD3E77">
        <w:tc>
          <w:tcPr>
            <w:tcW w:w="8454" w:type="dxa"/>
          </w:tcPr>
          <w:p w14:paraId="153D77A3" w14:textId="77777777" w:rsidR="007915B7" w:rsidRPr="009D3645" w:rsidRDefault="007915B7" w:rsidP="00DD3E77">
            <w:pPr>
              <w:pStyle w:val="ListParagraph"/>
              <w:numPr>
                <w:ilvl w:val="0"/>
                <w:numId w:val="0"/>
              </w:numPr>
              <w:spacing w:before="60" w:after="60" w:line="240" w:lineRule="auto"/>
              <w:rPr>
                <w:sz w:val="18"/>
                <w:szCs w:val="18"/>
              </w:rPr>
            </w:pPr>
            <w:r w:rsidRPr="009D3645">
              <w:rPr>
                <w:sz w:val="18"/>
                <w:szCs w:val="18"/>
              </w:rPr>
              <w:t>“The Relevant Authority reserves the right to undertake due diligence as it considers appropriate at any point throughout and/or after the Procurement to seek the necessary reassurances in regard to the Bidder’s bid response and overall ability to deliver the requirements of the Relevant Authority.</w:t>
            </w:r>
          </w:p>
          <w:p w14:paraId="7223759D" w14:textId="77777777" w:rsidR="007915B7" w:rsidRPr="009D3645" w:rsidRDefault="007915B7" w:rsidP="00DD3E77">
            <w:pPr>
              <w:pStyle w:val="ListParagraph"/>
              <w:numPr>
                <w:ilvl w:val="0"/>
                <w:numId w:val="0"/>
              </w:numPr>
              <w:spacing w:before="60" w:after="60" w:line="240" w:lineRule="auto"/>
              <w:rPr>
                <w:sz w:val="18"/>
                <w:szCs w:val="18"/>
              </w:rPr>
            </w:pPr>
            <w:r w:rsidRPr="009D3645">
              <w:rPr>
                <w:sz w:val="18"/>
                <w:szCs w:val="18"/>
              </w:rPr>
              <w:t>“As part of its due diligence, the Relevant Authority may wish to fully assess and consider the information provided by the Bidder or a Key Party to determine the extent to which a Bidder or a Key Party presents any risks which the Relevant Authority may deem to be unacceptable, in its sole discretion, to the delivery of the Services. Where such risk is identified, the Relevant Authority may invite the Bidder to agree how the risk can be mitigated to an extent considered by the Relevant Authority to be sufficient. Where mitigation cannot be agreed to the satisfaction of the Relevant Authority , such satisfaction being at the sole discretion of the Relevant Authority , the Relevant Authority reserves the right to award a Contract to the next highest scoring Bidder, such award to be decided based on ranking of the highest scoring Bids. Alternatively, it may decide to re-run part or all of the Procurement process or cancel the Procurement completely.</w:t>
            </w:r>
          </w:p>
          <w:p w14:paraId="5563FA3A" w14:textId="77777777" w:rsidR="007915B7" w:rsidRPr="009D3645" w:rsidRDefault="007915B7" w:rsidP="00DD3E77">
            <w:pPr>
              <w:pStyle w:val="ListParagraph"/>
              <w:numPr>
                <w:ilvl w:val="0"/>
                <w:numId w:val="0"/>
              </w:numPr>
              <w:spacing w:before="60" w:after="60" w:line="240" w:lineRule="auto"/>
              <w:rPr>
                <w:sz w:val="18"/>
                <w:szCs w:val="18"/>
              </w:rPr>
            </w:pPr>
            <w:r w:rsidRPr="009D3645">
              <w:rPr>
                <w:sz w:val="18"/>
                <w:szCs w:val="18"/>
              </w:rPr>
              <w:t>“Bidders should note that the Relevant Authority may require additional documents or information from the Bidders as part of a due diligence process prior to deciding upon the Recommended Bidder and/or contract signature.</w:t>
            </w:r>
          </w:p>
          <w:p w14:paraId="77835603" w14:textId="77777777" w:rsidR="007915B7" w:rsidRPr="009D3645" w:rsidRDefault="007915B7" w:rsidP="00DD3E77">
            <w:pPr>
              <w:pStyle w:val="ListParagraph"/>
              <w:numPr>
                <w:ilvl w:val="0"/>
                <w:numId w:val="0"/>
              </w:numPr>
              <w:spacing w:before="60" w:after="60" w:line="240" w:lineRule="auto"/>
              <w:rPr>
                <w:sz w:val="18"/>
                <w:szCs w:val="18"/>
              </w:rPr>
            </w:pPr>
            <w:r w:rsidRPr="009D3645">
              <w:rPr>
                <w:sz w:val="18"/>
                <w:szCs w:val="18"/>
              </w:rPr>
              <w:t>“Where the required information is not provided by the Bidder, or the information provided is not satisfactory or it comes to light that information supplied and relied on to arrive at the decision regarding the choice of Recommended Bidder is incorrect, the Relevant Authority reserves the right in its absolute discretion not to enter into a Contract. Under such circumstances, the Relevant Authority reserves the right to award a Contract to one of the other Bidders, such award to be decided on the basis of ranking of the highest scoring Bids. Alternatively it may decide to re-run part or all of the Procurement process or cancel the Procurement completely.</w:t>
            </w:r>
          </w:p>
          <w:p w14:paraId="0487B438" w14:textId="77777777" w:rsidR="007915B7" w:rsidRPr="009D3645" w:rsidRDefault="007915B7" w:rsidP="00DD3E77">
            <w:pPr>
              <w:pStyle w:val="ListParagraph"/>
              <w:numPr>
                <w:ilvl w:val="0"/>
                <w:numId w:val="0"/>
              </w:numPr>
              <w:spacing w:before="60" w:after="60" w:line="240" w:lineRule="auto"/>
              <w:rPr>
                <w:sz w:val="18"/>
                <w:szCs w:val="18"/>
              </w:rPr>
            </w:pPr>
            <w:r w:rsidRPr="009D3645">
              <w:rPr>
                <w:sz w:val="18"/>
                <w:szCs w:val="18"/>
              </w:rPr>
              <w:t>“Without prejudice to any other actions which the Relevant Authority may wish to take, findings from the due diligence undertaken may identify the need for specific Conditions Precedents to the Contract.</w:t>
            </w:r>
          </w:p>
          <w:p w14:paraId="65197706" w14:textId="77777777" w:rsidR="007915B7" w:rsidRPr="009D3645" w:rsidRDefault="007915B7" w:rsidP="00DD3E77">
            <w:pPr>
              <w:spacing w:before="60" w:after="60" w:line="240" w:lineRule="auto"/>
              <w:rPr>
                <w:sz w:val="18"/>
                <w:szCs w:val="18"/>
              </w:rPr>
            </w:pPr>
            <w:r w:rsidRPr="009D3645">
              <w:rPr>
                <w:sz w:val="18"/>
                <w:szCs w:val="18"/>
              </w:rPr>
              <w:t>“Where the Recommended Bidder(s) for any reason decline to conclude a contract with the Relevant Authority, the Relevant Authority reserves the right to award a Contract to one of the other Bidders, such award to be decided on the basis of ranking of the highest scoring Bids. Alternatively, the Relevant Authority may decide to re-run part or all of the Procurement process or cancel the Procurement completely.</w:t>
            </w:r>
            <w:r>
              <w:rPr>
                <w:sz w:val="18"/>
                <w:szCs w:val="18"/>
              </w:rPr>
              <w:t>”</w:t>
            </w:r>
          </w:p>
        </w:tc>
      </w:tr>
    </w:tbl>
    <w:p w14:paraId="715455C0" w14:textId="77777777" w:rsidR="007915B7" w:rsidRPr="00D33A94" w:rsidRDefault="007915B7" w:rsidP="007915B7">
      <w:pPr>
        <w:spacing w:before="60" w:after="360" w:line="240" w:lineRule="auto"/>
        <w:ind w:left="567"/>
        <w:rPr>
          <w:sz w:val="16"/>
          <w:szCs w:val="16"/>
        </w:rPr>
      </w:pPr>
      <w:r>
        <w:rPr>
          <w:sz w:val="16"/>
          <w:szCs w:val="16"/>
        </w:rPr>
        <w:t xml:space="preserve">Source: </w:t>
      </w:r>
      <w:r w:rsidRPr="00006616">
        <w:rPr>
          <w:sz w:val="16"/>
          <w:szCs w:val="16"/>
        </w:rPr>
        <w:t xml:space="preserve">NHS GM, </w:t>
      </w:r>
      <w:r w:rsidRPr="00006616">
        <w:rPr>
          <w:i/>
          <w:iCs/>
          <w:sz w:val="16"/>
          <w:szCs w:val="16"/>
        </w:rPr>
        <w:t>Doc 1. Bidder Instruction and Guidance v1.1</w:t>
      </w:r>
      <w:r w:rsidRPr="00006616">
        <w:rPr>
          <w:sz w:val="16"/>
          <w:szCs w:val="16"/>
        </w:rPr>
        <w:t>,</w:t>
      </w:r>
      <w:r>
        <w:rPr>
          <w:sz w:val="16"/>
          <w:szCs w:val="16"/>
        </w:rPr>
        <w:t xml:space="preserve"> January 2025.</w:t>
      </w:r>
    </w:p>
    <w:p w14:paraId="292ABCDF" w14:textId="45BD77B0" w:rsidR="00ED2A50" w:rsidRDefault="00ED2A50" w:rsidP="006D2A10">
      <w:pPr>
        <w:pStyle w:val="ListParagraph"/>
        <w:spacing w:after="120"/>
        <w:ind w:left="567" w:hanging="567"/>
      </w:pPr>
      <w:r>
        <w:t xml:space="preserve">NHS GM’s due diligence </w:t>
      </w:r>
      <w:r w:rsidR="00B55779">
        <w:t xml:space="preserve">with respect to </w:t>
      </w:r>
      <w:r>
        <w:t xml:space="preserve">About Health’s change in ownership involved </w:t>
      </w:r>
      <w:r w:rsidR="00D46CA7">
        <w:t>four</w:t>
      </w:r>
      <w:r>
        <w:t xml:space="preserve"> rounds of questions</w:t>
      </w:r>
      <w:r w:rsidR="00865945">
        <w:t>:</w:t>
      </w:r>
    </w:p>
    <w:p w14:paraId="47695DA7" w14:textId="54349009" w:rsidR="005050A0" w:rsidRDefault="00B77282" w:rsidP="006D2A10">
      <w:pPr>
        <w:pStyle w:val="ListParagraph"/>
        <w:numPr>
          <w:ilvl w:val="0"/>
          <w:numId w:val="10"/>
        </w:numPr>
        <w:spacing w:after="120"/>
        <w:ind w:left="1077" w:hanging="357"/>
      </w:pPr>
      <w:r>
        <w:t xml:space="preserve">On 12 August 2025, NHS GM informed </w:t>
      </w:r>
      <w:r w:rsidR="00A31CF1">
        <w:t xml:space="preserve">About Health that it was the successful bidder and </w:t>
      </w:r>
      <w:r w:rsidR="00263611">
        <w:t xml:space="preserve">under the heading “Due Diligence” </w:t>
      </w:r>
      <w:r w:rsidR="00A31CF1">
        <w:t xml:space="preserve">asked </w:t>
      </w:r>
      <w:r w:rsidR="005D2F44">
        <w:t xml:space="preserve">several </w:t>
      </w:r>
      <w:r w:rsidR="00802357">
        <w:t>questions</w:t>
      </w:r>
      <w:r w:rsidR="005D2F44">
        <w:t xml:space="preserve">, </w:t>
      </w:r>
      <w:r w:rsidR="00122B99">
        <w:t xml:space="preserve">one </w:t>
      </w:r>
      <w:r w:rsidR="005D2F44">
        <w:t xml:space="preserve">of which </w:t>
      </w:r>
      <w:r w:rsidR="00A7475A">
        <w:t>specifically referred to About Health’s ownership</w:t>
      </w:r>
      <w:r w:rsidR="007A6C88">
        <w:t xml:space="preserve">, </w:t>
      </w:r>
      <w:r w:rsidR="00F6206C">
        <w:t xml:space="preserve">with NHS GM asking </w:t>
      </w:r>
      <w:r w:rsidR="007A6C88">
        <w:t xml:space="preserve">About Health for “assurance that </w:t>
      </w:r>
      <w:r w:rsidR="00F6206C">
        <w:t>the organisation, including any parent company, has good financial standing”.</w:t>
      </w:r>
      <w:r w:rsidR="00907E7A">
        <w:rPr>
          <w:rStyle w:val="FootnoteReference"/>
        </w:rPr>
        <w:footnoteReference w:id="27"/>
      </w:r>
    </w:p>
    <w:p w14:paraId="679C707B" w14:textId="63F58B6D" w:rsidR="00ED2A50" w:rsidRDefault="00077D4E" w:rsidP="006D2A10">
      <w:pPr>
        <w:pStyle w:val="ListParagraph"/>
        <w:numPr>
          <w:ilvl w:val="0"/>
          <w:numId w:val="10"/>
        </w:numPr>
        <w:spacing w:after="120"/>
        <w:ind w:left="1077" w:hanging="357"/>
      </w:pPr>
      <w:r>
        <w:t>O</w:t>
      </w:r>
      <w:r w:rsidR="00ED2A50">
        <w:t xml:space="preserve">n 26 August 2025, </w:t>
      </w:r>
      <w:r w:rsidR="008E0BB4">
        <w:t xml:space="preserve">NHS GM </w:t>
      </w:r>
      <w:r w:rsidR="00ED2A50">
        <w:t xml:space="preserve">asked About Health for copies of </w:t>
      </w:r>
      <w:r w:rsidR="00A4696F">
        <w:t xml:space="preserve">the </w:t>
      </w:r>
      <w:r w:rsidR="00ED2A50">
        <w:t xml:space="preserve">public liability and employers’ liability insurance certificates </w:t>
      </w:r>
      <w:r w:rsidR="00A4696F">
        <w:t xml:space="preserve">of its new owner (i.e. PHL) </w:t>
      </w:r>
      <w:r w:rsidR="00ED2A50">
        <w:t>and confirmation that About Health fell within the scope of these policies.</w:t>
      </w:r>
    </w:p>
    <w:p w14:paraId="02672634" w14:textId="4C6C1579" w:rsidR="00946DDE" w:rsidRDefault="00946DDE" w:rsidP="006D2A10">
      <w:pPr>
        <w:pStyle w:val="ListParagraph"/>
        <w:numPr>
          <w:ilvl w:val="0"/>
          <w:numId w:val="10"/>
        </w:numPr>
        <w:spacing w:after="120"/>
        <w:ind w:left="1077" w:hanging="357"/>
      </w:pPr>
      <w:r>
        <w:t>On 19 September 2025, NHS GM asked About Health</w:t>
      </w:r>
      <w:r w:rsidR="00FE45EB">
        <w:t xml:space="preserve">, amongst other </w:t>
      </w:r>
      <w:r w:rsidR="005A6CEF">
        <w:t>due diligence queries</w:t>
      </w:r>
      <w:r w:rsidR="00FE45EB">
        <w:t>,</w:t>
      </w:r>
      <w:r w:rsidR="00401A78" w:rsidRPr="00401A78">
        <w:t xml:space="preserve"> </w:t>
      </w:r>
      <w:r w:rsidR="00401A78">
        <w:t xml:space="preserve">to update its responses to eight questions in the basic selection </w:t>
      </w:r>
      <w:r w:rsidR="00401A78">
        <w:lastRenderedPageBreak/>
        <w:t>questionnaire and eight questions in the award questionnaire in light of its change in ownership (see Table 2).</w:t>
      </w:r>
      <w:r>
        <w:rPr>
          <w:rStyle w:val="FootnoteReference"/>
        </w:rPr>
        <w:footnoteReference w:id="28"/>
      </w:r>
    </w:p>
    <w:p w14:paraId="6C047FE4" w14:textId="7345EF86" w:rsidR="009307FE" w:rsidRDefault="00077D4E" w:rsidP="00BD6F88">
      <w:pPr>
        <w:pStyle w:val="ListParagraph"/>
        <w:numPr>
          <w:ilvl w:val="0"/>
          <w:numId w:val="10"/>
        </w:numPr>
        <w:ind w:left="1077" w:hanging="357"/>
      </w:pPr>
      <w:r>
        <w:t>O</w:t>
      </w:r>
      <w:r w:rsidR="009307FE">
        <w:t xml:space="preserve">n 2 October 2025, </w:t>
      </w:r>
      <w:r w:rsidR="008E0BB4">
        <w:t xml:space="preserve">NHS GM </w:t>
      </w:r>
      <w:r w:rsidR="009307FE">
        <w:t>asked About Health five more questions</w:t>
      </w:r>
      <w:r w:rsidR="00946DDE">
        <w:t xml:space="preserve"> </w:t>
      </w:r>
      <w:r w:rsidR="00345148">
        <w:t xml:space="preserve">about </w:t>
      </w:r>
      <w:r w:rsidR="009307FE">
        <w:t>PHL</w:t>
      </w:r>
      <w:r w:rsidR="002C71D7">
        <w:t xml:space="preserve"> that</w:t>
      </w:r>
      <w:r w:rsidR="009307FE">
        <w:t>, in large part, follow</w:t>
      </w:r>
      <w:r w:rsidR="00A0437A">
        <w:t xml:space="preserve">ed </w:t>
      </w:r>
      <w:r w:rsidR="009307FE">
        <w:t xml:space="preserve">up </w:t>
      </w:r>
      <w:r w:rsidR="00A0437A">
        <w:t xml:space="preserve">on </w:t>
      </w:r>
      <w:r w:rsidR="009307FE">
        <w:t>About Health’s response to the 19</w:t>
      </w:r>
      <w:r w:rsidR="00345148">
        <w:t> </w:t>
      </w:r>
      <w:r w:rsidR="009307FE">
        <w:t>September questions.</w:t>
      </w:r>
    </w:p>
    <w:p w14:paraId="5E4DFAA4" w14:textId="49E6BBAB" w:rsidR="00BD6F88" w:rsidRDefault="00BD6F88" w:rsidP="00BD6F88">
      <w:pPr>
        <w:pStyle w:val="ListParagraph"/>
        <w:ind w:left="567" w:hanging="567"/>
      </w:pPr>
      <w:bookmarkStart w:id="30" w:name="_Ref219713330"/>
      <w:r>
        <w:t xml:space="preserve">NHS GM told the Panel that </w:t>
      </w:r>
      <w:r w:rsidR="00964B2F">
        <w:t>its</w:t>
      </w:r>
      <w:r>
        <w:t xml:space="preserve"> due diligence </w:t>
      </w:r>
      <w:r w:rsidR="007C687B">
        <w:t xml:space="preserve">was based on </w:t>
      </w:r>
      <w:r w:rsidR="00983354">
        <w:t>the information contained in About Health’s proposal</w:t>
      </w:r>
      <w:r>
        <w:t>.</w:t>
      </w:r>
      <w:r w:rsidR="00A74DA0">
        <w:t xml:space="preserve"> </w:t>
      </w:r>
      <w:r w:rsidR="00AF4465">
        <w:t xml:space="preserve">Where references were made to About Health’s parent company </w:t>
      </w:r>
      <w:r w:rsidR="0057159E">
        <w:t>in</w:t>
      </w:r>
      <w:r w:rsidR="00AF4465">
        <w:t xml:space="preserve"> its proposal (i.e. </w:t>
      </w:r>
      <w:r w:rsidR="004250F9">
        <w:t xml:space="preserve">references to </w:t>
      </w:r>
      <w:r w:rsidR="00AF4465">
        <w:t xml:space="preserve">Totally), </w:t>
      </w:r>
      <w:r w:rsidR="00727EDD">
        <w:t xml:space="preserve">which primarily related to parent company policies, </w:t>
      </w:r>
      <w:r w:rsidR="00AF4465">
        <w:t xml:space="preserve">then NHS GM </w:t>
      </w:r>
      <w:r w:rsidR="004250F9">
        <w:t xml:space="preserve">asked </w:t>
      </w:r>
      <w:r w:rsidR="0057159E">
        <w:t>About Health to provide updated policies or to confirm that the arrangements set out in About Health’s proposal remained applicable.</w:t>
      </w:r>
      <w:r w:rsidR="00983354">
        <w:rPr>
          <w:rStyle w:val="FootnoteReference"/>
        </w:rPr>
        <w:footnoteReference w:id="29"/>
      </w:r>
      <w:r w:rsidR="00727EDD">
        <w:t xml:space="preserve"> This approach can be seen in the questions </w:t>
      </w:r>
      <w:r w:rsidR="001B044E">
        <w:t>set out in Table 2 below.</w:t>
      </w:r>
      <w:bookmarkEnd w:id="30"/>
    </w:p>
    <w:p w14:paraId="60BC302D" w14:textId="0FA2EBB5" w:rsidR="005F6CE5" w:rsidRPr="00AC24DE" w:rsidRDefault="005F6CE5" w:rsidP="005F6CE5">
      <w:pPr>
        <w:keepNext/>
        <w:spacing w:before="240" w:after="120"/>
        <w:rPr>
          <w:b/>
          <w:bCs/>
          <w:sz w:val="20"/>
          <w:szCs w:val="20"/>
        </w:rPr>
      </w:pPr>
      <w:r>
        <w:rPr>
          <w:b/>
          <w:bCs/>
          <w:sz w:val="20"/>
          <w:szCs w:val="20"/>
        </w:rPr>
        <w:t xml:space="preserve">Table 2: </w:t>
      </w:r>
      <w:r w:rsidR="0049442D">
        <w:rPr>
          <w:b/>
          <w:bCs/>
          <w:sz w:val="20"/>
          <w:szCs w:val="20"/>
        </w:rPr>
        <w:t>ITT q</w:t>
      </w:r>
      <w:r w:rsidR="00F53943">
        <w:rPr>
          <w:b/>
          <w:bCs/>
          <w:sz w:val="20"/>
          <w:szCs w:val="20"/>
        </w:rPr>
        <w:t xml:space="preserve">uestions where </w:t>
      </w:r>
      <w:r w:rsidR="00D30268">
        <w:rPr>
          <w:b/>
          <w:bCs/>
          <w:sz w:val="20"/>
          <w:szCs w:val="20"/>
        </w:rPr>
        <w:t>About Health was asked to update</w:t>
      </w:r>
      <w:r w:rsidR="00A156B7">
        <w:rPr>
          <w:b/>
          <w:bCs/>
          <w:sz w:val="20"/>
          <w:szCs w:val="20"/>
        </w:rPr>
        <w:t xml:space="preserve"> i</w:t>
      </w:r>
      <w:r w:rsidR="00F53943">
        <w:rPr>
          <w:b/>
          <w:bCs/>
          <w:sz w:val="20"/>
          <w:szCs w:val="20"/>
        </w:rPr>
        <w:t xml:space="preserve">ts response during </w:t>
      </w:r>
      <w:r w:rsidR="00A156B7">
        <w:rPr>
          <w:b/>
          <w:bCs/>
          <w:sz w:val="20"/>
          <w:szCs w:val="20"/>
        </w:rPr>
        <w:t xml:space="preserve">the due diligence </w:t>
      </w:r>
      <w:r w:rsidR="00F53943">
        <w:rPr>
          <w:b/>
          <w:bCs/>
          <w:sz w:val="20"/>
          <w:szCs w:val="20"/>
        </w:rPr>
        <w:t>exercise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19"/>
      </w:tblGrid>
      <w:tr w:rsidR="000436D0" w:rsidRPr="0012630B" w14:paraId="3D9ECA04" w14:textId="77777777" w:rsidTr="00A156B7">
        <w:tc>
          <w:tcPr>
            <w:tcW w:w="3397" w:type="dxa"/>
            <w:shd w:val="clear" w:color="auto" w:fill="D9D9D9" w:themeFill="background1" w:themeFillShade="D9"/>
          </w:tcPr>
          <w:p w14:paraId="058E0263" w14:textId="4618FD11" w:rsidR="000436D0" w:rsidRPr="0012630B" w:rsidRDefault="00D26D7D" w:rsidP="000436D0">
            <w:pPr>
              <w:spacing w:before="60" w:after="60" w:line="240" w:lineRule="auto"/>
              <w:rPr>
                <w:b/>
                <w:bCs/>
                <w:sz w:val="18"/>
                <w:szCs w:val="18"/>
              </w:rPr>
            </w:pPr>
            <w:r>
              <w:rPr>
                <w:b/>
                <w:bCs/>
                <w:sz w:val="18"/>
                <w:szCs w:val="18"/>
              </w:rPr>
              <w:t xml:space="preserve">Questions from the </w:t>
            </w:r>
            <w:r w:rsidR="00E15B17">
              <w:rPr>
                <w:b/>
                <w:bCs/>
                <w:sz w:val="18"/>
                <w:szCs w:val="18"/>
              </w:rPr>
              <w:t>b</w:t>
            </w:r>
            <w:r w:rsidR="005F6CE5" w:rsidRPr="0012630B">
              <w:rPr>
                <w:b/>
                <w:bCs/>
                <w:sz w:val="18"/>
                <w:szCs w:val="18"/>
              </w:rPr>
              <w:t xml:space="preserve">asic </w:t>
            </w:r>
            <w:r w:rsidR="00E15B17">
              <w:rPr>
                <w:b/>
                <w:bCs/>
                <w:sz w:val="18"/>
                <w:szCs w:val="18"/>
              </w:rPr>
              <w:t>s</w:t>
            </w:r>
            <w:r w:rsidR="005F6CE5" w:rsidRPr="0012630B">
              <w:rPr>
                <w:b/>
                <w:bCs/>
                <w:sz w:val="18"/>
                <w:szCs w:val="18"/>
              </w:rPr>
              <w:t xml:space="preserve">election </w:t>
            </w:r>
            <w:r w:rsidR="00E15B17">
              <w:rPr>
                <w:b/>
                <w:bCs/>
                <w:sz w:val="18"/>
                <w:szCs w:val="18"/>
              </w:rPr>
              <w:t>q</w:t>
            </w:r>
            <w:r w:rsidR="005F6CE5" w:rsidRPr="0012630B">
              <w:rPr>
                <w:b/>
                <w:bCs/>
                <w:sz w:val="18"/>
                <w:szCs w:val="18"/>
              </w:rPr>
              <w:t>uestionnaire</w:t>
            </w:r>
          </w:p>
        </w:tc>
        <w:tc>
          <w:tcPr>
            <w:tcW w:w="5619" w:type="dxa"/>
            <w:shd w:val="clear" w:color="auto" w:fill="D9D9D9" w:themeFill="background1" w:themeFillShade="D9"/>
          </w:tcPr>
          <w:p w14:paraId="33FE4B62" w14:textId="770BEB50" w:rsidR="000436D0" w:rsidRPr="0012630B" w:rsidRDefault="00D26D7D" w:rsidP="000436D0">
            <w:pPr>
              <w:spacing w:before="60" w:after="60" w:line="240" w:lineRule="auto"/>
              <w:rPr>
                <w:b/>
                <w:bCs/>
                <w:sz w:val="18"/>
                <w:szCs w:val="18"/>
              </w:rPr>
            </w:pPr>
            <w:r>
              <w:rPr>
                <w:b/>
                <w:bCs/>
                <w:sz w:val="18"/>
                <w:szCs w:val="18"/>
              </w:rPr>
              <w:t xml:space="preserve">Questions from the </w:t>
            </w:r>
            <w:r w:rsidR="00E15B17">
              <w:rPr>
                <w:b/>
                <w:bCs/>
                <w:sz w:val="18"/>
                <w:szCs w:val="18"/>
              </w:rPr>
              <w:t>a</w:t>
            </w:r>
            <w:r w:rsidR="005F6CE5" w:rsidRPr="0012630B">
              <w:rPr>
                <w:b/>
                <w:bCs/>
                <w:sz w:val="18"/>
                <w:szCs w:val="18"/>
              </w:rPr>
              <w:t>ward questionnaire</w:t>
            </w:r>
          </w:p>
        </w:tc>
      </w:tr>
      <w:tr w:rsidR="000436D0" w:rsidRPr="005F6CE5" w14:paraId="5D450210" w14:textId="77777777" w:rsidTr="00A156B7">
        <w:tc>
          <w:tcPr>
            <w:tcW w:w="3397" w:type="dxa"/>
          </w:tcPr>
          <w:p w14:paraId="0FB8C603" w14:textId="703B432B" w:rsidR="000436D0" w:rsidRPr="005F6CE5" w:rsidRDefault="00A156B7" w:rsidP="000436D0">
            <w:pPr>
              <w:spacing w:before="60" w:after="60" w:line="240" w:lineRule="auto"/>
              <w:rPr>
                <w:sz w:val="18"/>
                <w:szCs w:val="18"/>
              </w:rPr>
            </w:pPr>
            <w:r>
              <w:rPr>
                <w:sz w:val="18"/>
                <w:szCs w:val="18"/>
              </w:rPr>
              <w:t xml:space="preserve">(i) </w:t>
            </w:r>
            <w:r w:rsidR="005F6CE5" w:rsidRPr="005F6CE5">
              <w:rPr>
                <w:sz w:val="18"/>
                <w:szCs w:val="18"/>
              </w:rPr>
              <w:t>About Health’s registered website</w:t>
            </w:r>
          </w:p>
        </w:tc>
        <w:tc>
          <w:tcPr>
            <w:tcW w:w="5619" w:type="dxa"/>
          </w:tcPr>
          <w:p w14:paraId="3E910A4D" w14:textId="4C8D766C" w:rsidR="000436D0" w:rsidRPr="00A156B7" w:rsidRDefault="00A156B7" w:rsidP="0046240D">
            <w:pPr>
              <w:spacing w:before="60" w:after="60" w:line="240" w:lineRule="auto"/>
              <w:rPr>
                <w:sz w:val="18"/>
                <w:szCs w:val="18"/>
              </w:rPr>
            </w:pPr>
            <w:r>
              <w:rPr>
                <w:sz w:val="18"/>
                <w:szCs w:val="18"/>
              </w:rPr>
              <w:t>(i) P</w:t>
            </w:r>
            <w:r w:rsidRPr="00A156B7">
              <w:rPr>
                <w:sz w:val="18"/>
                <w:szCs w:val="18"/>
              </w:rPr>
              <w:t>rovide an updated business continuity plan (given that the response referenced Totally</w:t>
            </w:r>
            <w:r>
              <w:rPr>
                <w:sz w:val="18"/>
                <w:szCs w:val="18"/>
              </w:rPr>
              <w:t xml:space="preserve">’s </w:t>
            </w:r>
            <w:r w:rsidRPr="00A156B7">
              <w:rPr>
                <w:sz w:val="18"/>
                <w:szCs w:val="18"/>
              </w:rPr>
              <w:t>escalation procedures)</w:t>
            </w:r>
          </w:p>
        </w:tc>
      </w:tr>
      <w:tr w:rsidR="000436D0" w:rsidRPr="005F6CE5" w14:paraId="7A992E85" w14:textId="77777777" w:rsidTr="00A156B7">
        <w:tc>
          <w:tcPr>
            <w:tcW w:w="3397" w:type="dxa"/>
          </w:tcPr>
          <w:p w14:paraId="3B6D14B4" w14:textId="6AF6A6B8" w:rsidR="000436D0" w:rsidRPr="005F6CE5" w:rsidRDefault="00A156B7" w:rsidP="000436D0">
            <w:pPr>
              <w:spacing w:before="60" w:after="60" w:line="240" w:lineRule="auto"/>
              <w:rPr>
                <w:sz w:val="18"/>
                <w:szCs w:val="18"/>
              </w:rPr>
            </w:pPr>
            <w:r>
              <w:rPr>
                <w:sz w:val="18"/>
                <w:szCs w:val="18"/>
              </w:rPr>
              <w:t>(ii) P</w:t>
            </w:r>
            <w:r w:rsidR="005F6CE5" w:rsidRPr="005F6CE5">
              <w:rPr>
                <w:sz w:val="18"/>
                <w:szCs w:val="18"/>
              </w:rPr>
              <w:t>ersons with significant control of About Health</w:t>
            </w:r>
          </w:p>
        </w:tc>
        <w:tc>
          <w:tcPr>
            <w:tcW w:w="5619" w:type="dxa"/>
          </w:tcPr>
          <w:p w14:paraId="62BFFEA7" w14:textId="6A740F68" w:rsidR="000436D0" w:rsidRPr="00A156B7" w:rsidRDefault="00A156B7" w:rsidP="0046240D">
            <w:pPr>
              <w:spacing w:before="60" w:after="60" w:line="240" w:lineRule="auto"/>
              <w:rPr>
                <w:sz w:val="18"/>
                <w:szCs w:val="18"/>
              </w:rPr>
            </w:pPr>
            <w:r>
              <w:rPr>
                <w:sz w:val="18"/>
                <w:szCs w:val="18"/>
              </w:rPr>
              <w:t>(ii) C</w:t>
            </w:r>
            <w:r w:rsidRPr="00A156B7">
              <w:rPr>
                <w:sz w:val="18"/>
                <w:szCs w:val="18"/>
              </w:rPr>
              <w:t>onfirm that the clinical governance structure provided as part of the response to Q9 and the overall response to Q9 were not affected by the change in ownership</w:t>
            </w:r>
          </w:p>
        </w:tc>
      </w:tr>
      <w:tr w:rsidR="000436D0" w:rsidRPr="005F6CE5" w14:paraId="174EF1B5" w14:textId="77777777" w:rsidTr="00A156B7">
        <w:tc>
          <w:tcPr>
            <w:tcW w:w="3397" w:type="dxa"/>
          </w:tcPr>
          <w:p w14:paraId="619AAD0F" w14:textId="08D53578" w:rsidR="000436D0" w:rsidRPr="005F6CE5" w:rsidRDefault="00A156B7" w:rsidP="000436D0">
            <w:pPr>
              <w:spacing w:before="60" w:after="60" w:line="240" w:lineRule="auto"/>
              <w:rPr>
                <w:sz w:val="18"/>
                <w:szCs w:val="18"/>
              </w:rPr>
            </w:pPr>
            <w:r>
              <w:rPr>
                <w:sz w:val="18"/>
                <w:szCs w:val="18"/>
              </w:rPr>
              <w:t>(iii) P</w:t>
            </w:r>
            <w:r w:rsidR="005F6CE5" w:rsidRPr="005F6CE5">
              <w:rPr>
                <w:sz w:val="18"/>
                <w:szCs w:val="18"/>
              </w:rPr>
              <w:t>arent and ultimate parent company</w:t>
            </w:r>
          </w:p>
        </w:tc>
        <w:tc>
          <w:tcPr>
            <w:tcW w:w="5619" w:type="dxa"/>
          </w:tcPr>
          <w:p w14:paraId="05EE0553" w14:textId="0C579C94" w:rsidR="000436D0" w:rsidRPr="00A156B7" w:rsidRDefault="00092894" w:rsidP="0046240D">
            <w:pPr>
              <w:spacing w:before="60" w:after="60" w:line="240" w:lineRule="auto"/>
              <w:rPr>
                <w:sz w:val="18"/>
                <w:szCs w:val="18"/>
              </w:rPr>
            </w:pPr>
            <w:r>
              <w:rPr>
                <w:sz w:val="18"/>
                <w:szCs w:val="18"/>
              </w:rPr>
              <w:t>(iii) C</w:t>
            </w:r>
            <w:r w:rsidR="00A156B7" w:rsidRPr="00A156B7">
              <w:rPr>
                <w:sz w:val="18"/>
                <w:szCs w:val="18"/>
              </w:rPr>
              <w:t>onfirm that comparable arrangements for service improvement remained in place following the change in ownership</w:t>
            </w:r>
          </w:p>
        </w:tc>
      </w:tr>
      <w:tr w:rsidR="000436D0" w:rsidRPr="005F6CE5" w14:paraId="25E892D7" w14:textId="77777777" w:rsidTr="00A156B7">
        <w:tc>
          <w:tcPr>
            <w:tcW w:w="3397" w:type="dxa"/>
          </w:tcPr>
          <w:p w14:paraId="4A9B7B34" w14:textId="7806EA1A" w:rsidR="000436D0" w:rsidRPr="005F6CE5" w:rsidRDefault="00A156B7" w:rsidP="000436D0">
            <w:pPr>
              <w:spacing w:before="60" w:after="60" w:line="240" w:lineRule="auto"/>
              <w:rPr>
                <w:sz w:val="18"/>
                <w:szCs w:val="18"/>
              </w:rPr>
            </w:pPr>
            <w:r>
              <w:rPr>
                <w:sz w:val="18"/>
                <w:szCs w:val="18"/>
              </w:rPr>
              <w:t>(iv) G</w:t>
            </w:r>
            <w:r w:rsidR="005F6CE5" w:rsidRPr="005F6CE5">
              <w:rPr>
                <w:sz w:val="18"/>
                <w:szCs w:val="18"/>
              </w:rPr>
              <w:t>rounds for mandatory exclusion</w:t>
            </w:r>
          </w:p>
        </w:tc>
        <w:tc>
          <w:tcPr>
            <w:tcW w:w="5619" w:type="dxa"/>
          </w:tcPr>
          <w:p w14:paraId="49D25A8C" w14:textId="4A35C872" w:rsidR="000436D0" w:rsidRPr="00A156B7" w:rsidRDefault="00092894" w:rsidP="0046240D">
            <w:pPr>
              <w:spacing w:before="60" w:after="60" w:line="240" w:lineRule="auto"/>
              <w:rPr>
                <w:sz w:val="18"/>
                <w:szCs w:val="18"/>
              </w:rPr>
            </w:pPr>
            <w:r>
              <w:rPr>
                <w:sz w:val="18"/>
                <w:szCs w:val="18"/>
              </w:rPr>
              <w:t>(iv) P</w:t>
            </w:r>
            <w:r w:rsidR="00A156B7" w:rsidRPr="00A156B7">
              <w:rPr>
                <w:sz w:val="18"/>
                <w:szCs w:val="18"/>
              </w:rPr>
              <w:t>rovide an updated safeguarding policy, setting out how key safeguarding functions would be delivered by About Health</w:t>
            </w:r>
          </w:p>
        </w:tc>
      </w:tr>
      <w:tr w:rsidR="000436D0" w:rsidRPr="005F6CE5" w14:paraId="3CC775F2" w14:textId="77777777" w:rsidTr="00A156B7">
        <w:tc>
          <w:tcPr>
            <w:tcW w:w="3397" w:type="dxa"/>
          </w:tcPr>
          <w:p w14:paraId="6655FDBF" w14:textId="68EDACF6" w:rsidR="000436D0" w:rsidRPr="005F6CE5" w:rsidRDefault="00092894" w:rsidP="000436D0">
            <w:pPr>
              <w:spacing w:before="60" w:after="60" w:line="240" w:lineRule="auto"/>
              <w:rPr>
                <w:sz w:val="18"/>
                <w:szCs w:val="18"/>
              </w:rPr>
            </w:pPr>
            <w:r>
              <w:rPr>
                <w:sz w:val="18"/>
                <w:szCs w:val="18"/>
              </w:rPr>
              <w:t xml:space="preserve">(v) </w:t>
            </w:r>
            <w:r w:rsidR="005F6CE5" w:rsidRPr="005F6CE5">
              <w:rPr>
                <w:sz w:val="18"/>
                <w:szCs w:val="18"/>
              </w:rPr>
              <w:t>modern slavery policy (given that the submitted policy was for Totally)</w:t>
            </w:r>
          </w:p>
        </w:tc>
        <w:tc>
          <w:tcPr>
            <w:tcW w:w="5619" w:type="dxa"/>
          </w:tcPr>
          <w:p w14:paraId="0BF478B5" w14:textId="1E34F678" w:rsidR="000436D0" w:rsidRPr="00A156B7" w:rsidRDefault="00092894" w:rsidP="0046240D">
            <w:pPr>
              <w:spacing w:before="60" w:after="60" w:line="240" w:lineRule="auto"/>
              <w:rPr>
                <w:sz w:val="18"/>
                <w:szCs w:val="18"/>
              </w:rPr>
            </w:pPr>
            <w:r>
              <w:rPr>
                <w:sz w:val="18"/>
                <w:szCs w:val="18"/>
              </w:rPr>
              <w:t>(v) C</w:t>
            </w:r>
            <w:r w:rsidR="00A156B7" w:rsidRPr="00A156B7">
              <w:rPr>
                <w:sz w:val="18"/>
                <w:szCs w:val="18"/>
              </w:rPr>
              <w:t>onfirm whether the Apprentices and Training Plan, which was on Totally letterhead, remained applicable</w:t>
            </w:r>
          </w:p>
        </w:tc>
      </w:tr>
      <w:tr w:rsidR="005F6CE5" w:rsidRPr="005F6CE5" w14:paraId="62ED2159" w14:textId="77777777" w:rsidTr="00A156B7">
        <w:tc>
          <w:tcPr>
            <w:tcW w:w="3397" w:type="dxa"/>
          </w:tcPr>
          <w:p w14:paraId="3E543912" w14:textId="44462A54" w:rsidR="005F6CE5" w:rsidRPr="005F6CE5" w:rsidRDefault="00092894" w:rsidP="000436D0">
            <w:pPr>
              <w:spacing w:before="60" w:after="60" w:line="240" w:lineRule="auto"/>
              <w:rPr>
                <w:sz w:val="18"/>
                <w:szCs w:val="18"/>
              </w:rPr>
            </w:pPr>
            <w:r>
              <w:rPr>
                <w:sz w:val="18"/>
                <w:szCs w:val="18"/>
              </w:rPr>
              <w:t>(vi) P</w:t>
            </w:r>
            <w:r w:rsidR="005F6CE5" w:rsidRPr="005F6CE5">
              <w:rPr>
                <w:sz w:val="18"/>
                <w:szCs w:val="18"/>
              </w:rPr>
              <w:t>arent company accounts and guarantee</w:t>
            </w:r>
          </w:p>
        </w:tc>
        <w:tc>
          <w:tcPr>
            <w:tcW w:w="5619" w:type="dxa"/>
          </w:tcPr>
          <w:p w14:paraId="401E3BE9" w14:textId="0FC974CB" w:rsidR="005F6CE5" w:rsidRPr="00A156B7" w:rsidRDefault="00092894" w:rsidP="0046240D">
            <w:pPr>
              <w:spacing w:before="60" w:after="60" w:line="240" w:lineRule="auto"/>
              <w:rPr>
                <w:sz w:val="18"/>
                <w:szCs w:val="18"/>
              </w:rPr>
            </w:pPr>
            <w:r>
              <w:rPr>
                <w:sz w:val="18"/>
                <w:szCs w:val="18"/>
              </w:rPr>
              <w:t>(vi) C</w:t>
            </w:r>
            <w:r w:rsidR="00A156B7" w:rsidRPr="00A156B7">
              <w:rPr>
                <w:sz w:val="18"/>
                <w:szCs w:val="18"/>
              </w:rPr>
              <w:t>onfirm whether the Climate Change Project Plan, which was on Totally letterhead, remained applicable</w:t>
            </w:r>
          </w:p>
        </w:tc>
      </w:tr>
      <w:tr w:rsidR="005F6CE5" w:rsidRPr="005F6CE5" w14:paraId="08EC5236" w14:textId="77777777" w:rsidTr="00A156B7">
        <w:tc>
          <w:tcPr>
            <w:tcW w:w="3397" w:type="dxa"/>
          </w:tcPr>
          <w:p w14:paraId="59ABBA4D" w14:textId="3D8CF3D3" w:rsidR="005F6CE5" w:rsidRPr="005F6CE5" w:rsidRDefault="00092894" w:rsidP="000436D0">
            <w:pPr>
              <w:spacing w:before="60" w:after="60" w:line="240" w:lineRule="auto"/>
              <w:rPr>
                <w:sz w:val="18"/>
                <w:szCs w:val="18"/>
              </w:rPr>
            </w:pPr>
            <w:r>
              <w:rPr>
                <w:sz w:val="18"/>
                <w:szCs w:val="18"/>
              </w:rPr>
              <w:t>(vii) F</w:t>
            </w:r>
            <w:r w:rsidR="005F6CE5" w:rsidRPr="005F6CE5">
              <w:rPr>
                <w:sz w:val="18"/>
                <w:szCs w:val="18"/>
              </w:rPr>
              <w:t>air processing and privacy policy (given the submitted policy was for Totally)</w:t>
            </w:r>
          </w:p>
        </w:tc>
        <w:tc>
          <w:tcPr>
            <w:tcW w:w="5619" w:type="dxa"/>
          </w:tcPr>
          <w:p w14:paraId="2C16FCC8" w14:textId="3E924120" w:rsidR="005F6CE5" w:rsidRPr="00A156B7" w:rsidRDefault="00092894" w:rsidP="0046240D">
            <w:pPr>
              <w:spacing w:before="60" w:after="60" w:line="240" w:lineRule="auto"/>
              <w:rPr>
                <w:sz w:val="18"/>
                <w:szCs w:val="18"/>
              </w:rPr>
            </w:pPr>
            <w:r>
              <w:rPr>
                <w:sz w:val="18"/>
                <w:szCs w:val="18"/>
              </w:rPr>
              <w:t>(vii) C</w:t>
            </w:r>
            <w:r w:rsidR="00A156B7" w:rsidRPr="00A156B7">
              <w:rPr>
                <w:sz w:val="18"/>
                <w:szCs w:val="18"/>
              </w:rPr>
              <w:t>onfirm whether the Diversity &amp; Inclusion Implementation Project Plan, which was on Totally letterhead, remained applicable</w:t>
            </w:r>
          </w:p>
        </w:tc>
      </w:tr>
      <w:tr w:rsidR="005F6CE5" w:rsidRPr="005F6CE5" w14:paraId="3BAA41D0" w14:textId="77777777" w:rsidTr="00A156B7">
        <w:tc>
          <w:tcPr>
            <w:tcW w:w="3397" w:type="dxa"/>
          </w:tcPr>
          <w:p w14:paraId="6667EAE6" w14:textId="1B4D4613" w:rsidR="005F6CE5" w:rsidRPr="005F6CE5" w:rsidRDefault="00092894" w:rsidP="000436D0">
            <w:pPr>
              <w:spacing w:before="60" w:after="60" w:line="240" w:lineRule="auto"/>
              <w:rPr>
                <w:sz w:val="18"/>
                <w:szCs w:val="18"/>
              </w:rPr>
            </w:pPr>
            <w:r>
              <w:rPr>
                <w:sz w:val="18"/>
                <w:szCs w:val="18"/>
              </w:rPr>
              <w:t>(viii) N</w:t>
            </w:r>
            <w:r w:rsidR="005F6CE5" w:rsidRPr="005F6CE5">
              <w:rPr>
                <w:sz w:val="18"/>
                <w:szCs w:val="18"/>
              </w:rPr>
              <w:t>ominated person for health and safety (as the person nominated in the proposal had a Totally email address</w:t>
            </w:r>
            <w:r>
              <w:rPr>
                <w:sz w:val="18"/>
                <w:szCs w:val="18"/>
              </w:rPr>
              <w:t>)</w:t>
            </w:r>
          </w:p>
        </w:tc>
        <w:tc>
          <w:tcPr>
            <w:tcW w:w="5619" w:type="dxa"/>
          </w:tcPr>
          <w:p w14:paraId="3BAB74BD" w14:textId="589BE09A" w:rsidR="005F6CE5" w:rsidRPr="00A156B7" w:rsidRDefault="00092894" w:rsidP="0046240D">
            <w:pPr>
              <w:spacing w:before="60" w:after="60" w:line="240" w:lineRule="auto"/>
              <w:rPr>
                <w:sz w:val="18"/>
                <w:szCs w:val="18"/>
              </w:rPr>
            </w:pPr>
            <w:r>
              <w:rPr>
                <w:sz w:val="18"/>
                <w:szCs w:val="18"/>
              </w:rPr>
              <w:t>(viii) C</w:t>
            </w:r>
            <w:r w:rsidR="00A156B7" w:rsidRPr="00A156B7">
              <w:rPr>
                <w:sz w:val="18"/>
                <w:szCs w:val="18"/>
              </w:rPr>
              <w:t>onfirm how many of the TUPE transfers referred to in the original proposal were facilitated by About Health (as opposed to other entities in the Totally group) and to confirm that the response to this question remained applicable</w:t>
            </w:r>
          </w:p>
        </w:tc>
      </w:tr>
    </w:tbl>
    <w:p w14:paraId="200B3E2E" w14:textId="60E38694" w:rsidR="000436D0" w:rsidRPr="0012630B" w:rsidRDefault="001A6F6D" w:rsidP="0012630B">
      <w:pPr>
        <w:spacing w:before="60" w:after="360" w:line="240" w:lineRule="auto"/>
        <w:rPr>
          <w:sz w:val="16"/>
          <w:szCs w:val="16"/>
        </w:rPr>
      </w:pPr>
      <w:r>
        <w:rPr>
          <w:sz w:val="16"/>
          <w:szCs w:val="16"/>
        </w:rPr>
        <w:t>Source:</w:t>
      </w:r>
      <w:r w:rsidR="00B2347F">
        <w:rPr>
          <w:sz w:val="16"/>
          <w:szCs w:val="16"/>
        </w:rPr>
        <w:t xml:space="preserve"> NHS GM letter to About Health,</w:t>
      </w:r>
      <w:r w:rsidR="00C248D3">
        <w:rPr>
          <w:sz w:val="16"/>
          <w:szCs w:val="16"/>
        </w:rPr>
        <w:t xml:space="preserve"> 19 September 2025</w:t>
      </w:r>
      <w:r>
        <w:rPr>
          <w:sz w:val="16"/>
          <w:szCs w:val="16"/>
        </w:rPr>
        <w:t xml:space="preserve"> </w:t>
      </w:r>
    </w:p>
    <w:p w14:paraId="4DA53AC2" w14:textId="7C14D45B" w:rsidR="00905423" w:rsidRPr="00EE0B2A" w:rsidRDefault="00BD6121" w:rsidP="00905423">
      <w:pPr>
        <w:keepNext/>
        <w:spacing w:before="240"/>
        <w:rPr>
          <w:b/>
          <w:bCs/>
        </w:rPr>
      </w:pPr>
      <w:r>
        <w:rPr>
          <w:b/>
          <w:bCs/>
        </w:rPr>
        <w:t xml:space="preserve">7.1.3 </w:t>
      </w:r>
      <w:r w:rsidR="00905423">
        <w:rPr>
          <w:b/>
          <w:bCs/>
        </w:rPr>
        <w:t xml:space="preserve">Panel assessment of </w:t>
      </w:r>
      <w:r w:rsidR="00611971">
        <w:rPr>
          <w:b/>
          <w:bCs/>
        </w:rPr>
        <w:t xml:space="preserve">NHS GM’s </w:t>
      </w:r>
      <w:r>
        <w:rPr>
          <w:b/>
          <w:bCs/>
        </w:rPr>
        <w:t>response to About Health’s change in ownership</w:t>
      </w:r>
    </w:p>
    <w:p w14:paraId="2EE675B2" w14:textId="11219521" w:rsidR="00F26B33" w:rsidRDefault="00C21F2F" w:rsidP="00C0679D">
      <w:pPr>
        <w:pStyle w:val="ListParagraph"/>
        <w:ind w:left="567" w:hanging="567"/>
        <w:contextualSpacing/>
      </w:pPr>
      <w:r>
        <w:t>The Panel’s assessment of NHS GM’s response to About Health’s change in ownership is in three parts:</w:t>
      </w:r>
    </w:p>
    <w:p w14:paraId="39F1BEE7" w14:textId="7D8708C1" w:rsidR="00C21F2F" w:rsidRDefault="00C21F2F" w:rsidP="00C0679D">
      <w:pPr>
        <w:pStyle w:val="ListParagraph"/>
        <w:numPr>
          <w:ilvl w:val="0"/>
          <w:numId w:val="10"/>
        </w:numPr>
        <w:contextualSpacing/>
      </w:pPr>
      <w:r>
        <w:t>first, an assessment of NHS GM’s initial decision in June 2025</w:t>
      </w:r>
      <w:r w:rsidR="000D22A5" w:rsidRPr="000D22A5">
        <w:t xml:space="preserve"> </w:t>
      </w:r>
      <w:r w:rsidR="000D22A5">
        <w:t>about the effect of About Health’s change in ownership</w:t>
      </w:r>
      <w:r w:rsidR="00440762">
        <w:t>;</w:t>
      </w:r>
    </w:p>
    <w:p w14:paraId="03E381F1" w14:textId="41146539" w:rsidR="00440762" w:rsidRDefault="00440762" w:rsidP="00C0679D">
      <w:pPr>
        <w:pStyle w:val="ListParagraph"/>
        <w:numPr>
          <w:ilvl w:val="0"/>
          <w:numId w:val="10"/>
        </w:numPr>
        <w:contextualSpacing/>
      </w:pPr>
      <w:r>
        <w:t xml:space="preserve">second, an assessment of NHS GM’s due diligence exercise with </w:t>
      </w:r>
      <w:r w:rsidR="00190E74">
        <w:t>respect to About Health’s change in ownership; and</w:t>
      </w:r>
    </w:p>
    <w:p w14:paraId="21438B80" w14:textId="7583EB01" w:rsidR="00190E74" w:rsidRDefault="00190E74" w:rsidP="00C21F2F">
      <w:pPr>
        <w:pStyle w:val="ListParagraph"/>
        <w:numPr>
          <w:ilvl w:val="0"/>
          <w:numId w:val="10"/>
        </w:numPr>
      </w:pPr>
      <w:r>
        <w:lastRenderedPageBreak/>
        <w:t xml:space="preserve">finally, </w:t>
      </w:r>
      <w:r w:rsidR="00E12D79">
        <w:t>overall conclusions about NHS GM’s response to About Health’s change in ownership.</w:t>
      </w:r>
    </w:p>
    <w:p w14:paraId="3EA358C2" w14:textId="61DECB15" w:rsidR="00A03725" w:rsidRPr="0056413B" w:rsidRDefault="0056413B" w:rsidP="0056413B">
      <w:pPr>
        <w:keepNext/>
        <w:spacing w:before="240"/>
        <w:rPr>
          <w:b/>
          <w:bCs/>
        </w:rPr>
      </w:pPr>
      <w:r w:rsidRPr="0056413B">
        <w:rPr>
          <w:b/>
          <w:bCs/>
        </w:rPr>
        <w:t>Panel assessment of NHS GM’s initial decision regarding About Health’s change in ownership</w:t>
      </w:r>
    </w:p>
    <w:p w14:paraId="65C07487" w14:textId="222DAE65" w:rsidR="00E224D8" w:rsidRDefault="00E224D8" w:rsidP="00BD6121">
      <w:pPr>
        <w:pStyle w:val="ListParagraph"/>
        <w:ind w:left="567" w:hanging="567"/>
      </w:pPr>
      <w:r>
        <w:t xml:space="preserve">NHS GM’s initial decision that About Health’s change in ownership did not affect the outcome of the provider selection process </w:t>
      </w:r>
      <w:r w:rsidR="00546CA5">
        <w:t>followed several emails and an internal meeting between staff working on the provider selection process (see paragraph</w:t>
      </w:r>
      <w:r w:rsidR="00851BBE">
        <w:t xml:space="preserve"> 51</w:t>
      </w:r>
      <w:r w:rsidR="00546CA5">
        <w:t>).</w:t>
      </w:r>
    </w:p>
    <w:p w14:paraId="2A782804" w14:textId="70F298FD" w:rsidR="006B7EA6" w:rsidRDefault="00A42C47" w:rsidP="00BD6121">
      <w:pPr>
        <w:pStyle w:val="ListParagraph"/>
        <w:ind w:left="567" w:hanging="567"/>
      </w:pPr>
      <w:bookmarkStart w:id="31" w:name="_Ref219717042"/>
      <w:r>
        <w:t xml:space="preserve">The Panel </w:t>
      </w:r>
      <w:r w:rsidR="00704F0B">
        <w:t xml:space="preserve">notes that </w:t>
      </w:r>
      <w:r w:rsidR="007432F7">
        <w:t xml:space="preserve">this initial decision </w:t>
      </w:r>
      <w:r w:rsidR="00866BAB">
        <w:t xml:space="preserve">was taken without </w:t>
      </w:r>
      <w:r w:rsidR="00CE63B7">
        <w:t xml:space="preserve">NHS GM </w:t>
      </w:r>
      <w:r w:rsidR="00866BAB">
        <w:t xml:space="preserve">asking About Health any questions </w:t>
      </w:r>
      <w:r w:rsidR="00BC3685">
        <w:t>to</w:t>
      </w:r>
      <w:r w:rsidR="008E7D20">
        <w:t xml:space="preserve"> test </w:t>
      </w:r>
      <w:r w:rsidR="008600E9">
        <w:t xml:space="preserve">its </w:t>
      </w:r>
      <w:r w:rsidR="008E7D20">
        <w:t xml:space="preserve">conclusion </w:t>
      </w:r>
      <w:r w:rsidR="008600E9">
        <w:t xml:space="preserve">that the </w:t>
      </w:r>
      <w:r w:rsidR="00866BAB">
        <w:t>change in ownership</w:t>
      </w:r>
      <w:r w:rsidR="008600E9">
        <w:t xml:space="preserve"> did not affect the outcome of the provider selection process</w:t>
      </w:r>
      <w:r w:rsidR="00866BAB">
        <w:t>.</w:t>
      </w:r>
      <w:bookmarkEnd w:id="31"/>
      <w:r w:rsidR="00EA35F6">
        <w:t xml:space="preserve"> </w:t>
      </w:r>
      <w:r w:rsidR="00B306EA">
        <w:t>NHS GM</w:t>
      </w:r>
      <w:r w:rsidR="00DA5BD2">
        <w:t xml:space="preserve">, however, </w:t>
      </w:r>
      <w:r w:rsidR="007D7A2C">
        <w:t xml:space="preserve">could have asked </w:t>
      </w:r>
      <w:r w:rsidR="008F2721">
        <w:t xml:space="preserve">relevant questions to </w:t>
      </w:r>
      <w:r w:rsidR="00501CB3">
        <w:t>About Health</w:t>
      </w:r>
      <w:r w:rsidR="008F2721">
        <w:t xml:space="preserve"> </w:t>
      </w:r>
      <w:r w:rsidR="007D7A2C">
        <w:t xml:space="preserve">at this point </w:t>
      </w:r>
      <w:r w:rsidR="002A128C">
        <w:t>(see, for example, paragraph</w:t>
      </w:r>
      <w:r w:rsidR="00B87668">
        <w:t xml:space="preserve"> 68</w:t>
      </w:r>
      <w:r w:rsidR="002A128C">
        <w:t xml:space="preserve">) </w:t>
      </w:r>
      <w:r w:rsidR="008F2721">
        <w:t>and, t</w:t>
      </w:r>
      <w:r w:rsidR="00B01546">
        <w:t xml:space="preserve">o the extent </w:t>
      </w:r>
      <w:r w:rsidR="00F96E25">
        <w:t>th</w:t>
      </w:r>
      <w:r w:rsidR="007D7A2C">
        <w:t xml:space="preserve">at About Health’s answers </w:t>
      </w:r>
      <w:r w:rsidR="00F96E25">
        <w:t xml:space="preserve">revealed changes that affected </w:t>
      </w:r>
      <w:r w:rsidR="00E867EE">
        <w:t>its</w:t>
      </w:r>
      <w:r w:rsidR="00F96E25">
        <w:t xml:space="preserve"> proposal, then </w:t>
      </w:r>
      <w:r w:rsidR="00774489">
        <w:t xml:space="preserve">NHS GM </w:t>
      </w:r>
      <w:r w:rsidR="00AC07DF">
        <w:t>c</w:t>
      </w:r>
      <w:r w:rsidR="00774489">
        <w:t xml:space="preserve">ould have </w:t>
      </w:r>
      <w:r w:rsidR="00AC07DF">
        <w:t xml:space="preserve">taken this </w:t>
      </w:r>
      <w:r w:rsidR="00774489">
        <w:t>into account before announcing the successful bidder.</w:t>
      </w:r>
    </w:p>
    <w:p w14:paraId="2C08F1AF" w14:textId="5C19AD36" w:rsidR="004A419D" w:rsidRDefault="006A498D" w:rsidP="00BD6121">
      <w:pPr>
        <w:pStyle w:val="ListParagraph"/>
        <w:ind w:left="567" w:hanging="567"/>
      </w:pPr>
      <w:r>
        <w:t xml:space="preserve">The Panel’s view is that </w:t>
      </w:r>
      <w:r w:rsidR="002D6BC9">
        <w:t xml:space="preserve">it would have been preferable for NHS GM to inquire into </w:t>
      </w:r>
      <w:r w:rsidR="00F90305">
        <w:t xml:space="preserve">About Health’s change in ownership </w:t>
      </w:r>
      <w:r w:rsidR="002D6BC9">
        <w:t xml:space="preserve">before </w:t>
      </w:r>
      <w:r w:rsidR="002A593C">
        <w:t>announcing About Health as the successful bidder</w:t>
      </w:r>
      <w:r w:rsidR="006C1FBC">
        <w:t xml:space="preserve">. Such an approach </w:t>
      </w:r>
      <w:r w:rsidR="000353AE">
        <w:t xml:space="preserve">would have </w:t>
      </w:r>
      <w:r w:rsidR="00FC4190">
        <w:t>had the benefit of avoiding</w:t>
      </w:r>
      <w:r w:rsidR="00A1334E" w:rsidRPr="00A1334E">
        <w:t xml:space="preserve"> </w:t>
      </w:r>
      <w:r w:rsidR="00A1334E">
        <w:t xml:space="preserve">the </w:t>
      </w:r>
      <w:r w:rsidR="000A09C1">
        <w:t xml:space="preserve">additional </w:t>
      </w:r>
      <w:r w:rsidR="00A1334E">
        <w:t xml:space="preserve">procedural complications </w:t>
      </w:r>
      <w:r w:rsidR="00F77370">
        <w:t>that would arise</w:t>
      </w:r>
      <w:r w:rsidR="00FD2235">
        <w:t>, post</w:t>
      </w:r>
      <w:r w:rsidR="000A09C1">
        <w:t xml:space="preserve"> award </w:t>
      </w:r>
      <w:r w:rsidR="00A1334E">
        <w:t>announcement</w:t>
      </w:r>
      <w:r w:rsidR="00FD2235">
        <w:t>,</w:t>
      </w:r>
      <w:r w:rsidR="00F77370">
        <w:t xml:space="preserve"> if the </w:t>
      </w:r>
      <w:r w:rsidR="00A1334E">
        <w:t xml:space="preserve">due diligence </w:t>
      </w:r>
      <w:r w:rsidR="00FD2235">
        <w:t>exercise</w:t>
      </w:r>
      <w:r w:rsidR="00F77370">
        <w:t xml:space="preserve"> </w:t>
      </w:r>
      <w:r w:rsidR="00A1334E">
        <w:t>revealed information that required About Health’s proposal to be re-evaluated and led to a different contract award decision.</w:t>
      </w:r>
    </w:p>
    <w:p w14:paraId="6600BAA9" w14:textId="60275847" w:rsidR="00A1334E" w:rsidRDefault="00686105" w:rsidP="00BD6121">
      <w:pPr>
        <w:pStyle w:val="ListParagraph"/>
        <w:ind w:left="567" w:hanging="567"/>
      </w:pPr>
      <w:r>
        <w:t xml:space="preserve">The Panel notes that </w:t>
      </w:r>
      <w:r w:rsidR="008A1264">
        <w:t>NHS GM appears to have had sufficient time to carry out the</w:t>
      </w:r>
      <w:r w:rsidR="004A419D">
        <w:t xml:space="preserve"> due diligence prior to announcing </w:t>
      </w:r>
      <w:r w:rsidR="00CC18FF">
        <w:t>About Health as the successful bidder given that two month</w:t>
      </w:r>
      <w:r w:rsidR="00EB3699">
        <w:t xml:space="preserve">s elapsed </w:t>
      </w:r>
      <w:r w:rsidR="00CC18FF">
        <w:t xml:space="preserve">between </w:t>
      </w:r>
      <w:r w:rsidR="005F47E9">
        <w:t xml:space="preserve">NHS GM </w:t>
      </w:r>
      <w:r w:rsidR="00915AD1">
        <w:t>becoming aware of the change in ownership and the announcement.</w:t>
      </w:r>
    </w:p>
    <w:p w14:paraId="4EEB5180" w14:textId="53A9BCD1" w:rsidR="00D4665B" w:rsidRPr="0056413B" w:rsidRDefault="00D4665B" w:rsidP="00D4665B">
      <w:pPr>
        <w:keepNext/>
        <w:spacing w:before="240"/>
        <w:rPr>
          <w:b/>
          <w:bCs/>
        </w:rPr>
      </w:pPr>
      <w:r w:rsidRPr="0056413B">
        <w:rPr>
          <w:b/>
          <w:bCs/>
        </w:rPr>
        <w:t xml:space="preserve">Panel assessment of NHS GM’s </w:t>
      </w:r>
      <w:r>
        <w:rPr>
          <w:b/>
          <w:bCs/>
        </w:rPr>
        <w:t xml:space="preserve">due diligence </w:t>
      </w:r>
      <w:r w:rsidR="00B330A6">
        <w:rPr>
          <w:b/>
          <w:bCs/>
        </w:rPr>
        <w:t>regarding</w:t>
      </w:r>
      <w:r>
        <w:rPr>
          <w:b/>
          <w:bCs/>
        </w:rPr>
        <w:t xml:space="preserve"> </w:t>
      </w:r>
      <w:r w:rsidRPr="0056413B">
        <w:rPr>
          <w:b/>
          <w:bCs/>
        </w:rPr>
        <w:t>About Health’s change in ownership</w:t>
      </w:r>
    </w:p>
    <w:p w14:paraId="71CFF85A" w14:textId="730D8615" w:rsidR="00866BAB" w:rsidRDefault="00FC506D" w:rsidP="00BD6121">
      <w:pPr>
        <w:pStyle w:val="ListParagraph"/>
        <w:ind w:left="567" w:hanging="567"/>
      </w:pPr>
      <w:r>
        <w:t xml:space="preserve">The Panel’s assessment of NHS GM’s due diligence regarding About Health’s change in ownership is in two parts. First, an assessment of the </w:t>
      </w:r>
      <w:r w:rsidR="00DA56BB">
        <w:t xml:space="preserve">information requested </w:t>
      </w:r>
      <w:r>
        <w:t>by NHS GM concerning About Health’s change in ownership, and second, an assessment of NHS GM’s response to the information supplied by About Health.</w:t>
      </w:r>
    </w:p>
    <w:p w14:paraId="0B71B570" w14:textId="255EFE45" w:rsidR="009320A2" w:rsidRPr="00CC2AEE" w:rsidRDefault="00C92407" w:rsidP="00CC2AEE">
      <w:pPr>
        <w:keepNext/>
        <w:spacing w:before="240"/>
        <w:rPr>
          <w:i/>
          <w:iCs/>
        </w:rPr>
      </w:pPr>
      <w:r>
        <w:rPr>
          <w:i/>
          <w:iCs/>
        </w:rPr>
        <w:t xml:space="preserve">Information requested by </w:t>
      </w:r>
      <w:r w:rsidR="00CC2AEE" w:rsidRPr="00CC2AEE">
        <w:rPr>
          <w:i/>
          <w:iCs/>
        </w:rPr>
        <w:t>NHS GM</w:t>
      </w:r>
      <w:r>
        <w:rPr>
          <w:i/>
          <w:iCs/>
        </w:rPr>
        <w:t xml:space="preserve"> concerning </w:t>
      </w:r>
      <w:r w:rsidR="00954DC6">
        <w:rPr>
          <w:i/>
          <w:iCs/>
        </w:rPr>
        <w:t>About Health</w:t>
      </w:r>
      <w:r>
        <w:rPr>
          <w:i/>
          <w:iCs/>
        </w:rPr>
        <w:t>’s</w:t>
      </w:r>
      <w:r w:rsidR="00954DC6">
        <w:rPr>
          <w:i/>
          <w:iCs/>
        </w:rPr>
        <w:t xml:space="preserve"> change in ownership</w:t>
      </w:r>
    </w:p>
    <w:p w14:paraId="0CE997DC" w14:textId="3BA64090" w:rsidR="00E521F3" w:rsidRDefault="007337E9" w:rsidP="00C503DF">
      <w:pPr>
        <w:pStyle w:val="ListParagraph"/>
        <w:ind w:left="567" w:hanging="567"/>
      </w:pPr>
      <w:r>
        <w:t xml:space="preserve">The Panel notes that relationships between bidders and their parent companies </w:t>
      </w:r>
      <w:r w:rsidR="005A0FBD">
        <w:t xml:space="preserve">may </w:t>
      </w:r>
      <w:r>
        <w:t xml:space="preserve">vary considerably. </w:t>
      </w:r>
      <w:r w:rsidR="00C503DF">
        <w:t xml:space="preserve">In some cases, </w:t>
      </w:r>
      <w:r w:rsidR="00E521F3">
        <w:t xml:space="preserve">a bidder may have substantial autonomy </w:t>
      </w:r>
      <w:r w:rsidR="0019220F">
        <w:t xml:space="preserve">with respect to </w:t>
      </w:r>
      <w:r w:rsidR="00E521F3">
        <w:t>resourcing and decision-making</w:t>
      </w:r>
      <w:r w:rsidR="0019220F">
        <w:t xml:space="preserve">. In these cases </w:t>
      </w:r>
      <w:r w:rsidR="00E521F3">
        <w:t xml:space="preserve">its relationship </w:t>
      </w:r>
      <w:r w:rsidR="0019220F">
        <w:t xml:space="preserve">to </w:t>
      </w:r>
      <w:r w:rsidR="00E521F3">
        <w:t>its parent company may</w:t>
      </w:r>
      <w:r w:rsidR="0019220F">
        <w:t>, in large part,</w:t>
      </w:r>
      <w:r w:rsidR="00E521F3">
        <w:t xml:space="preserve"> be limited to being held accountable for its performance. </w:t>
      </w:r>
      <w:r w:rsidR="0019220F">
        <w:t>In other cases</w:t>
      </w:r>
      <w:r w:rsidR="00E521F3">
        <w:t xml:space="preserve">, a bidder may have a much closer relationship </w:t>
      </w:r>
      <w:r w:rsidR="00B073E4">
        <w:t>to</w:t>
      </w:r>
      <w:r w:rsidR="00E521F3">
        <w:t xml:space="preserve"> its parent company (and other group companies), with the bidder drawing </w:t>
      </w:r>
      <w:r w:rsidR="00DE5FA9">
        <w:t xml:space="preserve">more significantly </w:t>
      </w:r>
      <w:r w:rsidR="00E521F3">
        <w:t xml:space="preserve">on group </w:t>
      </w:r>
      <w:r w:rsidR="00DE5FA9">
        <w:t xml:space="preserve">financial or other </w:t>
      </w:r>
      <w:r w:rsidR="00E521F3">
        <w:t>resources</w:t>
      </w:r>
      <w:r w:rsidR="00B073E4">
        <w:t xml:space="preserve"> and </w:t>
      </w:r>
      <w:r w:rsidR="00DE5FA9">
        <w:t>being</w:t>
      </w:r>
      <w:r w:rsidR="00B073E4">
        <w:t xml:space="preserve"> subject to more </w:t>
      </w:r>
      <w:r w:rsidR="00843767">
        <w:t xml:space="preserve">detailed and/or prescriptive </w:t>
      </w:r>
      <w:r w:rsidR="00E521F3">
        <w:t>group policies and practices.</w:t>
      </w:r>
    </w:p>
    <w:p w14:paraId="6718AA40" w14:textId="3FB9E13D" w:rsidR="00BC2F68" w:rsidRDefault="000B7D86" w:rsidP="00E521F3">
      <w:pPr>
        <w:pStyle w:val="ListParagraph"/>
        <w:ind w:left="567" w:hanging="567"/>
      </w:pPr>
      <w:r>
        <w:t>This means that w</w:t>
      </w:r>
      <w:r w:rsidR="005A0FBD">
        <w:t xml:space="preserve">here a change in ownership takes place during a provider selection process, </w:t>
      </w:r>
      <w:r w:rsidR="00B00CEC">
        <w:t>th</w:t>
      </w:r>
      <w:r>
        <w:t xml:space="preserve">ere could be </w:t>
      </w:r>
      <w:r w:rsidR="00B00CEC">
        <w:t xml:space="preserve">significant implications for how a bidder will deliver its </w:t>
      </w:r>
      <w:r w:rsidR="00B00CEC">
        <w:lastRenderedPageBreak/>
        <w:t>propos</w:t>
      </w:r>
      <w:r w:rsidR="000353AE">
        <w:t>ed service model</w:t>
      </w:r>
      <w:r w:rsidR="00E81B65">
        <w:t>, particularly</w:t>
      </w:r>
      <w:r w:rsidR="00B00CEC">
        <w:t xml:space="preserve"> </w:t>
      </w:r>
      <w:r w:rsidR="001562AA">
        <w:t xml:space="preserve">in situations where a bidder transitions from having more to less autonomy or where </w:t>
      </w:r>
      <w:r w:rsidR="004A6B2F">
        <w:t>changed group polic</w:t>
      </w:r>
      <w:r w:rsidR="00872C4C">
        <w:t>i</w:t>
      </w:r>
      <w:r w:rsidR="004A6B2F">
        <w:t xml:space="preserve">es and practices impact on how a bidder </w:t>
      </w:r>
      <w:r w:rsidR="00BC2F68">
        <w:t>operates.</w:t>
      </w:r>
    </w:p>
    <w:p w14:paraId="19B6596E" w14:textId="1B8DD017" w:rsidR="00756B71" w:rsidRDefault="008844F0" w:rsidP="00847DED">
      <w:pPr>
        <w:pStyle w:val="ListParagraph"/>
        <w:ind w:left="567" w:hanging="567"/>
      </w:pPr>
      <w:r>
        <w:t xml:space="preserve">NHS </w:t>
      </w:r>
      <w:r w:rsidR="009B681E">
        <w:t xml:space="preserve">GM </w:t>
      </w:r>
      <w:r>
        <w:t>told the Panel that, in its view, About Health’s proposal was made on a standalone basis.</w:t>
      </w:r>
      <w:r>
        <w:rPr>
          <w:rStyle w:val="FootnoteReference"/>
        </w:rPr>
        <w:footnoteReference w:id="30"/>
      </w:r>
      <w:r>
        <w:t xml:space="preserve"> This view, first reached in NHS GM’s initial assessment in June 2025</w:t>
      </w:r>
      <w:r w:rsidR="004D3689">
        <w:t xml:space="preserve"> (see Table 1)</w:t>
      </w:r>
      <w:r>
        <w:t xml:space="preserve">, </w:t>
      </w:r>
      <w:r w:rsidR="008401CE">
        <w:t>informed NHS GM’s approach to gathering information in the due diligence exercise.</w:t>
      </w:r>
      <w:r w:rsidR="00847DED">
        <w:t xml:space="preserve"> NHS GM identified </w:t>
      </w:r>
      <w:r w:rsidR="00A61A9C">
        <w:t xml:space="preserve">references to </w:t>
      </w:r>
      <w:r w:rsidR="00847DED">
        <w:t xml:space="preserve">Totally, </w:t>
      </w:r>
      <w:r w:rsidR="00A067CA">
        <w:t xml:space="preserve">About Health’s former parent company, </w:t>
      </w:r>
      <w:r w:rsidR="00A61A9C">
        <w:t xml:space="preserve">in About Health’s proposal and </w:t>
      </w:r>
      <w:r w:rsidR="00082878">
        <w:t>ask</w:t>
      </w:r>
      <w:r w:rsidR="00847DED">
        <w:t xml:space="preserve">ed </w:t>
      </w:r>
      <w:r w:rsidR="0076271F">
        <w:t>About Health t</w:t>
      </w:r>
      <w:r w:rsidR="00082878">
        <w:t xml:space="preserve">o </w:t>
      </w:r>
      <w:r w:rsidR="00000006">
        <w:t>provide updated policies</w:t>
      </w:r>
      <w:r w:rsidR="007A6886">
        <w:t xml:space="preserve"> or to confirm that the arrangements set out in </w:t>
      </w:r>
      <w:r w:rsidR="007E79F0">
        <w:t>its</w:t>
      </w:r>
      <w:r w:rsidR="007A6886">
        <w:t xml:space="preserve"> proposal remained applicable</w:t>
      </w:r>
      <w:r w:rsidR="00FB117D">
        <w:t xml:space="preserve"> (see paragraph</w:t>
      </w:r>
      <w:r w:rsidR="00942AAD">
        <w:t xml:space="preserve"> 57</w:t>
      </w:r>
      <w:r w:rsidR="00FB117D">
        <w:t>)</w:t>
      </w:r>
      <w:r w:rsidR="007A6886">
        <w:t>.</w:t>
      </w:r>
    </w:p>
    <w:p w14:paraId="7847C224" w14:textId="6939A23F" w:rsidR="009E6975" w:rsidRDefault="007330FD" w:rsidP="00FD320C">
      <w:pPr>
        <w:pStyle w:val="ListParagraph"/>
        <w:ind w:left="567" w:hanging="567"/>
      </w:pPr>
      <w:bookmarkStart w:id="32" w:name="_Ref219397411"/>
      <w:r>
        <w:t xml:space="preserve">The Panel notes that </w:t>
      </w:r>
      <w:r w:rsidR="007C115D" w:rsidRPr="007C115D">
        <w:t>the questions asked in the due diligence were confined to aspects of About Health's proposal where it had made explicit references to its parent at the time of submission, Totally. The questions did not</w:t>
      </w:r>
      <w:r w:rsidR="00ED3351">
        <w:t xml:space="preserve"> </w:t>
      </w:r>
      <w:r w:rsidR="009E6975">
        <w:t xml:space="preserve">test </w:t>
      </w:r>
      <w:r w:rsidR="00642A54">
        <w:t xml:space="preserve">whether About Health would operate on </w:t>
      </w:r>
      <w:r w:rsidR="0091392C">
        <w:t>a standalone basis with respect to PHL, its new owner</w:t>
      </w:r>
      <w:r w:rsidR="00BA5D53">
        <w:t>,</w:t>
      </w:r>
      <w:r w:rsidR="0091392C">
        <w:t xml:space="preserve"> and/or whether the relationship between About Health and PHL differed in substanti</w:t>
      </w:r>
      <w:r w:rsidR="00B306B8">
        <w:t>ve</w:t>
      </w:r>
      <w:r w:rsidR="0091392C">
        <w:t xml:space="preserve"> respects to the relationship between About Health and Totally.</w:t>
      </w:r>
      <w:r w:rsidR="003824C8">
        <w:t xml:space="preserve"> As a result, the </w:t>
      </w:r>
      <w:r w:rsidR="003824C8" w:rsidRPr="00EC42AB">
        <w:t xml:space="preserve">Panel’s view is </w:t>
      </w:r>
      <w:r w:rsidR="00974199">
        <w:t xml:space="preserve">that </w:t>
      </w:r>
      <w:r w:rsidR="003824C8" w:rsidRPr="00EC42AB">
        <w:t>NHS GM’s questions were not sufficient for NHS GM to assure itself that About Health’s change in ownership did not affect its proposal</w:t>
      </w:r>
      <w:r w:rsidR="003824C8">
        <w:t>.</w:t>
      </w:r>
    </w:p>
    <w:p w14:paraId="3DFCD412" w14:textId="697D213B" w:rsidR="004B7433" w:rsidRDefault="19755623" w:rsidP="00106541">
      <w:pPr>
        <w:pStyle w:val="ListParagraph"/>
        <w:spacing w:after="120"/>
        <w:ind w:left="567" w:hanging="567"/>
      </w:pPr>
      <w:bookmarkStart w:id="33" w:name="_Ref219807632"/>
      <w:bookmarkEnd w:id="32"/>
      <w:r>
        <w:t xml:space="preserve">The Panel </w:t>
      </w:r>
      <w:r w:rsidR="617A3AAE">
        <w:t>notes</w:t>
      </w:r>
      <w:r>
        <w:t xml:space="preserve"> that NHS GM </w:t>
      </w:r>
      <w:r w:rsidR="00966D0A">
        <w:t xml:space="preserve">could have, for example, </w:t>
      </w:r>
      <w:r w:rsidR="617A3AAE">
        <w:t>ask</w:t>
      </w:r>
      <w:r w:rsidR="00966D0A">
        <w:t>ed</w:t>
      </w:r>
      <w:r w:rsidR="617A3AAE">
        <w:t xml:space="preserve"> About Health</w:t>
      </w:r>
      <w:r w:rsidR="73591379">
        <w:t>:</w:t>
      </w:r>
      <w:bookmarkEnd w:id="33"/>
    </w:p>
    <w:p w14:paraId="015B91B1" w14:textId="348D3BED" w:rsidR="004B7433" w:rsidRDefault="00626F8D" w:rsidP="00106541">
      <w:pPr>
        <w:pStyle w:val="ListParagraph"/>
        <w:numPr>
          <w:ilvl w:val="0"/>
          <w:numId w:val="41"/>
        </w:numPr>
        <w:spacing w:after="120"/>
        <w:ind w:hanging="436"/>
      </w:pPr>
      <w:r>
        <w:t xml:space="preserve">to identify all of the </w:t>
      </w:r>
      <w:r w:rsidR="0063031A">
        <w:t xml:space="preserve">elements of its proposal </w:t>
      </w:r>
      <w:r w:rsidR="00B127E4">
        <w:t xml:space="preserve">and underpinning operating model that were </w:t>
      </w:r>
      <w:r w:rsidR="0063031A">
        <w:t xml:space="preserve">affected by the </w:t>
      </w:r>
      <w:r>
        <w:t xml:space="preserve">change in ownership and </w:t>
      </w:r>
      <w:r w:rsidR="00623B7F">
        <w:t xml:space="preserve">to provide </w:t>
      </w:r>
      <w:r>
        <w:t>updated responses to the</w:t>
      </w:r>
      <w:r w:rsidR="001B59B8">
        <w:t xml:space="preserve"> relevant </w:t>
      </w:r>
      <w:r w:rsidR="00DF6897">
        <w:t xml:space="preserve">basic selection and award </w:t>
      </w:r>
      <w:r>
        <w:t>questions</w:t>
      </w:r>
      <w:r w:rsidR="00451E03">
        <w:t>; and</w:t>
      </w:r>
    </w:p>
    <w:p w14:paraId="1E405BE0" w14:textId="5FC8B3D9" w:rsidR="0006118A" w:rsidRDefault="00106541" w:rsidP="00EC42AB">
      <w:pPr>
        <w:pStyle w:val="ListParagraph"/>
        <w:numPr>
          <w:ilvl w:val="0"/>
          <w:numId w:val="41"/>
        </w:numPr>
        <w:ind w:left="1288" w:hanging="437"/>
      </w:pPr>
      <w:r>
        <w:t xml:space="preserve">other </w:t>
      </w:r>
      <w:r w:rsidR="00336052">
        <w:t>additional</w:t>
      </w:r>
      <w:r w:rsidR="00451E03">
        <w:t xml:space="preserve"> questions </w:t>
      </w:r>
      <w:r w:rsidR="00336052">
        <w:t xml:space="preserve">to </w:t>
      </w:r>
      <w:r w:rsidR="00BA4A04">
        <w:t xml:space="preserve">help NHS GM </w:t>
      </w:r>
      <w:r w:rsidR="00451E03">
        <w:t xml:space="preserve">understand </w:t>
      </w:r>
      <w:r w:rsidR="00701CBE">
        <w:t xml:space="preserve">the way in which </w:t>
      </w:r>
      <w:r w:rsidR="00BA4A04">
        <w:t xml:space="preserve">About Health </w:t>
      </w:r>
      <w:r w:rsidR="00701CBE">
        <w:t xml:space="preserve">would be operating under its new ownership </w:t>
      </w:r>
      <w:r w:rsidR="00BA4A04">
        <w:t xml:space="preserve">(so that NHS GM could </w:t>
      </w:r>
      <w:r w:rsidR="00336052">
        <w:t>use th</w:t>
      </w:r>
      <w:r w:rsidR="00BA4A04">
        <w:t xml:space="preserve">is information </w:t>
      </w:r>
      <w:r w:rsidR="00336052">
        <w:t xml:space="preserve">to identify any other </w:t>
      </w:r>
      <w:r w:rsidR="00D67FFE">
        <w:t xml:space="preserve">elements of </w:t>
      </w:r>
      <w:r w:rsidR="00AD3FA7">
        <w:t xml:space="preserve">About Health’s proposal </w:t>
      </w:r>
      <w:r w:rsidR="00D67FFE">
        <w:t xml:space="preserve">where an updated response </w:t>
      </w:r>
      <w:r w:rsidR="00B47E07">
        <w:t>might be required</w:t>
      </w:r>
      <w:r w:rsidR="00AD3FA7">
        <w:t>)</w:t>
      </w:r>
      <w:r w:rsidR="00B47E07">
        <w:t>.</w:t>
      </w:r>
    </w:p>
    <w:p w14:paraId="226282CB" w14:textId="57A113A9" w:rsidR="00F56DD6" w:rsidRPr="000D45BF" w:rsidRDefault="00A52C40" w:rsidP="000D45BF">
      <w:pPr>
        <w:keepNext/>
        <w:spacing w:before="240"/>
        <w:rPr>
          <w:i/>
          <w:iCs/>
        </w:rPr>
      </w:pPr>
      <w:r>
        <w:rPr>
          <w:i/>
          <w:iCs/>
        </w:rPr>
        <w:t xml:space="preserve">NHS GM’s response to the </w:t>
      </w:r>
      <w:r w:rsidR="009814E0">
        <w:rPr>
          <w:i/>
          <w:iCs/>
        </w:rPr>
        <w:t>answers to its due diligence questions</w:t>
      </w:r>
    </w:p>
    <w:p w14:paraId="48231D21" w14:textId="1EEC312A" w:rsidR="00185E9A" w:rsidRDefault="00185E9A" w:rsidP="00345148">
      <w:pPr>
        <w:pStyle w:val="ListParagraph"/>
        <w:ind w:left="567" w:hanging="567"/>
      </w:pPr>
      <w:r>
        <w:t>The Panel</w:t>
      </w:r>
      <w:r w:rsidR="00D136E7">
        <w:t xml:space="preserve">, having reviewed </w:t>
      </w:r>
      <w:r w:rsidR="00267C29">
        <w:t xml:space="preserve">the </w:t>
      </w:r>
      <w:r w:rsidR="009D71F6">
        <w:t>answers</w:t>
      </w:r>
      <w:r w:rsidR="00F074C9">
        <w:t xml:space="preserve"> to </w:t>
      </w:r>
      <w:r w:rsidR="00D136E7">
        <w:t xml:space="preserve">NHS GM’s due diligence </w:t>
      </w:r>
      <w:r w:rsidR="00EC0C48">
        <w:t>questions,</w:t>
      </w:r>
      <w:r w:rsidR="00D136E7">
        <w:t xml:space="preserve"> identified </w:t>
      </w:r>
      <w:r w:rsidR="002F5BC8">
        <w:t xml:space="preserve">several </w:t>
      </w:r>
      <w:r w:rsidR="00257DB6">
        <w:t xml:space="preserve">aspects of </w:t>
      </w:r>
      <w:r w:rsidR="009D71F6">
        <w:t>these</w:t>
      </w:r>
      <w:r w:rsidR="002F5BC8">
        <w:t xml:space="preserve"> </w:t>
      </w:r>
      <w:r w:rsidR="00257DB6">
        <w:t xml:space="preserve">which </w:t>
      </w:r>
      <w:r w:rsidR="002F5BC8">
        <w:t xml:space="preserve">indicate that </w:t>
      </w:r>
      <w:r w:rsidR="007D46E9">
        <w:t>the</w:t>
      </w:r>
      <w:r w:rsidR="002F5BC8">
        <w:t xml:space="preserve"> </w:t>
      </w:r>
      <w:r w:rsidR="00E1521A">
        <w:t xml:space="preserve">change in </w:t>
      </w:r>
      <w:r w:rsidR="00362071">
        <w:t xml:space="preserve">About Health’s </w:t>
      </w:r>
      <w:r w:rsidR="00E1521A">
        <w:t xml:space="preserve">ownership </w:t>
      </w:r>
      <w:r w:rsidR="00257DB6">
        <w:t xml:space="preserve">may have given </w:t>
      </w:r>
      <w:r w:rsidR="00000D24">
        <w:t xml:space="preserve">rise to changes </w:t>
      </w:r>
      <w:r w:rsidR="00CA436F">
        <w:t xml:space="preserve">that affected </w:t>
      </w:r>
      <w:r w:rsidR="00000D24">
        <w:t>its proposal</w:t>
      </w:r>
      <w:r w:rsidR="00D136E7">
        <w:t>.</w:t>
      </w:r>
    </w:p>
    <w:p w14:paraId="48BD3B54" w14:textId="3A942461" w:rsidR="007B7F14" w:rsidRDefault="00AB7A30" w:rsidP="00926B6F">
      <w:pPr>
        <w:pStyle w:val="ListParagraph"/>
        <w:spacing w:after="120"/>
        <w:ind w:left="567" w:hanging="567"/>
      </w:pPr>
      <w:r>
        <w:t xml:space="preserve">First, PHL </w:t>
      </w:r>
      <w:r w:rsidR="00387B4C">
        <w:t xml:space="preserve">– responding on behalf of About Health – </w:t>
      </w:r>
      <w:r w:rsidR="00545111">
        <w:t xml:space="preserve">told NHS GM </w:t>
      </w:r>
      <w:r w:rsidR="00E57810">
        <w:t>in its letter of 26</w:t>
      </w:r>
      <w:r w:rsidR="00D47FB9">
        <w:t> </w:t>
      </w:r>
      <w:r w:rsidR="00E57810">
        <w:t xml:space="preserve">September 2025 </w:t>
      </w:r>
      <w:r w:rsidR="00CC7CBF">
        <w:t>that</w:t>
      </w:r>
      <w:r w:rsidR="007B7F14">
        <w:t>:</w:t>
      </w:r>
    </w:p>
    <w:p w14:paraId="78F778EB" w14:textId="0984DA74" w:rsidR="00BA5F44" w:rsidRPr="007B7F14" w:rsidRDefault="00F60E48" w:rsidP="007B7F14">
      <w:pPr>
        <w:pStyle w:val="ListParagraph"/>
        <w:numPr>
          <w:ilvl w:val="0"/>
          <w:numId w:val="0"/>
        </w:numPr>
        <w:spacing w:line="259" w:lineRule="auto"/>
        <w:ind w:left="851"/>
        <w:rPr>
          <w:sz w:val="21"/>
          <w:szCs w:val="21"/>
        </w:rPr>
      </w:pPr>
      <w:r w:rsidRPr="007B7F14">
        <w:rPr>
          <w:sz w:val="21"/>
          <w:szCs w:val="21"/>
        </w:rPr>
        <w:t>“operationally we [PHL] have a full mobilisation team of specialists in each field from across the organisation and a dedicated project manager allocated to ensure the workstreams and tasks are completed within target. Additional resource requirements to support the service have been recognised and factored into the mobilisation”.</w:t>
      </w:r>
      <w:r w:rsidRPr="007B7F14">
        <w:rPr>
          <w:rStyle w:val="FootnoteReference"/>
          <w:sz w:val="21"/>
          <w:szCs w:val="21"/>
        </w:rPr>
        <w:footnoteReference w:id="31"/>
      </w:r>
    </w:p>
    <w:p w14:paraId="56D57059" w14:textId="7C2C236C" w:rsidR="00AB7A30" w:rsidRDefault="11404D33" w:rsidP="00926B6F">
      <w:pPr>
        <w:pStyle w:val="ListParagraph"/>
        <w:ind w:left="567" w:hanging="567"/>
      </w:pPr>
      <w:r>
        <w:t>T</w:t>
      </w:r>
      <w:r w:rsidR="26993A98">
        <w:t>h</w:t>
      </w:r>
      <w:r>
        <w:t>e Panel</w:t>
      </w:r>
      <w:r w:rsidR="00C3701B">
        <w:t xml:space="preserve"> notes</w:t>
      </w:r>
      <w:r w:rsidR="7AB8B1FC">
        <w:t xml:space="preserve"> that </w:t>
      </w:r>
      <w:r w:rsidR="0493F0BA">
        <w:t>PHL’s letter</w:t>
      </w:r>
      <w:r w:rsidR="26993A98">
        <w:t xml:space="preserve"> suggests that About Health’s approach to </w:t>
      </w:r>
      <w:r w:rsidR="00A7578B">
        <w:t>service</w:t>
      </w:r>
      <w:r w:rsidR="26993A98">
        <w:t xml:space="preserve"> mobilisation </w:t>
      </w:r>
      <w:r w:rsidR="7C68C6AD">
        <w:t xml:space="preserve">may have </w:t>
      </w:r>
      <w:r w:rsidR="26993A98">
        <w:t xml:space="preserve">changed as a result of </w:t>
      </w:r>
      <w:r w:rsidR="06B786BB">
        <w:t>it</w:t>
      </w:r>
      <w:r w:rsidR="0493F0BA">
        <w:t xml:space="preserve"> being acquired by PHL</w:t>
      </w:r>
      <w:r w:rsidR="26993A98">
        <w:t>.</w:t>
      </w:r>
    </w:p>
    <w:p w14:paraId="5EA83BE1" w14:textId="3D929534" w:rsidR="00265133" w:rsidRDefault="26993A98" w:rsidP="00926B6F">
      <w:pPr>
        <w:pStyle w:val="ListParagraph"/>
        <w:spacing w:after="120"/>
        <w:ind w:left="567" w:hanging="567"/>
      </w:pPr>
      <w:r>
        <w:t xml:space="preserve">Second, PHL </w:t>
      </w:r>
      <w:r w:rsidR="28E87565">
        <w:t xml:space="preserve">told NHS GM </w:t>
      </w:r>
      <w:r w:rsidR="0D8CFF41">
        <w:t>in i</w:t>
      </w:r>
      <w:r w:rsidR="64CC796A">
        <w:t>t</w:t>
      </w:r>
      <w:r w:rsidR="0D8CFF41">
        <w:t>s letter of 7</w:t>
      </w:r>
      <w:r w:rsidR="28E87565">
        <w:t> </w:t>
      </w:r>
      <w:r w:rsidR="0D8CFF41">
        <w:t>October 2025</w:t>
      </w:r>
      <w:r w:rsidR="28E87565">
        <w:t xml:space="preserve"> that:</w:t>
      </w:r>
    </w:p>
    <w:p w14:paraId="3A0F760F" w14:textId="122FDE3F" w:rsidR="007B7F14" w:rsidRPr="00265133" w:rsidRDefault="007B7F14" w:rsidP="00265133">
      <w:pPr>
        <w:pStyle w:val="ListParagraph"/>
        <w:numPr>
          <w:ilvl w:val="0"/>
          <w:numId w:val="0"/>
        </w:numPr>
        <w:spacing w:line="259" w:lineRule="auto"/>
        <w:ind w:left="851"/>
        <w:rPr>
          <w:sz w:val="21"/>
          <w:szCs w:val="21"/>
        </w:rPr>
      </w:pPr>
      <w:r w:rsidRPr="00265133">
        <w:rPr>
          <w:sz w:val="21"/>
          <w:szCs w:val="21"/>
        </w:rPr>
        <w:lastRenderedPageBreak/>
        <w:t>“as part of the integration of About Health Limited into the wider PHL Group financial improvements and efficiencies have been identified … Backed by PHL Group’s robust operational infrastructure and clinical leadership, the transition safeguarded jobs and ensure uninterrupted service delivery … The integration has provided About Health with greater financial resilience, enhanced governance and access to broader resources, positioning it to be able to be successful in the implementation and delivery of the new contract”.</w:t>
      </w:r>
      <w:r w:rsidRPr="00265133">
        <w:rPr>
          <w:rStyle w:val="FootnoteReference"/>
          <w:sz w:val="21"/>
          <w:szCs w:val="21"/>
        </w:rPr>
        <w:footnoteReference w:id="32"/>
      </w:r>
    </w:p>
    <w:p w14:paraId="66DDEDB4" w14:textId="192FC149" w:rsidR="005A313A" w:rsidRDefault="00AB7A30" w:rsidP="00345148">
      <w:pPr>
        <w:pStyle w:val="ListParagraph"/>
        <w:ind w:left="567" w:hanging="567"/>
      </w:pPr>
      <w:bookmarkStart w:id="34" w:name="_Ref218876050"/>
      <w:r>
        <w:t>The Panel</w:t>
      </w:r>
      <w:r w:rsidR="00CF7595">
        <w:t xml:space="preserve"> notes</w:t>
      </w:r>
      <w:r w:rsidR="00656828">
        <w:t xml:space="preserve"> </w:t>
      </w:r>
      <w:r>
        <w:t>that PHL</w:t>
      </w:r>
      <w:r w:rsidR="007B7F14">
        <w:t>’s</w:t>
      </w:r>
      <w:r>
        <w:t xml:space="preserve"> </w:t>
      </w:r>
      <w:r w:rsidR="00107338">
        <w:t xml:space="preserve">letter </w:t>
      </w:r>
      <w:r>
        <w:t xml:space="preserve">suggests </w:t>
      </w:r>
      <w:r w:rsidR="00926B6F">
        <w:t xml:space="preserve">that </w:t>
      </w:r>
      <w:r>
        <w:t xml:space="preserve">About Health’s </w:t>
      </w:r>
      <w:r w:rsidRPr="00AF4E7D">
        <w:t>service delivery model</w:t>
      </w:r>
      <w:r w:rsidR="005A313A">
        <w:t xml:space="preserve"> </w:t>
      </w:r>
      <w:r w:rsidR="00F94876">
        <w:t xml:space="preserve">may have </w:t>
      </w:r>
      <w:r w:rsidR="005A313A">
        <w:t xml:space="preserve">changed as a result of it being acquired by PHL. This includes About Health’s </w:t>
      </w:r>
      <w:r w:rsidRPr="00AF4E7D">
        <w:t xml:space="preserve">approach to areas specifically tested in the award questionnaire, such as </w:t>
      </w:r>
      <w:r>
        <w:t xml:space="preserve">clinical oversight </w:t>
      </w:r>
      <w:r w:rsidRPr="00AF4E7D">
        <w:t xml:space="preserve">(Q3) </w:t>
      </w:r>
      <w:r>
        <w:t>and clinical governance (</w:t>
      </w:r>
      <w:r w:rsidRPr="00AF4E7D">
        <w:t>Q9)</w:t>
      </w:r>
      <w:r w:rsidR="00AF1CE6">
        <w:t>.</w:t>
      </w:r>
      <w:r w:rsidR="001C6207">
        <w:t xml:space="preserve"> </w:t>
      </w:r>
      <w:r w:rsidR="00723E81">
        <w:t xml:space="preserve">PHL’s reference to About Health being backed by “PHL Group’s robust operational infrastructure” also had the potential to impact on </w:t>
      </w:r>
      <w:r w:rsidR="00723E81" w:rsidRPr="00AF4E7D">
        <w:t>a wide range of systems and solutions covered in the tender questions (for example</w:t>
      </w:r>
      <w:r w:rsidR="00723E81">
        <w:t xml:space="preserve"> provision of accessible digital solutions (</w:t>
      </w:r>
      <w:r w:rsidR="00723E81" w:rsidRPr="00AF4E7D">
        <w:t>Q16</w:t>
      </w:r>
      <w:r w:rsidR="00723E81">
        <w:t>), gathering data systems (</w:t>
      </w:r>
      <w:r w:rsidR="00723E81" w:rsidRPr="00AF4E7D">
        <w:t>Q19</w:t>
      </w:r>
      <w:r w:rsidR="00723E81">
        <w:t>), systems interoperability (</w:t>
      </w:r>
      <w:r w:rsidR="00723E81" w:rsidRPr="00AF4E7D">
        <w:t>Q20</w:t>
      </w:r>
      <w:r w:rsidR="00723E81">
        <w:t>) and supply chain and sustainability (</w:t>
      </w:r>
      <w:r w:rsidR="00723E81" w:rsidRPr="00AF4E7D">
        <w:t>Q21)</w:t>
      </w:r>
      <w:r w:rsidR="00723E81">
        <w:t>)</w:t>
      </w:r>
      <w:r w:rsidR="00723E81" w:rsidRPr="00AF4E7D">
        <w:t>.</w:t>
      </w:r>
    </w:p>
    <w:bookmarkEnd w:id="34"/>
    <w:p w14:paraId="3E808D3E" w14:textId="6D3DC34D" w:rsidR="0099254C" w:rsidRDefault="0099254C" w:rsidP="00951B3E">
      <w:pPr>
        <w:pStyle w:val="ListParagraph"/>
        <w:spacing w:after="120"/>
        <w:ind w:left="567" w:hanging="567"/>
      </w:pPr>
      <w:r>
        <w:t xml:space="preserve">Third, in </w:t>
      </w:r>
      <w:r w:rsidR="00CF7595">
        <w:t>providing an</w:t>
      </w:r>
      <w:r>
        <w:t xml:space="preserve"> updated </w:t>
      </w:r>
      <w:r w:rsidR="00252F98">
        <w:t>answer, on behalf of About Health,</w:t>
      </w:r>
      <w:r>
        <w:t xml:space="preserve"> to the award question on clinical governance structure, </w:t>
      </w:r>
      <w:r w:rsidR="00053F8D">
        <w:t>PHL</w:t>
      </w:r>
      <w:r>
        <w:t xml:space="preserve"> said that:</w:t>
      </w:r>
    </w:p>
    <w:p w14:paraId="64B76A53" w14:textId="61B2CE9C" w:rsidR="0099254C" w:rsidRPr="00D86BAA" w:rsidRDefault="0099254C" w:rsidP="0099254C">
      <w:pPr>
        <w:pStyle w:val="ListParagraph"/>
        <w:numPr>
          <w:ilvl w:val="0"/>
          <w:numId w:val="0"/>
        </w:numPr>
        <w:spacing w:line="259" w:lineRule="auto"/>
        <w:ind w:left="851"/>
        <w:rPr>
          <w:sz w:val="21"/>
          <w:szCs w:val="21"/>
        </w:rPr>
      </w:pPr>
      <w:r w:rsidRPr="00D86BAA">
        <w:rPr>
          <w:sz w:val="21"/>
          <w:szCs w:val="21"/>
        </w:rPr>
        <w:t>“the clinical governance structure provided as part of our bid response, and the bid response to this question as a whole are not affected by the change in ownership of About Health Ltd. Our robust clinical governance processes, patient safety, high quality care and continuous improvement have been strengthened by our acquisition by PHL Group”.</w:t>
      </w:r>
      <w:r w:rsidRPr="00D86BAA">
        <w:rPr>
          <w:rStyle w:val="FootnoteReference"/>
          <w:sz w:val="21"/>
          <w:szCs w:val="21"/>
        </w:rPr>
        <w:footnoteReference w:id="33"/>
      </w:r>
    </w:p>
    <w:p w14:paraId="262CD7DE" w14:textId="194AEFAE" w:rsidR="00B3771A" w:rsidRDefault="0099254C" w:rsidP="0099254C">
      <w:pPr>
        <w:pStyle w:val="ListParagraph"/>
        <w:ind w:left="567" w:hanging="567"/>
      </w:pPr>
      <w:r>
        <w:t>The Panel</w:t>
      </w:r>
      <w:r w:rsidR="00053F8D">
        <w:t>’s view</w:t>
      </w:r>
      <w:r w:rsidR="00B3771A">
        <w:t xml:space="preserve"> is that, notwithstanding PHL’s statement that About Health’s bid response had not changed, the reference to </w:t>
      </w:r>
      <w:r w:rsidR="00DE78DD">
        <w:t>its clinical governance processes having been strengthened by its acquisition by PHL implies a change in approach</w:t>
      </w:r>
      <w:r w:rsidR="000C769A">
        <w:t xml:space="preserve"> due to the acquisition.</w:t>
      </w:r>
    </w:p>
    <w:p w14:paraId="6BFE4259" w14:textId="67B6380E" w:rsidR="00F65790" w:rsidRDefault="1CAEFE8B" w:rsidP="0099254C">
      <w:pPr>
        <w:pStyle w:val="ListParagraph"/>
        <w:ind w:left="567" w:hanging="567"/>
      </w:pPr>
      <w:r>
        <w:t>The Panel notes that</w:t>
      </w:r>
      <w:r w:rsidR="00A9623B">
        <w:t>, based on the</w:t>
      </w:r>
      <w:r>
        <w:t xml:space="preserve"> </w:t>
      </w:r>
      <w:r w:rsidR="003558F3">
        <w:t xml:space="preserve">evidence </w:t>
      </w:r>
      <w:r w:rsidR="00A9623B">
        <w:t>seen by</w:t>
      </w:r>
      <w:r w:rsidR="003558F3">
        <w:t xml:space="preserve"> the Panel</w:t>
      </w:r>
      <w:r w:rsidR="00A9623B">
        <w:t>,</w:t>
      </w:r>
      <w:r w:rsidR="003558F3">
        <w:t xml:space="preserve"> </w:t>
      </w:r>
      <w:r>
        <w:t xml:space="preserve">NHS GM did not follow up on any of these indications that About Health’s proposed approach </w:t>
      </w:r>
      <w:r w:rsidR="00E6165A">
        <w:t>may have</w:t>
      </w:r>
      <w:r>
        <w:t xml:space="preserve"> changed as a result of its acquisition by PHL.</w:t>
      </w:r>
    </w:p>
    <w:p w14:paraId="10C654BF" w14:textId="63B5A899" w:rsidR="00471766" w:rsidRDefault="0045628B" w:rsidP="00471766">
      <w:pPr>
        <w:pStyle w:val="ListParagraph"/>
        <w:ind w:left="567" w:hanging="567"/>
      </w:pPr>
      <w:r>
        <w:t>In addition to the three points set out above, t</w:t>
      </w:r>
      <w:r w:rsidR="00471766">
        <w:t xml:space="preserve">he Panel further notes that in </w:t>
      </w:r>
      <w:r w:rsidR="001F5F0B">
        <w:t>relation to business continuity</w:t>
      </w:r>
      <w:r w:rsidR="00471766">
        <w:t xml:space="preserve">, an NHS GM staff member </w:t>
      </w:r>
      <w:r w:rsidR="001559C4">
        <w:t xml:space="preserve">specifically </w:t>
      </w:r>
      <w:r w:rsidR="00471766">
        <w:t>suggested</w:t>
      </w:r>
      <w:r w:rsidR="001F5F0B">
        <w:t xml:space="preserve"> </w:t>
      </w:r>
      <w:r w:rsidR="0051795F">
        <w:t xml:space="preserve">a comparison of PHL’s business continuity plan with the business continuity plan supplied in </w:t>
      </w:r>
      <w:r w:rsidR="00D15941">
        <w:t>About Health’s</w:t>
      </w:r>
      <w:r w:rsidR="0051795F">
        <w:t xml:space="preserve"> </w:t>
      </w:r>
      <w:r w:rsidR="00D15941">
        <w:t>proposal</w:t>
      </w:r>
      <w:r w:rsidR="0051795F">
        <w:t xml:space="preserve"> </w:t>
      </w:r>
      <w:r w:rsidR="001559C4">
        <w:t>“to see if it’s equally robust”</w:t>
      </w:r>
      <w:r w:rsidR="003050A3">
        <w:t>.</w:t>
      </w:r>
      <w:r w:rsidR="00E140B8">
        <w:rPr>
          <w:rStyle w:val="FootnoteReference"/>
        </w:rPr>
        <w:footnoteReference w:id="34"/>
      </w:r>
      <w:r w:rsidR="001559C4">
        <w:t xml:space="preserve"> </w:t>
      </w:r>
      <w:r w:rsidR="003050A3">
        <w:t xml:space="preserve"> </w:t>
      </w:r>
      <w:r w:rsidR="34735ABA">
        <w:t>H</w:t>
      </w:r>
      <w:r w:rsidR="003050A3">
        <w:t>owever,</w:t>
      </w:r>
      <w:r w:rsidR="62A31B42">
        <w:t xml:space="preserve"> </w:t>
      </w:r>
      <w:r w:rsidR="00DC2233">
        <w:t xml:space="preserve">the Panel has </w:t>
      </w:r>
      <w:r w:rsidR="00D15941">
        <w:t>seen</w:t>
      </w:r>
      <w:r w:rsidR="62A31B42">
        <w:t xml:space="preserve"> </w:t>
      </w:r>
      <w:r w:rsidR="001559C4">
        <w:t xml:space="preserve">no evidence </w:t>
      </w:r>
      <w:r w:rsidR="00D15941">
        <w:t>that</w:t>
      </w:r>
      <w:r w:rsidR="001559C4">
        <w:t xml:space="preserve"> NHS GM carr</w:t>
      </w:r>
      <w:r w:rsidR="00D15941">
        <w:t>ied</w:t>
      </w:r>
      <w:r w:rsidR="001559C4">
        <w:t xml:space="preserve"> out the suggested analysis.</w:t>
      </w:r>
    </w:p>
    <w:p w14:paraId="762272D5" w14:textId="7342DA57" w:rsidR="00130C02" w:rsidRDefault="00690216" w:rsidP="006D0C58">
      <w:pPr>
        <w:pStyle w:val="ListParagraph"/>
        <w:spacing w:after="120"/>
        <w:ind w:left="567" w:hanging="567"/>
      </w:pPr>
      <w:r>
        <w:t>T</w:t>
      </w:r>
      <w:r w:rsidR="008B3BB3">
        <w:t xml:space="preserve">he Panel notes that there were </w:t>
      </w:r>
      <w:r w:rsidR="005C482B">
        <w:t xml:space="preserve">other </w:t>
      </w:r>
      <w:r w:rsidR="00B02E12">
        <w:t xml:space="preserve">additional </w:t>
      </w:r>
      <w:r w:rsidR="008B3BB3">
        <w:t xml:space="preserve">indications </w:t>
      </w:r>
      <w:r w:rsidR="009406D0">
        <w:t xml:space="preserve">that brought into question </w:t>
      </w:r>
      <w:r w:rsidR="000D04B0">
        <w:t xml:space="preserve">NHS GM’s </w:t>
      </w:r>
      <w:r w:rsidR="009F7218">
        <w:t>view</w:t>
      </w:r>
      <w:r w:rsidR="00B02E12">
        <w:t xml:space="preserve"> </w:t>
      </w:r>
      <w:r w:rsidR="000D04B0">
        <w:t>that About Health</w:t>
      </w:r>
      <w:r w:rsidR="00B02E12">
        <w:t>’s proposal was a standalone bid</w:t>
      </w:r>
      <w:r w:rsidR="009F7218">
        <w:t xml:space="preserve">. </w:t>
      </w:r>
      <w:r w:rsidR="0072190B">
        <w:t>In particular</w:t>
      </w:r>
      <w:r w:rsidR="00130C02">
        <w:t>:</w:t>
      </w:r>
    </w:p>
    <w:p w14:paraId="5DD15F2D" w14:textId="74BB08BE" w:rsidR="00130C02" w:rsidRDefault="00870AAB" w:rsidP="006D0C58">
      <w:pPr>
        <w:pStyle w:val="ListParagraph"/>
        <w:numPr>
          <w:ilvl w:val="0"/>
          <w:numId w:val="10"/>
        </w:numPr>
        <w:spacing w:after="120"/>
      </w:pPr>
      <w:r>
        <w:t xml:space="preserve">all of </w:t>
      </w:r>
      <w:r w:rsidR="21078D2A">
        <w:t xml:space="preserve">the </w:t>
      </w:r>
      <w:r w:rsidR="1CDA6A7A">
        <w:t>respon</w:t>
      </w:r>
      <w:r w:rsidR="20C75F15">
        <w:t xml:space="preserve">ses </w:t>
      </w:r>
      <w:r w:rsidR="1CDA6A7A">
        <w:t>to NHS GM’s due diligence questions</w:t>
      </w:r>
      <w:r w:rsidR="2795DE37">
        <w:t xml:space="preserve"> </w:t>
      </w:r>
      <w:r w:rsidR="5566F447">
        <w:t xml:space="preserve">were from PHL </w:t>
      </w:r>
      <w:r w:rsidR="2795DE37">
        <w:t>on behalf of About Health</w:t>
      </w:r>
      <w:r w:rsidR="0095675F">
        <w:t xml:space="preserve"> rather than from About Health itself</w:t>
      </w:r>
      <w:r w:rsidR="00130C02">
        <w:t>;</w:t>
      </w:r>
    </w:p>
    <w:p w14:paraId="79F8B54A" w14:textId="41C22D14" w:rsidR="00130C02" w:rsidRDefault="6505552B" w:rsidP="006D0C58">
      <w:pPr>
        <w:pStyle w:val="ListParagraph"/>
        <w:numPr>
          <w:ilvl w:val="0"/>
          <w:numId w:val="10"/>
        </w:numPr>
        <w:spacing w:after="120"/>
      </w:pPr>
      <w:r>
        <w:t xml:space="preserve">About Health’s </w:t>
      </w:r>
      <w:r w:rsidR="00D8102D">
        <w:t xml:space="preserve">online presence </w:t>
      </w:r>
      <w:r w:rsidR="00D87FCD">
        <w:t>following its acquisition</w:t>
      </w:r>
      <w:r w:rsidR="00D8102D">
        <w:t xml:space="preserve"> </w:t>
      </w:r>
      <w:r w:rsidR="2212E52B">
        <w:t>is limited to a shared webpage</w:t>
      </w:r>
      <w:r w:rsidR="00D8102D">
        <w:t xml:space="preserve"> on the PHL website (which would have come to NHS GM’s attention </w:t>
      </w:r>
      <w:r w:rsidR="00994EFC">
        <w:t xml:space="preserve">via </w:t>
      </w:r>
      <w:r w:rsidR="00994EFC">
        <w:lastRenderedPageBreak/>
        <w:t xml:space="preserve">the updated response to the </w:t>
      </w:r>
      <w:r w:rsidR="00D87FCD">
        <w:t>question in the</w:t>
      </w:r>
      <w:r w:rsidR="00994EFC">
        <w:t xml:space="preserve"> basic selection questionnaire</w:t>
      </w:r>
      <w:r w:rsidR="00D87FCD">
        <w:t xml:space="preserve"> concerning About Health’s website – see Table 2</w:t>
      </w:r>
      <w:r w:rsidR="2212E52B">
        <w:t>)</w:t>
      </w:r>
      <w:r w:rsidR="00130C02">
        <w:t>;</w:t>
      </w:r>
      <w:r w:rsidR="00834A87">
        <w:t xml:space="preserve"> and</w:t>
      </w:r>
    </w:p>
    <w:p w14:paraId="0A57B0D0" w14:textId="2DB95548" w:rsidR="00471766" w:rsidRDefault="00337C70" w:rsidP="0000545E">
      <w:pPr>
        <w:pStyle w:val="ListParagraph"/>
        <w:numPr>
          <w:ilvl w:val="0"/>
          <w:numId w:val="10"/>
        </w:numPr>
        <w:ind w:left="1077" w:hanging="357"/>
      </w:pPr>
      <w:r>
        <w:t>PHL explicitly told NHS GM on</w:t>
      </w:r>
      <w:r w:rsidRPr="00822965">
        <w:t xml:space="preserve"> 7 October 2025 that </w:t>
      </w:r>
      <w:r w:rsidRPr="00EC42AB">
        <w:t>“About Health operates seamlessly as part of the overall group and not as a standalone company, it has the full integration and support of the PHL Group in all aspects including leadership, central function support and financial resource support”.</w:t>
      </w:r>
      <w:r w:rsidRPr="00EC42AB">
        <w:rPr>
          <w:rStyle w:val="FootnoteReference"/>
        </w:rPr>
        <w:footnoteReference w:id="35"/>
      </w:r>
    </w:p>
    <w:p w14:paraId="6395AF59" w14:textId="30311178" w:rsidR="00255703" w:rsidRDefault="00595CA9" w:rsidP="00345148">
      <w:pPr>
        <w:pStyle w:val="ListParagraph"/>
        <w:ind w:left="567" w:hanging="567"/>
      </w:pPr>
      <w:r>
        <w:t>NHS GM’s internal emails</w:t>
      </w:r>
      <w:r w:rsidR="009E7679">
        <w:t xml:space="preserve"> </w:t>
      </w:r>
      <w:r w:rsidR="006A507F">
        <w:t xml:space="preserve">which </w:t>
      </w:r>
      <w:r w:rsidR="009E7679">
        <w:t>report</w:t>
      </w:r>
      <w:r w:rsidR="006A507F">
        <w:t xml:space="preserve"> the results of NHS GM’s evaluation of </w:t>
      </w:r>
      <w:r w:rsidR="001D6374">
        <w:t>PHL’s</w:t>
      </w:r>
      <w:r w:rsidR="009E7679">
        <w:t xml:space="preserve"> responses to the due diligence questions</w:t>
      </w:r>
      <w:r>
        <w:t xml:space="preserve"> do not </w:t>
      </w:r>
      <w:r w:rsidR="009E7679">
        <w:t>pick up on any of these points</w:t>
      </w:r>
      <w:r w:rsidR="00EF08EA">
        <w:t xml:space="preserve">, with NHS GM staff uniformly </w:t>
      </w:r>
      <w:r w:rsidR="005739EF">
        <w:t>stating that</w:t>
      </w:r>
      <w:r w:rsidR="00EF08EA">
        <w:t xml:space="preserve"> they are satisfied with the responses supplied by PHL.</w:t>
      </w:r>
      <w:r w:rsidR="009E7679">
        <w:t xml:space="preserve"> </w:t>
      </w:r>
      <w:r w:rsidR="00A3119E">
        <w:t>The Panel has not seen any other evidence of NHS GM following up on these indications that About Health</w:t>
      </w:r>
      <w:r w:rsidR="002F219C">
        <w:t>’s proposal was not “standalone” from its parent company, PHL.</w:t>
      </w:r>
    </w:p>
    <w:p w14:paraId="519D8874" w14:textId="69ACBADB" w:rsidR="00290A63" w:rsidRDefault="005D1EC3" w:rsidP="00345148">
      <w:pPr>
        <w:pStyle w:val="ListParagraph"/>
        <w:ind w:left="567" w:hanging="567"/>
      </w:pPr>
      <w:r>
        <w:t xml:space="preserve">In summary, </w:t>
      </w:r>
      <w:r w:rsidR="6EC7A977">
        <w:t xml:space="preserve">NHS GM received </w:t>
      </w:r>
      <w:r w:rsidR="239C2F12">
        <w:t xml:space="preserve">information </w:t>
      </w:r>
      <w:r w:rsidR="226CB35A">
        <w:t xml:space="preserve">from PHL </w:t>
      </w:r>
      <w:r w:rsidR="727C86F2">
        <w:t xml:space="preserve">during the due diligence exercise which </w:t>
      </w:r>
      <w:r w:rsidR="226CB35A">
        <w:t xml:space="preserve">indicated that About Health’s change in ownership </w:t>
      </w:r>
      <w:r w:rsidR="00C9028C">
        <w:t xml:space="preserve">may have </w:t>
      </w:r>
      <w:r w:rsidR="226CB35A">
        <w:t xml:space="preserve">affected About Health’s proposal. </w:t>
      </w:r>
      <w:r w:rsidR="340312D6">
        <w:t>NHS GM, however, did not follow up on these indications</w:t>
      </w:r>
      <w:r w:rsidR="00B25E53">
        <w:t>, and t</w:t>
      </w:r>
      <w:r w:rsidR="00A23F7C">
        <w:t>here is no record</w:t>
      </w:r>
      <w:r w:rsidR="00706469">
        <w:t xml:space="preserve"> of any assessment by NHS GM </w:t>
      </w:r>
      <w:r w:rsidR="3D0E9129">
        <w:t>in which it</w:t>
      </w:r>
      <w:r w:rsidR="00706469">
        <w:t xml:space="preserve"> conclude</w:t>
      </w:r>
      <w:r w:rsidR="3E5B95C0">
        <w:t>d</w:t>
      </w:r>
      <w:r w:rsidR="00706469">
        <w:t xml:space="preserve"> </w:t>
      </w:r>
      <w:r w:rsidR="001B42A1">
        <w:t xml:space="preserve">that these indications did not </w:t>
      </w:r>
      <w:r w:rsidR="001B42A1" w:rsidRPr="009B681E">
        <w:t>warrant any follow up</w:t>
      </w:r>
      <w:r w:rsidR="001B42A1">
        <w:t>.</w:t>
      </w:r>
      <w:r w:rsidR="00C9028C">
        <w:t xml:space="preserve"> </w:t>
      </w:r>
      <w:r w:rsidR="00706469">
        <w:t xml:space="preserve">The Panel’s view, however, is that these indications were sufficient for </w:t>
      </w:r>
      <w:r w:rsidR="00711CC8">
        <w:t xml:space="preserve">NHS GM to have asked further questions of About Health </w:t>
      </w:r>
      <w:r w:rsidR="002D10B2">
        <w:t xml:space="preserve">such that it could determine whether re-evaluation of </w:t>
      </w:r>
      <w:r w:rsidR="004E4E24">
        <w:t>elements of About Health’s proposal was necessary.</w:t>
      </w:r>
    </w:p>
    <w:p w14:paraId="34FE2630" w14:textId="5DFF7313" w:rsidR="008222B2" w:rsidRPr="0056413B" w:rsidRDefault="008222B2" w:rsidP="008222B2">
      <w:pPr>
        <w:keepNext/>
        <w:spacing w:before="240"/>
        <w:rPr>
          <w:b/>
          <w:bCs/>
        </w:rPr>
      </w:pPr>
      <w:bookmarkStart w:id="35" w:name="_Ref216185648"/>
      <w:r w:rsidRPr="0056413B">
        <w:rPr>
          <w:b/>
          <w:bCs/>
        </w:rPr>
        <w:t xml:space="preserve">Panel </w:t>
      </w:r>
      <w:r>
        <w:rPr>
          <w:b/>
          <w:bCs/>
        </w:rPr>
        <w:t xml:space="preserve">conclusions about </w:t>
      </w:r>
      <w:r w:rsidRPr="0056413B">
        <w:rPr>
          <w:b/>
          <w:bCs/>
        </w:rPr>
        <w:t xml:space="preserve">NHS GM’s </w:t>
      </w:r>
      <w:r>
        <w:rPr>
          <w:b/>
          <w:bCs/>
        </w:rPr>
        <w:t xml:space="preserve">assessment of </w:t>
      </w:r>
      <w:r w:rsidRPr="0056413B">
        <w:rPr>
          <w:b/>
          <w:bCs/>
        </w:rPr>
        <w:t>About Health’s change in ownership</w:t>
      </w:r>
    </w:p>
    <w:p w14:paraId="373D8E38" w14:textId="0D75AD89" w:rsidR="006C15F0" w:rsidRDefault="004E7EE8" w:rsidP="00115B8F">
      <w:pPr>
        <w:pStyle w:val="ListParagraph"/>
        <w:ind w:left="567" w:hanging="567"/>
      </w:pPr>
      <w:r>
        <w:t xml:space="preserve">To conclude on </w:t>
      </w:r>
      <w:r w:rsidR="00955F98">
        <w:t xml:space="preserve">NHS GM’s assessment of About Health’s change in ownership, </w:t>
      </w:r>
      <w:r w:rsidR="2529FCA2">
        <w:t>NHS GM</w:t>
      </w:r>
      <w:r w:rsidR="006013F6">
        <w:t xml:space="preserve">’s </w:t>
      </w:r>
      <w:r w:rsidR="196ABF7D">
        <w:t>initial assessment in June 2025</w:t>
      </w:r>
      <w:r w:rsidR="005F2C6E">
        <w:t xml:space="preserve"> did little to assure NHS GM </w:t>
      </w:r>
      <w:r w:rsidR="196ABF7D">
        <w:t>that About Health’s change in ownership did not affect the outcome of the provider selection process</w:t>
      </w:r>
      <w:r w:rsidR="003B03B6">
        <w:t>, particularly given the lack of questions to About Health</w:t>
      </w:r>
      <w:r w:rsidR="196ABF7D">
        <w:t xml:space="preserve">. NHS GM </w:t>
      </w:r>
      <w:r w:rsidR="006D4B2A">
        <w:t xml:space="preserve">then waited until August 2025 before commencing </w:t>
      </w:r>
      <w:r w:rsidR="00D1546E">
        <w:t xml:space="preserve">a </w:t>
      </w:r>
      <w:r w:rsidR="196ABF7D">
        <w:t xml:space="preserve">due diligence exercise </w:t>
      </w:r>
      <w:r w:rsidR="00D1546E">
        <w:t>with respect to About Health’s change in ownership</w:t>
      </w:r>
      <w:r w:rsidR="6E25AFA0">
        <w:t xml:space="preserve">. </w:t>
      </w:r>
      <w:r w:rsidR="00AF7086">
        <w:t xml:space="preserve">The questions asked of About Health in the due diligence exercise were </w:t>
      </w:r>
      <w:r w:rsidR="0C0C3E4C">
        <w:t>narrowly cast</w:t>
      </w:r>
      <w:r w:rsidR="00B51D02">
        <w:t>,</w:t>
      </w:r>
      <w:r w:rsidR="0C0C3E4C">
        <w:t xml:space="preserve"> </w:t>
      </w:r>
      <w:r w:rsidR="00DA1B00">
        <w:t xml:space="preserve">resulting in </w:t>
      </w:r>
      <w:r w:rsidR="00E33C9F">
        <w:t>NHS GM not gather</w:t>
      </w:r>
      <w:r w:rsidR="00DA1B00">
        <w:t>ing</w:t>
      </w:r>
      <w:r w:rsidR="00E33C9F">
        <w:t xml:space="preserve"> the full range of information relevant to its assessment</w:t>
      </w:r>
      <w:r w:rsidR="00DA1B00">
        <w:t xml:space="preserve">. </w:t>
      </w:r>
      <w:r w:rsidR="5ED66177">
        <w:t>Even so, NHS GM received information from PHL which indicated that About Health’s change in ownership may have affected About Health’s proposal and merited follow u</w:t>
      </w:r>
      <w:r w:rsidR="6F2495AF">
        <w:t>p, but this did not happen.</w:t>
      </w:r>
    </w:p>
    <w:p w14:paraId="2814B501" w14:textId="236DC8EB" w:rsidR="006E0986" w:rsidRDefault="00AA0BAF" w:rsidP="00115B8F">
      <w:pPr>
        <w:pStyle w:val="ListParagraph"/>
        <w:ind w:left="567" w:hanging="567"/>
      </w:pPr>
      <w:r>
        <w:t xml:space="preserve">As a result, </w:t>
      </w:r>
      <w:r w:rsidR="000C3E15">
        <w:t>the Panel</w:t>
      </w:r>
      <w:r w:rsidR="006324B1">
        <w:t xml:space="preserve"> is of the view </w:t>
      </w:r>
      <w:r w:rsidR="000C3E15">
        <w:t xml:space="preserve">that </w:t>
      </w:r>
      <w:r>
        <w:t>NHS GM</w:t>
      </w:r>
      <w:r w:rsidR="006324B1">
        <w:t>, at the conclusion of its due diligence,</w:t>
      </w:r>
      <w:r>
        <w:t xml:space="preserve"> c</w:t>
      </w:r>
      <w:r w:rsidR="000C3E15">
        <w:t xml:space="preserve">ould not </w:t>
      </w:r>
      <w:r>
        <w:t xml:space="preserve">be assured that </w:t>
      </w:r>
      <w:r w:rsidR="00115B8F">
        <w:t xml:space="preserve">About Health </w:t>
      </w:r>
      <w:r w:rsidR="00AD3B61">
        <w:t>continued to be</w:t>
      </w:r>
      <w:r w:rsidR="00115B8F">
        <w:t xml:space="preserve"> the highest ranked bidder for its </w:t>
      </w:r>
      <w:r>
        <w:t>community dermatology services contracts</w:t>
      </w:r>
      <w:r w:rsidR="005316D1">
        <w:t>.</w:t>
      </w:r>
      <w:r w:rsidR="00AD3B61">
        <w:t xml:space="preserve"> </w:t>
      </w:r>
      <w:r w:rsidR="005316D1">
        <w:t xml:space="preserve">This, in turn, </w:t>
      </w:r>
      <w:r w:rsidR="006C6C7B">
        <w:t>mean</w:t>
      </w:r>
      <w:r w:rsidR="00AD3B61">
        <w:t>t</w:t>
      </w:r>
      <w:r w:rsidR="006C6C7B">
        <w:t xml:space="preserve"> that NHS GM </w:t>
      </w:r>
      <w:r w:rsidR="00AD3B61">
        <w:t xml:space="preserve">could not be assured that its provider selection process </w:t>
      </w:r>
      <w:r w:rsidR="006C6C7B">
        <w:t xml:space="preserve">was fair, given that another bidder may have submitted a proposal </w:t>
      </w:r>
      <w:r w:rsidR="001F769A">
        <w:t xml:space="preserve">that was higher ranking </w:t>
      </w:r>
      <w:r w:rsidR="006C6C7B">
        <w:t>once any effects o</w:t>
      </w:r>
      <w:r w:rsidR="001F769A">
        <w:t>f</w:t>
      </w:r>
      <w:r w:rsidR="006C6C7B">
        <w:t xml:space="preserve"> About Health’s change in ownership</w:t>
      </w:r>
      <w:r w:rsidR="001F769A">
        <w:t xml:space="preserve"> were </w:t>
      </w:r>
      <w:proofErr w:type="gramStart"/>
      <w:r w:rsidR="006C6C7B">
        <w:t>taken into account</w:t>
      </w:r>
      <w:proofErr w:type="gramEnd"/>
      <w:r w:rsidR="006C6C7B">
        <w:t>.</w:t>
      </w:r>
    </w:p>
    <w:p w14:paraId="0DCFD4DE" w14:textId="17178D32" w:rsidR="006C6C7B" w:rsidRDefault="00F9104F" w:rsidP="00F877A5">
      <w:pPr>
        <w:pStyle w:val="ListParagraph"/>
        <w:ind w:left="567" w:hanging="567"/>
      </w:pPr>
      <w:r>
        <w:t>Given this, the Panel finds that NHS GM, in failing to assure itself that About Health’s change in ownership did not affect its proposal</w:t>
      </w:r>
      <w:r w:rsidR="003445EB">
        <w:t xml:space="preserve"> for the community dermatology </w:t>
      </w:r>
      <w:r w:rsidR="003445EB">
        <w:lastRenderedPageBreak/>
        <w:t>services contracts</w:t>
      </w:r>
      <w:r w:rsidR="000A465B">
        <w:t>,</w:t>
      </w:r>
      <w:r>
        <w:t xml:space="preserve"> </w:t>
      </w:r>
      <w:r w:rsidR="000A465B">
        <w:t xml:space="preserve">breached its obligations under the PSR regulations and in particular </w:t>
      </w:r>
      <w:r w:rsidR="001523D0">
        <w:t>the</w:t>
      </w:r>
      <w:r w:rsidR="000A465B">
        <w:t xml:space="preserve"> obligation to act fairly.</w:t>
      </w:r>
    </w:p>
    <w:p w14:paraId="44608452" w14:textId="791C84A5" w:rsidR="00C360BD" w:rsidRDefault="00C360BD" w:rsidP="00890848">
      <w:pPr>
        <w:pStyle w:val="Heading2"/>
        <w:spacing w:before="360" w:after="120"/>
      </w:pPr>
      <w:bookmarkStart w:id="36" w:name="_Toc219399098"/>
      <w:bookmarkEnd w:id="35"/>
      <w:r>
        <w:t xml:space="preserve">7.2 NHS GM’s </w:t>
      </w:r>
      <w:r w:rsidR="00D972F3">
        <w:t>response to CHEC’s representations</w:t>
      </w:r>
      <w:bookmarkEnd w:id="36"/>
    </w:p>
    <w:p w14:paraId="6F1DD584" w14:textId="09080B3E" w:rsidR="00CE17E7" w:rsidRDefault="00F66BF9" w:rsidP="00B0164B">
      <w:pPr>
        <w:pStyle w:val="ListParagraph"/>
        <w:ind w:left="567" w:hanging="567"/>
      </w:pPr>
      <w:r w:rsidRPr="00210967">
        <w:t xml:space="preserve">This section </w:t>
      </w:r>
      <w:r w:rsidR="002A485D" w:rsidRPr="00210967">
        <w:t xml:space="preserve">sets out the Panel’s assessment of </w:t>
      </w:r>
      <w:r w:rsidR="003527DA">
        <w:t xml:space="preserve">whether </w:t>
      </w:r>
      <w:r w:rsidR="00254D5C" w:rsidRPr="00210967">
        <w:t>NHS GM</w:t>
      </w:r>
      <w:r w:rsidR="003527DA">
        <w:t xml:space="preserve"> </w:t>
      </w:r>
      <w:r w:rsidR="004F060E">
        <w:t>breached</w:t>
      </w:r>
      <w:r w:rsidR="003527DA">
        <w:t xml:space="preserve"> the PSR regulations when </w:t>
      </w:r>
      <w:r w:rsidR="00254D5C" w:rsidRPr="00210967">
        <w:t>respon</w:t>
      </w:r>
      <w:r w:rsidR="003527DA">
        <w:t xml:space="preserve">ding to CHEC’s </w:t>
      </w:r>
      <w:r w:rsidR="00B6676C">
        <w:t xml:space="preserve">representations and </w:t>
      </w:r>
      <w:r w:rsidR="00254D5C" w:rsidRPr="00210967">
        <w:t xml:space="preserve">requests for information </w:t>
      </w:r>
      <w:r w:rsidR="001D0015">
        <w:t>about the provider selection process</w:t>
      </w:r>
      <w:r w:rsidR="00254D5C" w:rsidRPr="00210967">
        <w:t>.</w:t>
      </w:r>
    </w:p>
    <w:p w14:paraId="03C2DF9D" w14:textId="42226F81" w:rsidR="003637A3" w:rsidRDefault="003637A3" w:rsidP="00B0164B">
      <w:pPr>
        <w:pStyle w:val="ListParagraph"/>
        <w:ind w:left="567" w:hanging="567"/>
      </w:pPr>
      <w:r>
        <w:t xml:space="preserve">By way of overview, CHEC made representations </w:t>
      </w:r>
      <w:r w:rsidR="005E7D5C">
        <w:t xml:space="preserve">to NHS GM </w:t>
      </w:r>
      <w:r w:rsidR="006333B0">
        <w:t xml:space="preserve">about the provider selection process </w:t>
      </w:r>
      <w:r w:rsidR="005E7D5C">
        <w:t xml:space="preserve">on 18 August and 25 September 2025. </w:t>
      </w:r>
      <w:r w:rsidR="006625F7">
        <w:t>CHEC</w:t>
      </w:r>
      <w:r w:rsidR="005E7D5C">
        <w:t xml:space="preserve"> requested information from NHS GM </w:t>
      </w:r>
      <w:r w:rsidR="00C406FD">
        <w:t xml:space="preserve">in </w:t>
      </w:r>
      <w:r w:rsidR="00C92FBD">
        <w:t xml:space="preserve">both </w:t>
      </w:r>
      <w:r w:rsidR="00C406FD">
        <w:t xml:space="preserve">letters </w:t>
      </w:r>
      <w:r w:rsidR="00C92FBD">
        <w:t xml:space="preserve">as well as </w:t>
      </w:r>
      <w:r w:rsidR="00C406FD">
        <w:t xml:space="preserve">in a third letter </w:t>
      </w:r>
      <w:r w:rsidR="00C92FBD">
        <w:t>on 9</w:t>
      </w:r>
      <w:r w:rsidR="00C406FD">
        <w:t> </w:t>
      </w:r>
      <w:r w:rsidR="00C92FBD">
        <w:t xml:space="preserve">October. NHS GM responded to </w:t>
      </w:r>
      <w:r w:rsidR="007C0763">
        <w:t xml:space="preserve">CHEC’s </w:t>
      </w:r>
      <w:r w:rsidR="005F6D81">
        <w:t>first</w:t>
      </w:r>
      <w:r w:rsidR="007C0763">
        <w:t xml:space="preserve"> information request on 1</w:t>
      </w:r>
      <w:r w:rsidR="00C9428B">
        <w:t>8</w:t>
      </w:r>
      <w:r w:rsidR="00C50340">
        <w:t> </w:t>
      </w:r>
      <w:r w:rsidR="007C0763">
        <w:t xml:space="preserve">September, and </w:t>
      </w:r>
      <w:r w:rsidR="00F16913">
        <w:t xml:space="preserve">then in </w:t>
      </w:r>
      <w:r w:rsidR="005F6D81">
        <w:t>its</w:t>
      </w:r>
      <w:r w:rsidR="00F16913">
        <w:t xml:space="preserve"> letter o</w:t>
      </w:r>
      <w:r w:rsidR="009811B0">
        <w:t>f</w:t>
      </w:r>
      <w:r w:rsidR="00F16913">
        <w:t xml:space="preserve"> 21 October it </w:t>
      </w:r>
      <w:r w:rsidR="003C13F4">
        <w:t xml:space="preserve">set out its </w:t>
      </w:r>
      <w:r w:rsidR="001E43CC">
        <w:t>respon</w:t>
      </w:r>
      <w:r w:rsidR="003C13F4">
        <w:t xml:space="preserve">se to </w:t>
      </w:r>
      <w:r w:rsidR="005D3589">
        <w:t xml:space="preserve">CHEC’s initial and </w:t>
      </w:r>
      <w:r w:rsidR="006D4208">
        <w:t>further</w:t>
      </w:r>
      <w:r w:rsidR="00A94E80">
        <w:t xml:space="preserve"> representations </w:t>
      </w:r>
      <w:r w:rsidR="00100C8A">
        <w:t>as well as its</w:t>
      </w:r>
      <w:r w:rsidR="00A94E80">
        <w:t xml:space="preserve"> </w:t>
      </w:r>
      <w:r w:rsidR="003B7FE0">
        <w:t xml:space="preserve">information </w:t>
      </w:r>
      <w:r w:rsidR="007D1DFC">
        <w:t>request</w:t>
      </w:r>
      <w:r w:rsidR="002B087F">
        <w:t>s</w:t>
      </w:r>
      <w:r w:rsidR="005F6D81">
        <w:t xml:space="preserve"> of 25 September and 9 October</w:t>
      </w:r>
      <w:r w:rsidR="003B7FE0">
        <w:t>.</w:t>
      </w:r>
      <w:r w:rsidR="002B087F">
        <w:t xml:space="preserve"> (Table 3 provides a chronology of events.)</w:t>
      </w:r>
    </w:p>
    <w:p w14:paraId="511299D9" w14:textId="479A7C7C" w:rsidR="009E2CD9" w:rsidRPr="009E2CD9" w:rsidRDefault="009E2CD9" w:rsidP="009E2CD9">
      <w:pPr>
        <w:keepNext/>
        <w:spacing w:before="240"/>
        <w:ind w:left="567" w:hanging="567"/>
        <w:rPr>
          <w:b/>
          <w:bCs/>
        </w:rPr>
      </w:pPr>
      <w:r>
        <w:rPr>
          <w:b/>
          <w:bCs/>
        </w:rPr>
        <w:t xml:space="preserve">7.2.1 </w:t>
      </w:r>
      <w:r w:rsidRPr="009E2CD9">
        <w:rPr>
          <w:b/>
          <w:bCs/>
        </w:rPr>
        <w:t xml:space="preserve">NHS GM’s response to CHEC’s </w:t>
      </w:r>
      <w:r w:rsidR="00B6676C">
        <w:rPr>
          <w:b/>
          <w:bCs/>
        </w:rPr>
        <w:t xml:space="preserve">initial representations </w:t>
      </w:r>
      <w:r w:rsidR="003637A3">
        <w:rPr>
          <w:b/>
          <w:bCs/>
        </w:rPr>
        <w:t xml:space="preserve">and </w:t>
      </w:r>
      <w:r w:rsidRPr="009E2CD9">
        <w:rPr>
          <w:b/>
          <w:bCs/>
        </w:rPr>
        <w:t>request for information</w:t>
      </w:r>
    </w:p>
    <w:p w14:paraId="04CA7DDD" w14:textId="61C5945F" w:rsidR="00927730" w:rsidRDefault="00927730" w:rsidP="00B0164B">
      <w:pPr>
        <w:pStyle w:val="ListParagraph"/>
        <w:ind w:left="567" w:hanging="567"/>
      </w:pPr>
      <w:r w:rsidRPr="00927730">
        <w:t>CHEC</w:t>
      </w:r>
      <w:r w:rsidR="006A360D">
        <w:t>,</w:t>
      </w:r>
      <w:r w:rsidRPr="00927730">
        <w:t xml:space="preserve"> </w:t>
      </w:r>
      <w:r w:rsidR="006A360D">
        <w:t xml:space="preserve">in its initial representations to NHS GM on 18 August 2025, </w:t>
      </w:r>
      <w:r w:rsidRPr="00927730">
        <w:t>s</w:t>
      </w:r>
      <w:r w:rsidR="006A360D">
        <w:t xml:space="preserve">aid </w:t>
      </w:r>
      <w:r w:rsidRPr="00927730">
        <w:t>that</w:t>
      </w:r>
      <w:r w:rsidR="006C5B3A">
        <w:t>: (i)</w:t>
      </w:r>
      <w:r w:rsidRPr="00927730">
        <w:t xml:space="preserve"> </w:t>
      </w:r>
      <w:r w:rsidR="006A360D">
        <w:t>About Health’s</w:t>
      </w:r>
      <w:r w:rsidRPr="00927730">
        <w:t xml:space="preserve"> change in </w:t>
      </w:r>
      <w:r w:rsidR="006A360D">
        <w:t xml:space="preserve">ownership </w:t>
      </w:r>
      <w:r w:rsidRPr="00927730">
        <w:t xml:space="preserve">resulted in a material change in </w:t>
      </w:r>
      <w:r w:rsidR="004B36D5">
        <w:t xml:space="preserve">its </w:t>
      </w:r>
      <w:r w:rsidRPr="00927730">
        <w:t xml:space="preserve">governance and strategic control, but that </w:t>
      </w:r>
      <w:r w:rsidR="00523A46">
        <w:t xml:space="preserve">its proposal </w:t>
      </w:r>
      <w:r w:rsidRPr="00927730">
        <w:t xml:space="preserve">had been evaluated under the governance and financial standing of Totally; </w:t>
      </w:r>
      <w:r w:rsidR="006C5B3A">
        <w:t xml:space="preserve">(ii) </w:t>
      </w:r>
      <w:r w:rsidRPr="00927730">
        <w:t xml:space="preserve">that the risks associated with Totally's collapse may have implications for </w:t>
      </w:r>
      <w:r w:rsidR="00873376">
        <w:t xml:space="preserve">service </w:t>
      </w:r>
      <w:r w:rsidRPr="00927730">
        <w:t xml:space="preserve">continuity; and </w:t>
      </w:r>
      <w:r w:rsidR="00873376">
        <w:t xml:space="preserve">(iii) </w:t>
      </w:r>
      <w:r w:rsidRPr="00927730">
        <w:t xml:space="preserve">that there had been failure to comply with </w:t>
      </w:r>
      <w:r w:rsidR="004E1C59">
        <w:t>the PSR regulations</w:t>
      </w:r>
      <w:r w:rsidRPr="00927730">
        <w:t xml:space="preserve">. </w:t>
      </w:r>
      <w:r w:rsidR="004E1C59">
        <w:t xml:space="preserve">CHEC </w:t>
      </w:r>
      <w:r w:rsidRPr="00927730">
        <w:t xml:space="preserve">requested </w:t>
      </w:r>
      <w:r w:rsidR="004E1C59">
        <w:t>a</w:t>
      </w:r>
      <w:r w:rsidRPr="00927730">
        <w:t xml:space="preserve"> reassessment of About Health's bid</w:t>
      </w:r>
      <w:r w:rsidR="00053E53">
        <w:t xml:space="preserve"> and</w:t>
      </w:r>
      <w:r w:rsidRPr="00927730">
        <w:t xml:space="preserve"> confirmation of the steps taken to ensure compliance with Regs 4, 5, 6 (7), 11 and 12</w:t>
      </w:r>
      <w:r w:rsidR="00053E53">
        <w:t xml:space="preserve">. It also </w:t>
      </w:r>
      <w:r w:rsidRPr="00927730">
        <w:t>sought disclosure of any supplementary notices, reassessment documentation or internal review records relating to the acquisition of About Health</w:t>
      </w:r>
      <w:r w:rsidR="00053E53">
        <w:t>.</w:t>
      </w:r>
      <w:r w:rsidR="00F90407">
        <w:rPr>
          <w:rStyle w:val="FootnoteReference"/>
        </w:rPr>
        <w:footnoteReference w:id="36"/>
      </w:r>
    </w:p>
    <w:p w14:paraId="6C058809" w14:textId="33A08639" w:rsidR="00A27E78" w:rsidRDefault="00FD38F5" w:rsidP="004E095F">
      <w:pPr>
        <w:pStyle w:val="ListParagraph"/>
        <w:spacing w:after="120"/>
        <w:ind w:left="567" w:hanging="567"/>
      </w:pPr>
      <w:bookmarkStart w:id="37" w:name="_Ref220060157"/>
      <w:r>
        <w:t xml:space="preserve">On 15 September 2025, </w:t>
      </w:r>
      <w:r w:rsidR="00B20109">
        <w:t>NHS GM’s PSR Representation Panel</w:t>
      </w:r>
      <w:r w:rsidR="00DE44EE">
        <w:rPr>
          <w:rStyle w:val="FootnoteReference"/>
        </w:rPr>
        <w:footnoteReference w:id="37"/>
      </w:r>
      <w:r w:rsidR="00B20109">
        <w:t xml:space="preserve"> </w:t>
      </w:r>
      <w:r w:rsidR="00A27E78">
        <w:t xml:space="preserve">met to </w:t>
      </w:r>
      <w:r w:rsidR="006D4EFF">
        <w:t xml:space="preserve">review CHEC’s </w:t>
      </w:r>
      <w:r w:rsidR="0064393C">
        <w:t xml:space="preserve">initial </w:t>
      </w:r>
      <w:r w:rsidR="006D4EFF">
        <w:t>representations</w:t>
      </w:r>
      <w:r w:rsidR="00A27E78">
        <w:t>.</w:t>
      </w:r>
      <w:r w:rsidR="006D3ADA">
        <w:t xml:space="preserve"> The minutes of this meeting record that</w:t>
      </w:r>
      <w:r w:rsidR="004E095F">
        <w:t>:</w:t>
      </w:r>
      <w:bookmarkEnd w:id="37"/>
    </w:p>
    <w:p w14:paraId="2804377D" w14:textId="209E9115" w:rsidR="004E095F" w:rsidRPr="004E095F" w:rsidRDefault="004E095F" w:rsidP="004E095F">
      <w:pPr>
        <w:pStyle w:val="ListParagraph"/>
        <w:numPr>
          <w:ilvl w:val="0"/>
          <w:numId w:val="0"/>
        </w:numPr>
        <w:spacing w:after="120" w:line="259" w:lineRule="auto"/>
        <w:ind w:left="851"/>
        <w:rPr>
          <w:sz w:val="21"/>
          <w:szCs w:val="21"/>
        </w:rPr>
      </w:pPr>
      <w:r w:rsidRPr="004E095F">
        <w:rPr>
          <w:sz w:val="21"/>
          <w:szCs w:val="21"/>
        </w:rPr>
        <w:t>“Matters raised in the representation are not material. Proceed as planned and conclude the procurement, conducting any further due diligence as appropriate on the About Health Ltd bid.</w:t>
      </w:r>
    </w:p>
    <w:p w14:paraId="324613AD" w14:textId="7DC32DA4" w:rsidR="004E095F" w:rsidRPr="004E095F" w:rsidRDefault="004E095F" w:rsidP="004E095F">
      <w:pPr>
        <w:pStyle w:val="ListParagraph"/>
        <w:numPr>
          <w:ilvl w:val="0"/>
          <w:numId w:val="0"/>
        </w:numPr>
        <w:spacing w:line="259" w:lineRule="auto"/>
        <w:ind w:left="851"/>
        <w:rPr>
          <w:sz w:val="21"/>
          <w:szCs w:val="21"/>
        </w:rPr>
      </w:pPr>
      <w:r w:rsidRPr="004E095F">
        <w:rPr>
          <w:sz w:val="21"/>
          <w:szCs w:val="21"/>
        </w:rPr>
        <w:t>“The procurement process was not challenged itself; evidence was evaluated on what was submitted at the time and this was done in good faith by the evaluation panel, all elements of the representations can be picked up as part of the due diligence process.”</w:t>
      </w:r>
      <w:r w:rsidR="009D2AD6">
        <w:rPr>
          <w:rStyle w:val="FootnoteReference"/>
          <w:sz w:val="21"/>
          <w:szCs w:val="21"/>
        </w:rPr>
        <w:footnoteReference w:id="38"/>
      </w:r>
    </w:p>
    <w:p w14:paraId="21208A0B" w14:textId="765BCBBB" w:rsidR="002D3A33" w:rsidRDefault="000E2B66" w:rsidP="00B0164B">
      <w:pPr>
        <w:pStyle w:val="ListParagraph"/>
        <w:ind w:left="567" w:hanging="567"/>
      </w:pPr>
      <w:r>
        <w:t xml:space="preserve">The Panel notes that </w:t>
      </w:r>
      <w:r w:rsidR="009D01F5">
        <w:t xml:space="preserve">the minutes do not </w:t>
      </w:r>
      <w:r w:rsidR="0041461B">
        <w:t xml:space="preserve">set out in any detail the reasons for </w:t>
      </w:r>
      <w:r w:rsidR="003B6A47">
        <w:t xml:space="preserve">the PSR Representation Panel’s conclusion that CHEC’s </w:t>
      </w:r>
      <w:r w:rsidR="00B5257F">
        <w:t xml:space="preserve">initial </w:t>
      </w:r>
      <w:r w:rsidR="003B6A47">
        <w:t xml:space="preserve">representations were not material. </w:t>
      </w:r>
      <w:r w:rsidR="00CD73F0">
        <w:t>T</w:t>
      </w:r>
      <w:r w:rsidR="0055574B">
        <w:t xml:space="preserve">he notes </w:t>
      </w:r>
      <w:r w:rsidR="00D34F01">
        <w:t xml:space="preserve">of </w:t>
      </w:r>
      <w:r w:rsidR="0055574B">
        <w:t>this meeting</w:t>
      </w:r>
      <w:r w:rsidR="00E20890">
        <w:t xml:space="preserve">, </w:t>
      </w:r>
      <w:r w:rsidR="00ED6A6B">
        <w:t>which are separate from the minutes,</w:t>
      </w:r>
      <w:r w:rsidR="00CD73F0">
        <w:t xml:space="preserve"> similarly lack details of </w:t>
      </w:r>
      <w:r w:rsidR="00865805">
        <w:t>the PSR Representation Panel’s reasoning</w:t>
      </w:r>
      <w:r w:rsidR="0055574B">
        <w:t>.</w:t>
      </w:r>
      <w:r w:rsidR="0055574B">
        <w:rPr>
          <w:rStyle w:val="FootnoteReference"/>
        </w:rPr>
        <w:footnoteReference w:id="39"/>
      </w:r>
    </w:p>
    <w:p w14:paraId="41B0CF2E" w14:textId="39A3EACA" w:rsidR="00E23B57" w:rsidRDefault="00A30010" w:rsidP="00AD5855">
      <w:pPr>
        <w:pStyle w:val="ListParagraph"/>
        <w:ind w:left="567" w:hanging="567"/>
      </w:pPr>
      <w:bookmarkStart w:id="38" w:name="_Ref219204520"/>
      <w:r>
        <w:lastRenderedPageBreak/>
        <w:t>T</w:t>
      </w:r>
      <w:r w:rsidR="00E23B57">
        <w:t xml:space="preserve">here </w:t>
      </w:r>
      <w:r w:rsidR="0037425B">
        <w:t>also appears to be</w:t>
      </w:r>
      <w:r w:rsidR="00E23B57">
        <w:t xml:space="preserve"> a conflict between </w:t>
      </w:r>
      <w:r w:rsidR="00F14BE0">
        <w:t xml:space="preserve">NHS GM’s PSR Representation Panel deciding that CHEC’s </w:t>
      </w:r>
      <w:r w:rsidR="00B5257F">
        <w:t xml:space="preserve">initial </w:t>
      </w:r>
      <w:r w:rsidR="00F14BE0">
        <w:t>representations were not material</w:t>
      </w:r>
      <w:r w:rsidR="0037425B">
        <w:t>, but also</w:t>
      </w:r>
      <w:r w:rsidR="00F14BE0">
        <w:t xml:space="preserve"> deci</w:t>
      </w:r>
      <w:r w:rsidR="009364B8">
        <w:t>ding</w:t>
      </w:r>
      <w:r w:rsidR="00F14BE0">
        <w:t xml:space="preserve"> that “all elements of the representations can be picked up as part of the due diligence process”</w:t>
      </w:r>
      <w:r w:rsidR="00E81478">
        <w:t xml:space="preserve">. </w:t>
      </w:r>
    </w:p>
    <w:bookmarkEnd w:id="38"/>
    <w:p w14:paraId="5F3E6F4E" w14:textId="64915DED" w:rsidR="0045793A" w:rsidRDefault="00002165" w:rsidP="0045793A">
      <w:pPr>
        <w:pStyle w:val="ListParagraph"/>
        <w:ind w:left="567" w:hanging="567"/>
      </w:pPr>
      <w:r>
        <w:t xml:space="preserve">NHS GM wrote to CHEC </w:t>
      </w:r>
      <w:r w:rsidRPr="00C9428B">
        <w:t>on 1</w:t>
      </w:r>
      <w:r w:rsidR="00C9428B" w:rsidRPr="00C9428B">
        <w:t>8</w:t>
      </w:r>
      <w:r w:rsidRPr="00C9428B">
        <w:t xml:space="preserve"> September 2025</w:t>
      </w:r>
      <w:r w:rsidR="00582B65">
        <w:t xml:space="preserve">. </w:t>
      </w:r>
      <w:r w:rsidR="00EF4E92">
        <w:t xml:space="preserve">This letter does not set out </w:t>
      </w:r>
      <w:r w:rsidR="00A60CAB">
        <w:t xml:space="preserve">the conclusions reached by the PSR Representation Panel </w:t>
      </w:r>
      <w:r w:rsidR="005B4867">
        <w:t xml:space="preserve">on 15 September </w:t>
      </w:r>
      <w:r w:rsidR="00A51EE4">
        <w:t>regarding CHEC’s initial representations</w:t>
      </w:r>
      <w:r w:rsidR="00D62E3B">
        <w:t xml:space="preserve">. </w:t>
      </w:r>
      <w:r w:rsidR="003F01CA">
        <w:t xml:space="preserve">The Panel’s view is that </w:t>
      </w:r>
      <w:r w:rsidR="00D24B3C">
        <w:t xml:space="preserve">this information should have been provided to CHEC, as a matter of transparency </w:t>
      </w:r>
      <w:r w:rsidR="005A30C8">
        <w:t>(consistent with Regulation 4</w:t>
      </w:r>
      <w:r w:rsidR="0079290C">
        <w:t xml:space="preserve">(1)(b)), </w:t>
      </w:r>
      <w:r w:rsidR="00D24B3C">
        <w:t xml:space="preserve">and so as to ensure CHEC had </w:t>
      </w:r>
      <w:r w:rsidR="005A30C8">
        <w:t>a further opportunity to explain or clarify its representations (consistent with Regulation 12(4)(a)).</w:t>
      </w:r>
    </w:p>
    <w:p w14:paraId="3EB44281" w14:textId="6FE20468" w:rsidR="00582B65" w:rsidRDefault="00D62E3B" w:rsidP="00C87B77">
      <w:pPr>
        <w:pStyle w:val="ListParagraph"/>
        <w:ind w:left="567" w:hanging="567"/>
        <w:contextualSpacing/>
      </w:pPr>
      <w:r>
        <w:t>I</w:t>
      </w:r>
      <w:r w:rsidR="005B4867">
        <w:t>nstead</w:t>
      </w:r>
      <w:r>
        <w:t xml:space="preserve">, </w:t>
      </w:r>
      <w:r w:rsidR="0066334E">
        <w:t xml:space="preserve">NHS GM’s </w:t>
      </w:r>
      <w:r>
        <w:t>letter</w:t>
      </w:r>
      <w:r w:rsidR="005B4867">
        <w:t xml:space="preserve"> </w:t>
      </w:r>
      <w:r w:rsidR="00AE6FCC">
        <w:t xml:space="preserve">is limited to </w:t>
      </w:r>
      <w:r w:rsidR="002B6DBC">
        <w:t>respond</w:t>
      </w:r>
      <w:r w:rsidR="00AE6FCC">
        <w:t>ing</w:t>
      </w:r>
      <w:r w:rsidR="002B6DBC">
        <w:t xml:space="preserve"> to the requests made by CHEC</w:t>
      </w:r>
      <w:r w:rsidR="00DA1C79">
        <w:t xml:space="preserve"> in its letter of 18 August</w:t>
      </w:r>
      <w:r w:rsidR="002B6DBC">
        <w:t>, saying “</w:t>
      </w:r>
      <w:r w:rsidR="006E656B">
        <w:t>we have reviewed your request and in the spirit of transparency and disclosure</w:t>
      </w:r>
      <w:r w:rsidR="00A2117C">
        <w:t xml:space="preserve"> we are providing you with the following information</w:t>
      </w:r>
      <w:r w:rsidR="00B8558F">
        <w:t xml:space="preserve"> …</w:t>
      </w:r>
      <w:r w:rsidR="00A2117C">
        <w:t>”.</w:t>
      </w:r>
      <w:r w:rsidR="002C2A1F">
        <w:rPr>
          <w:rStyle w:val="FootnoteReference"/>
        </w:rPr>
        <w:footnoteReference w:id="40"/>
      </w:r>
      <w:r w:rsidR="00A2117C">
        <w:t xml:space="preserve"> </w:t>
      </w:r>
      <w:r w:rsidR="007B2BA2">
        <w:t xml:space="preserve">The letter addresses four requests </w:t>
      </w:r>
      <w:r w:rsidR="00B767A9">
        <w:t xml:space="preserve">made </w:t>
      </w:r>
      <w:r w:rsidR="00991FDC">
        <w:t>by CHEC</w:t>
      </w:r>
      <w:r w:rsidR="004349D7">
        <w:t>, namely that NHS GM:</w:t>
      </w:r>
    </w:p>
    <w:p w14:paraId="3F6771B3" w14:textId="607304A6" w:rsidR="004349D7" w:rsidRDefault="004349D7" w:rsidP="00C87B77">
      <w:pPr>
        <w:pStyle w:val="ListParagraph"/>
        <w:numPr>
          <w:ilvl w:val="0"/>
          <w:numId w:val="10"/>
        </w:numPr>
        <w:contextualSpacing/>
      </w:pPr>
      <w:r>
        <w:t>pause the award process;</w:t>
      </w:r>
    </w:p>
    <w:p w14:paraId="51B2D4D1" w14:textId="0092553D" w:rsidR="004349D7" w:rsidRDefault="004349D7" w:rsidP="00C87B77">
      <w:pPr>
        <w:pStyle w:val="ListParagraph"/>
        <w:numPr>
          <w:ilvl w:val="0"/>
          <w:numId w:val="10"/>
        </w:numPr>
        <w:contextualSpacing/>
      </w:pPr>
      <w:r>
        <w:t>reassess the bid submitted by About Health;</w:t>
      </w:r>
    </w:p>
    <w:p w14:paraId="13D85718" w14:textId="59666D14" w:rsidR="004349D7" w:rsidRDefault="00911194" w:rsidP="00C87B77">
      <w:pPr>
        <w:pStyle w:val="ListParagraph"/>
        <w:numPr>
          <w:ilvl w:val="0"/>
          <w:numId w:val="10"/>
        </w:numPr>
        <w:contextualSpacing/>
      </w:pPr>
      <w:r>
        <w:t>provide written confirmation of the steps taken to ensure com</w:t>
      </w:r>
      <w:r w:rsidR="00C81358">
        <w:t xml:space="preserve">pliance with Regulations </w:t>
      </w:r>
      <w:r w:rsidR="00C81358" w:rsidRPr="00A92648">
        <w:t>4, 5, 6(7), 11 and 12</w:t>
      </w:r>
      <w:r w:rsidR="00C81358">
        <w:t>; and</w:t>
      </w:r>
    </w:p>
    <w:p w14:paraId="1A99F00F" w14:textId="40A3C3B7" w:rsidR="0064659F" w:rsidRDefault="00C87B77" w:rsidP="004349D7">
      <w:pPr>
        <w:pStyle w:val="ListParagraph"/>
        <w:numPr>
          <w:ilvl w:val="0"/>
          <w:numId w:val="10"/>
        </w:numPr>
      </w:pPr>
      <w:r>
        <w:t>disclose any supplementary notices, reassessment document or internal review records relating to the acquisition of About Health.</w:t>
      </w:r>
    </w:p>
    <w:p w14:paraId="50451792" w14:textId="52160E5C" w:rsidR="005D0BBC" w:rsidRDefault="00002165" w:rsidP="00B0164B">
      <w:pPr>
        <w:pStyle w:val="ListParagraph"/>
        <w:ind w:left="567" w:hanging="567"/>
      </w:pPr>
      <w:r>
        <w:t xml:space="preserve">In </w:t>
      </w:r>
      <w:r w:rsidR="000D2581">
        <w:t xml:space="preserve">relation </w:t>
      </w:r>
      <w:r>
        <w:t>to CHEC’s request</w:t>
      </w:r>
      <w:r w:rsidR="000D2581">
        <w:t xml:space="preserve"> </w:t>
      </w:r>
      <w:r w:rsidR="00290766">
        <w:t>that</w:t>
      </w:r>
      <w:r w:rsidR="003D3C0B">
        <w:t xml:space="preserve"> </w:t>
      </w:r>
      <w:r w:rsidR="000D2581">
        <w:t>NHS GM “</w:t>
      </w:r>
      <w:r w:rsidR="000D2581" w:rsidRPr="00A92648">
        <w:t>provide written confirmation of the steps taken to ensure compliance with Regulations 4, 5, 6(7), 11 and 12</w:t>
      </w:r>
      <w:r w:rsidR="000D2581">
        <w:t xml:space="preserve">”, NHS GM set out a statement against each </w:t>
      </w:r>
      <w:r w:rsidR="00ED13F9">
        <w:t xml:space="preserve">listed </w:t>
      </w:r>
      <w:r w:rsidR="000D2581">
        <w:t>regulation confirming its compliance</w:t>
      </w:r>
      <w:r w:rsidR="00BA671F">
        <w:t>, and direct</w:t>
      </w:r>
      <w:r w:rsidR="002373B3">
        <w:t>ed</w:t>
      </w:r>
      <w:r w:rsidR="00BA671F">
        <w:t xml:space="preserve"> CHEC to supporting documentation, such as the ITT documents.</w:t>
      </w:r>
      <w:r w:rsidR="00DC1D2C">
        <w:t xml:space="preserve"> </w:t>
      </w:r>
      <w:r w:rsidR="006C160D">
        <w:t xml:space="preserve">For example, in relation to Regulation 4, </w:t>
      </w:r>
      <w:r w:rsidR="00E04155">
        <w:t xml:space="preserve">which sets out the general procurement principles that NHS GM is obliged to meet, </w:t>
      </w:r>
      <w:r w:rsidR="006C160D">
        <w:t>NHS GM’s response was “Please see Appendix A. Compliance requirements met”</w:t>
      </w:r>
      <w:r w:rsidR="00BA671F">
        <w:t xml:space="preserve">, where </w:t>
      </w:r>
      <w:r w:rsidR="006C160D">
        <w:t xml:space="preserve">Appendix A </w:t>
      </w:r>
      <w:r w:rsidR="00BA671F">
        <w:t xml:space="preserve">was </w:t>
      </w:r>
      <w:r w:rsidR="002C6E85">
        <w:t xml:space="preserve">the </w:t>
      </w:r>
      <w:r w:rsidR="006C160D">
        <w:t>ITT documentation.</w:t>
      </w:r>
      <w:r w:rsidR="006C160D">
        <w:rPr>
          <w:rStyle w:val="FootnoteReference"/>
        </w:rPr>
        <w:footnoteReference w:id="41"/>
      </w:r>
    </w:p>
    <w:p w14:paraId="7F0C58B0" w14:textId="0EEB7C57" w:rsidR="00654709" w:rsidRDefault="003B55E8" w:rsidP="00B0164B">
      <w:pPr>
        <w:pStyle w:val="ListParagraph"/>
        <w:ind w:left="567" w:hanging="567"/>
      </w:pPr>
      <w:r>
        <w:t>T</w:t>
      </w:r>
      <w:r w:rsidDel="00B14F22">
        <w:t>he Panel notes that NHS GM was only obliged to supply information to CHEC where it had a duty to record that information under Regulation 24</w:t>
      </w:r>
      <w:r w:rsidR="006C36D6">
        <w:t xml:space="preserve">, and </w:t>
      </w:r>
      <w:r w:rsidDel="00B14F22">
        <w:t xml:space="preserve">CHEC’s request for information was not </w:t>
      </w:r>
      <w:r w:rsidR="00920801">
        <w:t xml:space="preserve">explicitly </w:t>
      </w:r>
      <w:r w:rsidR="00FE7EBD">
        <w:t xml:space="preserve">aligned </w:t>
      </w:r>
      <w:r w:rsidDel="00B14F22">
        <w:t>to these recordkeeping obligations.</w:t>
      </w:r>
      <w:r w:rsidR="00795561">
        <w:t xml:space="preserve"> </w:t>
      </w:r>
      <w:r w:rsidR="00C221CE">
        <w:t xml:space="preserve">For example, </w:t>
      </w:r>
      <w:r w:rsidR="00F66EE5">
        <w:t>NHS GM</w:t>
      </w:r>
      <w:r w:rsidR="009803E5">
        <w:t xml:space="preserve"> was</w:t>
      </w:r>
      <w:r w:rsidR="00F66EE5">
        <w:t xml:space="preserve"> oblig</w:t>
      </w:r>
      <w:r w:rsidR="009803E5">
        <w:t xml:space="preserve">ed </w:t>
      </w:r>
      <w:r w:rsidR="00F66EE5">
        <w:t xml:space="preserve">to keep a record of </w:t>
      </w:r>
      <w:r w:rsidR="00C033AC">
        <w:t>“the decision-making process followed” (</w:t>
      </w:r>
      <w:r w:rsidR="00C221CE">
        <w:t xml:space="preserve">under </w:t>
      </w:r>
      <w:r w:rsidR="00C033AC">
        <w:t>Regulation 24(d)</w:t>
      </w:r>
      <w:r w:rsidR="009803E5">
        <w:t xml:space="preserve">), but </w:t>
      </w:r>
      <w:r w:rsidR="00C221CE">
        <w:t xml:space="preserve">it was not required to </w:t>
      </w:r>
      <w:r w:rsidR="00FD2A4A">
        <w:t xml:space="preserve">structure its </w:t>
      </w:r>
      <w:r w:rsidR="00204282">
        <w:t xml:space="preserve">records of its </w:t>
      </w:r>
      <w:r w:rsidR="00033274">
        <w:t>decision-making processes around compliance with individual PSR regulations</w:t>
      </w:r>
      <w:r w:rsidR="004C28F2">
        <w:t xml:space="preserve"> (which was the information requested by CHEC)</w:t>
      </w:r>
      <w:r w:rsidR="003C7EDC">
        <w:t>. As a result</w:t>
      </w:r>
      <w:r w:rsidR="00BA5EDE">
        <w:t xml:space="preserve">, </w:t>
      </w:r>
      <w:r w:rsidR="00A8269A">
        <w:t xml:space="preserve">NHS GM </w:t>
      </w:r>
      <w:r w:rsidR="00FE6C53">
        <w:t>did not</w:t>
      </w:r>
      <w:r w:rsidR="002B1270">
        <w:t>, as the Panel understands the situation</w:t>
      </w:r>
      <w:r w:rsidR="00E848AA">
        <w:t xml:space="preserve"> and for quite understandable reasons</w:t>
      </w:r>
      <w:r w:rsidR="002B1270">
        <w:t>,</w:t>
      </w:r>
      <w:r w:rsidR="00FE6C53">
        <w:t xml:space="preserve"> </w:t>
      </w:r>
      <w:r w:rsidR="00A8269A">
        <w:t xml:space="preserve">possess records </w:t>
      </w:r>
      <w:r w:rsidR="00174251">
        <w:t>in the form requested by CHEC</w:t>
      </w:r>
      <w:r w:rsidR="00654709">
        <w:t>.</w:t>
      </w:r>
      <w:r w:rsidR="00E848AA">
        <w:rPr>
          <w:rStyle w:val="FootnoteReference"/>
        </w:rPr>
        <w:footnoteReference w:id="42"/>
      </w:r>
    </w:p>
    <w:p w14:paraId="7DB5A54A" w14:textId="6970ECAD" w:rsidR="003D4F39" w:rsidRDefault="00246F13" w:rsidP="00B0164B">
      <w:pPr>
        <w:pStyle w:val="ListParagraph"/>
        <w:ind w:left="567" w:hanging="567"/>
      </w:pPr>
      <w:r>
        <w:t xml:space="preserve">Nevertheless, </w:t>
      </w:r>
      <w:r w:rsidR="007770DF">
        <w:t xml:space="preserve">NHS GM did possess records that were responsive to </w:t>
      </w:r>
      <w:r w:rsidR="002E059D">
        <w:t>CHEC’s request</w:t>
      </w:r>
      <w:r w:rsidR="003A7C53">
        <w:t xml:space="preserve"> </w:t>
      </w:r>
      <w:r w:rsidR="002C742B">
        <w:t>and at least some of these records were supplied to CHEC</w:t>
      </w:r>
      <w:r w:rsidR="00092243">
        <w:t xml:space="preserve"> (all of which were already in CHEC’s possession)</w:t>
      </w:r>
      <w:r w:rsidR="002C742B">
        <w:t xml:space="preserve">. </w:t>
      </w:r>
      <w:r w:rsidR="00F21A73">
        <w:t xml:space="preserve">The Panel notes </w:t>
      </w:r>
      <w:r w:rsidR="00745685">
        <w:t xml:space="preserve">that given these </w:t>
      </w:r>
      <w:r w:rsidR="00D272CF">
        <w:t xml:space="preserve">records </w:t>
      </w:r>
      <w:r w:rsidR="00745685">
        <w:t xml:space="preserve">were </w:t>
      </w:r>
      <w:r w:rsidR="00251122">
        <w:t xml:space="preserve">quite </w:t>
      </w:r>
      <w:r w:rsidR="00D86038">
        <w:t xml:space="preserve">lengthy, </w:t>
      </w:r>
      <w:r w:rsidR="000F3656">
        <w:t>particular</w:t>
      </w:r>
      <w:r w:rsidR="00413A43">
        <w:t>ly</w:t>
      </w:r>
      <w:r w:rsidR="000F3656">
        <w:t xml:space="preserve"> the </w:t>
      </w:r>
      <w:r w:rsidR="00D86038">
        <w:t xml:space="preserve">ITT documentation, </w:t>
      </w:r>
      <w:r w:rsidR="009A71B3">
        <w:t xml:space="preserve">it would have been </w:t>
      </w:r>
      <w:r w:rsidR="003A7C53">
        <w:t xml:space="preserve">helpful for NHS GM to </w:t>
      </w:r>
      <w:r w:rsidR="0083053E">
        <w:t xml:space="preserve">include </w:t>
      </w:r>
      <w:r w:rsidR="001C4B89">
        <w:t xml:space="preserve">signposting </w:t>
      </w:r>
      <w:r w:rsidR="0083053E">
        <w:t xml:space="preserve">in its response </w:t>
      </w:r>
      <w:r w:rsidR="001C4B89">
        <w:t xml:space="preserve">that directed CHEC to </w:t>
      </w:r>
      <w:r w:rsidR="00934FBF">
        <w:t xml:space="preserve">where </w:t>
      </w:r>
      <w:r w:rsidR="00D17B29">
        <w:t>the relevant material</w:t>
      </w:r>
      <w:r w:rsidR="00091CB2">
        <w:t xml:space="preserve"> was</w:t>
      </w:r>
      <w:r w:rsidR="00D17B29">
        <w:t xml:space="preserve"> </w:t>
      </w:r>
      <w:r w:rsidR="00091CB2">
        <w:lastRenderedPageBreak/>
        <w:t xml:space="preserve">located </w:t>
      </w:r>
      <w:r w:rsidR="005A0497">
        <w:t xml:space="preserve">in these </w:t>
      </w:r>
      <w:r w:rsidR="00091CB2">
        <w:t>records</w:t>
      </w:r>
      <w:r w:rsidR="000669F0">
        <w:t xml:space="preserve">, and to explain why the records </w:t>
      </w:r>
      <w:r w:rsidR="00100413">
        <w:t xml:space="preserve">that </w:t>
      </w:r>
      <w:r w:rsidR="00564C0B">
        <w:t xml:space="preserve">it </w:t>
      </w:r>
      <w:r w:rsidR="00100413">
        <w:t xml:space="preserve">supplied represented a comprehensive response </w:t>
      </w:r>
      <w:r w:rsidR="00DF550F">
        <w:t>to CHEC’s request</w:t>
      </w:r>
      <w:r w:rsidR="00C45E87">
        <w:t>.</w:t>
      </w:r>
      <w:r w:rsidR="00D651CF">
        <w:t xml:space="preserve"> </w:t>
      </w:r>
      <w:r w:rsidR="003D4F39">
        <w:t xml:space="preserve">Without this information, it was difficult for CHEC to understand </w:t>
      </w:r>
      <w:r w:rsidR="005E3390">
        <w:t xml:space="preserve">NHS GM’s </w:t>
      </w:r>
      <w:r w:rsidR="003D4F39">
        <w:t>respon</w:t>
      </w:r>
      <w:r w:rsidR="005E3390">
        <w:t xml:space="preserve">se </w:t>
      </w:r>
      <w:r w:rsidR="003D4F39">
        <w:t>to its information request and, as a result, made it more likely that CHEC would submit further information requests.</w:t>
      </w:r>
    </w:p>
    <w:p w14:paraId="6365538B" w14:textId="46533F29" w:rsidR="00133E96" w:rsidRDefault="003D4F39" w:rsidP="00B0164B">
      <w:pPr>
        <w:pStyle w:val="ListParagraph"/>
        <w:ind w:left="567" w:hanging="567"/>
      </w:pPr>
      <w:r>
        <w:t>T</w:t>
      </w:r>
      <w:r w:rsidR="006E3DD3">
        <w:t>he Panel</w:t>
      </w:r>
      <w:r w:rsidR="00D06632">
        <w:t xml:space="preserve">, in light of </w:t>
      </w:r>
      <w:r w:rsidR="009C2578">
        <w:t xml:space="preserve">its findings </w:t>
      </w:r>
      <w:r w:rsidR="0054510E">
        <w:t>regarding CHEC’s further representations and requests for information (see Section 7.2.2)</w:t>
      </w:r>
      <w:r w:rsidR="006E3DD3">
        <w:t xml:space="preserve"> has not </w:t>
      </w:r>
      <w:r w:rsidR="0054510E">
        <w:t>found it necessary</w:t>
      </w:r>
      <w:r w:rsidR="006E3DD3">
        <w:t xml:space="preserve"> to </w:t>
      </w:r>
      <w:r w:rsidR="0054510E">
        <w:t>reach</w:t>
      </w:r>
      <w:r w:rsidR="00413A8A">
        <w:t xml:space="preserve"> a </w:t>
      </w:r>
      <w:r w:rsidR="0054510E">
        <w:t>conclusion on</w:t>
      </w:r>
      <w:r w:rsidR="003E005D">
        <w:t xml:space="preserve"> whether </w:t>
      </w:r>
      <w:r w:rsidR="00F2123C">
        <w:t>NHS GM</w:t>
      </w:r>
      <w:r w:rsidR="00C34B84">
        <w:t xml:space="preserve"> met its obligations under Regulation 12(4)</w:t>
      </w:r>
      <w:r w:rsidR="00925F0F">
        <w:t xml:space="preserve"> in relation to CHEC’s first request for information</w:t>
      </w:r>
      <w:r w:rsidR="00EE4882">
        <w:t>.</w:t>
      </w:r>
    </w:p>
    <w:p w14:paraId="3E98D88A" w14:textId="781B1A2B" w:rsidR="00F6327B" w:rsidRPr="00E95EBE" w:rsidRDefault="00F6327B" w:rsidP="00F6327B">
      <w:pPr>
        <w:keepNext/>
        <w:spacing w:before="240" w:after="120"/>
        <w:rPr>
          <w:b/>
          <w:bCs/>
          <w:sz w:val="20"/>
          <w:szCs w:val="20"/>
        </w:rPr>
      </w:pPr>
      <w:r>
        <w:rPr>
          <w:b/>
          <w:bCs/>
          <w:sz w:val="20"/>
          <w:szCs w:val="20"/>
        </w:rPr>
        <w:t xml:space="preserve">Table </w:t>
      </w:r>
      <w:r w:rsidR="00B0164B">
        <w:rPr>
          <w:b/>
          <w:bCs/>
          <w:sz w:val="20"/>
          <w:szCs w:val="20"/>
        </w:rPr>
        <w:t>3</w:t>
      </w:r>
      <w:r>
        <w:rPr>
          <w:b/>
          <w:bCs/>
          <w:sz w:val="20"/>
          <w:szCs w:val="20"/>
        </w:rPr>
        <w:t xml:space="preserve">: </w:t>
      </w:r>
      <w:r w:rsidRPr="00E95EBE">
        <w:rPr>
          <w:b/>
          <w:bCs/>
          <w:sz w:val="20"/>
          <w:szCs w:val="20"/>
        </w:rPr>
        <w:t xml:space="preserve">Chronology of events in relation to NHS </w:t>
      </w:r>
      <w:r>
        <w:rPr>
          <w:b/>
          <w:bCs/>
          <w:sz w:val="20"/>
          <w:szCs w:val="20"/>
        </w:rPr>
        <w:t xml:space="preserve">GM’s </w:t>
      </w:r>
      <w:r w:rsidRPr="00E95EBE">
        <w:rPr>
          <w:b/>
          <w:bCs/>
          <w:sz w:val="20"/>
          <w:szCs w:val="20"/>
        </w:rPr>
        <w:t xml:space="preserve">due diligence </w:t>
      </w:r>
      <w:r>
        <w:rPr>
          <w:b/>
          <w:bCs/>
          <w:sz w:val="20"/>
          <w:szCs w:val="20"/>
        </w:rPr>
        <w:t xml:space="preserve">on About Health’s change in ownership </w:t>
      </w:r>
      <w:r w:rsidRPr="00E95EBE">
        <w:rPr>
          <w:b/>
          <w:bCs/>
          <w:sz w:val="20"/>
          <w:szCs w:val="20"/>
        </w:rPr>
        <w:t>and CHEC’s representations</w:t>
      </w:r>
    </w:p>
    <w:tbl>
      <w:tblPr>
        <w:tblStyle w:val="TableGrid"/>
        <w:tblW w:w="0" w:type="auto"/>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7320"/>
      </w:tblGrid>
      <w:tr w:rsidR="00F6327B" w:rsidRPr="00806A15" w14:paraId="1B14E92D" w14:textId="77777777" w:rsidTr="00DD3E77">
        <w:tc>
          <w:tcPr>
            <w:tcW w:w="1696" w:type="dxa"/>
            <w:tcBorders>
              <w:top w:val="single" w:sz="4" w:space="0" w:color="auto"/>
              <w:bottom w:val="single" w:sz="4" w:space="0" w:color="auto"/>
            </w:tcBorders>
            <w:shd w:val="clear" w:color="auto" w:fill="D9D9D9" w:themeFill="background1" w:themeFillShade="D9"/>
          </w:tcPr>
          <w:p w14:paraId="08B800CD" w14:textId="77777777" w:rsidR="00F6327B" w:rsidRPr="00806A15" w:rsidRDefault="00F6327B" w:rsidP="00DD3E77">
            <w:pPr>
              <w:spacing w:before="60" w:after="60" w:line="240" w:lineRule="auto"/>
              <w:jc w:val="center"/>
              <w:rPr>
                <w:b/>
                <w:bCs/>
                <w:sz w:val="18"/>
                <w:szCs w:val="18"/>
              </w:rPr>
            </w:pPr>
            <w:r w:rsidRPr="00806A15">
              <w:rPr>
                <w:b/>
                <w:bCs/>
                <w:sz w:val="18"/>
                <w:szCs w:val="18"/>
              </w:rPr>
              <w:t>Date</w:t>
            </w:r>
          </w:p>
        </w:tc>
        <w:tc>
          <w:tcPr>
            <w:tcW w:w="7320" w:type="dxa"/>
            <w:tcBorders>
              <w:top w:val="single" w:sz="4" w:space="0" w:color="auto"/>
              <w:bottom w:val="single" w:sz="4" w:space="0" w:color="auto"/>
            </w:tcBorders>
            <w:shd w:val="clear" w:color="auto" w:fill="D9D9D9" w:themeFill="background1" w:themeFillShade="D9"/>
          </w:tcPr>
          <w:p w14:paraId="160363B6" w14:textId="77777777" w:rsidR="00F6327B" w:rsidRPr="00806A15" w:rsidRDefault="00F6327B" w:rsidP="00DD3E77">
            <w:pPr>
              <w:spacing w:before="60" w:after="60" w:line="240" w:lineRule="auto"/>
              <w:rPr>
                <w:b/>
                <w:bCs/>
                <w:sz w:val="18"/>
                <w:szCs w:val="18"/>
              </w:rPr>
            </w:pPr>
            <w:r w:rsidRPr="00806A15">
              <w:rPr>
                <w:b/>
                <w:bCs/>
                <w:sz w:val="18"/>
                <w:szCs w:val="18"/>
              </w:rPr>
              <w:t>Event</w:t>
            </w:r>
          </w:p>
        </w:tc>
      </w:tr>
      <w:tr w:rsidR="00F6327B" w:rsidRPr="00CC006C" w14:paraId="6051AA7E" w14:textId="77777777" w:rsidTr="00DD3E77">
        <w:tc>
          <w:tcPr>
            <w:tcW w:w="1696" w:type="dxa"/>
            <w:tcBorders>
              <w:top w:val="single" w:sz="4" w:space="0" w:color="auto"/>
            </w:tcBorders>
          </w:tcPr>
          <w:p w14:paraId="0C4235B3" w14:textId="77777777" w:rsidR="00F6327B" w:rsidRPr="00CC006C" w:rsidRDefault="00F6327B" w:rsidP="00DD3E77">
            <w:pPr>
              <w:spacing w:before="60" w:after="60" w:line="240" w:lineRule="auto"/>
              <w:jc w:val="center"/>
              <w:rPr>
                <w:sz w:val="18"/>
                <w:szCs w:val="18"/>
              </w:rPr>
            </w:pPr>
            <w:r>
              <w:rPr>
                <w:sz w:val="18"/>
                <w:szCs w:val="18"/>
              </w:rPr>
              <w:t xml:space="preserve">28 Feb </w:t>
            </w:r>
            <w:r w:rsidRPr="00CC006C">
              <w:rPr>
                <w:sz w:val="18"/>
                <w:szCs w:val="18"/>
              </w:rPr>
              <w:t>2025</w:t>
            </w:r>
          </w:p>
        </w:tc>
        <w:tc>
          <w:tcPr>
            <w:tcW w:w="7320" w:type="dxa"/>
            <w:tcBorders>
              <w:top w:val="single" w:sz="4" w:space="0" w:color="auto"/>
            </w:tcBorders>
          </w:tcPr>
          <w:p w14:paraId="6312B90A" w14:textId="7072700B" w:rsidR="00F6327B" w:rsidRPr="00CC006C" w:rsidRDefault="00F6327B" w:rsidP="00DD3E77">
            <w:pPr>
              <w:spacing w:before="60" w:after="60" w:line="240" w:lineRule="auto"/>
              <w:rPr>
                <w:sz w:val="18"/>
                <w:szCs w:val="18"/>
              </w:rPr>
            </w:pPr>
            <w:r>
              <w:rPr>
                <w:sz w:val="18"/>
                <w:szCs w:val="18"/>
              </w:rPr>
              <w:t>Deadline for bid submissions</w:t>
            </w:r>
            <w:r w:rsidR="00E87849">
              <w:rPr>
                <w:sz w:val="18"/>
                <w:szCs w:val="18"/>
              </w:rPr>
              <w:t>.</w:t>
            </w:r>
          </w:p>
        </w:tc>
      </w:tr>
      <w:tr w:rsidR="00F6327B" w:rsidRPr="00CC006C" w14:paraId="5A4BB7CC" w14:textId="77777777" w:rsidTr="00DD3E77">
        <w:tc>
          <w:tcPr>
            <w:tcW w:w="1696" w:type="dxa"/>
          </w:tcPr>
          <w:p w14:paraId="38069943" w14:textId="77777777" w:rsidR="00F6327B" w:rsidRPr="00CC006C" w:rsidRDefault="00F6327B" w:rsidP="00DD3E77">
            <w:pPr>
              <w:spacing w:before="60" w:after="60" w:line="240" w:lineRule="auto"/>
              <w:jc w:val="center"/>
              <w:rPr>
                <w:sz w:val="18"/>
                <w:szCs w:val="18"/>
              </w:rPr>
            </w:pPr>
            <w:r>
              <w:rPr>
                <w:sz w:val="18"/>
                <w:szCs w:val="18"/>
              </w:rPr>
              <w:t>29 May 2025</w:t>
            </w:r>
          </w:p>
        </w:tc>
        <w:tc>
          <w:tcPr>
            <w:tcW w:w="7320" w:type="dxa"/>
          </w:tcPr>
          <w:p w14:paraId="703271FC" w14:textId="4248730C" w:rsidR="00F6327B" w:rsidRPr="00CC006C" w:rsidRDefault="00F6327B" w:rsidP="00DD3E77">
            <w:pPr>
              <w:spacing w:before="60" w:after="60" w:line="240" w:lineRule="auto"/>
              <w:rPr>
                <w:sz w:val="18"/>
                <w:szCs w:val="18"/>
              </w:rPr>
            </w:pPr>
            <w:r>
              <w:rPr>
                <w:sz w:val="18"/>
                <w:szCs w:val="18"/>
              </w:rPr>
              <w:t>Evaluation completed and About Health identified as the successful bidder (but not yet formally approved within NHS GM)</w:t>
            </w:r>
            <w:r w:rsidR="00E87849">
              <w:rPr>
                <w:sz w:val="18"/>
                <w:szCs w:val="18"/>
              </w:rPr>
              <w:t>.</w:t>
            </w:r>
          </w:p>
        </w:tc>
      </w:tr>
      <w:tr w:rsidR="00F6327B" w:rsidRPr="008269B4" w14:paraId="7546CF9B" w14:textId="77777777" w:rsidTr="00DD3E77">
        <w:tc>
          <w:tcPr>
            <w:tcW w:w="1696" w:type="dxa"/>
          </w:tcPr>
          <w:p w14:paraId="25D6F2A4" w14:textId="77777777" w:rsidR="00F6327B" w:rsidRDefault="00F6327B" w:rsidP="00DD3E77">
            <w:pPr>
              <w:spacing w:before="60" w:after="60" w:line="240" w:lineRule="auto"/>
              <w:jc w:val="center"/>
              <w:rPr>
                <w:sz w:val="18"/>
                <w:szCs w:val="18"/>
              </w:rPr>
            </w:pPr>
            <w:r>
              <w:rPr>
                <w:sz w:val="18"/>
                <w:szCs w:val="18"/>
              </w:rPr>
              <w:t>4 Jun 2025</w:t>
            </w:r>
          </w:p>
        </w:tc>
        <w:tc>
          <w:tcPr>
            <w:tcW w:w="7320" w:type="dxa"/>
          </w:tcPr>
          <w:p w14:paraId="422735C6" w14:textId="06F6B9F4" w:rsidR="00F6327B" w:rsidRDefault="00F6327B" w:rsidP="00DD3E77">
            <w:pPr>
              <w:spacing w:before="60" w:after="60" w:line="240" w:lineRule="auto"/>
              <w:rPr>
                <w:sz w:val="18"/>
                <w:szCs w:val="18"/>
              </w:rPr>
            </w:pPr>
            <w:r>
              <w:rPr>
                <w:sz w:val="18"/>
                <w:szCs w:val="18"/>
              </w:rPr>
              <w:t>About Health notifies NHS GM of imminent change in ownership, which subsequently takes place on 8 Jun 2025</w:t>
            </w:r>
            <w:r w:rsidR="00E87849">
              <w:rPr>
                <w:sz w:val="18"/>
                <w:szCs w:val="18"/>
              </w:rPr>
              <w:t>.</w:t>
            </w:r>
          </w:p>
        </w:tc>
      </w:tr>
      <w:tr w:rsidR="00F6327B" w:rsidRPr="00806A15" w14:paraId="0164FD61" w14:textId="77777777" w:rsidTr="00DD3E77">
        <w:tc>
          <w:tcPr>
            <w:tcW w:w="1696" w:type="dxa"/>
          </w:tcPr>
          <w:p w14:paraId="389775FB" w14:textId="77777777" w:rsidR="00F6327B" w:rsidRPr="00806A15" w:rsidRDefault="00F6327B" w:rsidP="00DD3E77">
            <w:pPr>
              <w:spacing w:before="60" w:after="60" w:line="240" w:lineRule="auto"/>
              <w:jc w:val="center"/>
              <w:rPr>
                <w:sz w:val="18"/>
                <w:szCs w:val="18"/>
              </w:rPr>
            </w:pPr>
            <w:r>
              <w:rPr>
                <w:sz w:val="18"/>
                <w:szCs w:val="18"/>
              </w:rPr>
              <w:t>12 Aug 2025</w:t>
            </w:r>
          </w:p>
        </w:tc>
        <w:tc>
          <w:tcPr>
            <w:tcW w:w="7320" w:type="dxa"/>
          </w:tcPr>
          <w:p w14:paraId="2595DDA6" w14:textId="127E00F0" w:rsidR="00F6327B" w:rsidRPr="00806A15" w:rsidRDefault="00F6327B" w:rsidP="00DD3E77">
            <w:pPr>
              <w:spacing w:before="60" w:after="60" w:line="240" w:lineRule="auto"/>
              <w:rPr>
                <w:sz w:val="18"/>
                <w:szCs w:val="18"/>
              </w:rPr>
            </w:pPr>
            <w:r>
              <w:rPr>
                <w:sz w:val="18"/>
                <w:szCs w:val="18"/>
              </w:rPr>
              <w:t>NHS GM publishes an intention to award notice announcing About Health as the successful bidder for all five lots</w:t>
            </w:r>
            <w:r w:rsidR="00E87849">
              <w:rPr>
                <w:sz w:val="18"/>
                <w:szCs w:val="18"/>
              </w:rPr>
              <w:t>.</w:t>
            </w:r>
          </w:p>
        </w:tc>
      </w:tr>
      <w:tr w:rsidR="00F6327B" w:rsidRPr="00B8661E" w14:paraId="1D261F37" w14:textId="77777777" w:rsidTr="00DD3E77">
        <w:tc>
          <w:tcPr>
            <w:tcW w:w="1696" w:type="dxa"/>
          </w:tcPr>
          <w:p w14:paraId="1A591E13" w14:textId="77777777" w:rsidR="00F6327B" w:rsidRDefault="00F6327B" w:rsidP="00DD3E77">
            <w:pPr>
              <w:spacing w:before="60" w:after="60" w:line="240" w:lineRule="auto"/>
              <w:jc w:val="center"/>
              <w:rPr>
                <w:sz w:val="18"/>
                <w:szCs w:val="18"/>
              </w:rPr>
            </w:pPr>
            <w:r>
              <w:rPr>
                <w:sz w:val="18"/>
                <w:szCs w:val="18"/>
              </w:rPr>
              <w:t>18 Aug 2025</w:t>
            </w:r>
          </w:p>
        </w:tc>
        <w:tc>
          <w:tcPr>
            <w:tcW w:w="7320" w:type="dxa"/>
          </w:tcPr>
          <w:p w14:paraId="67E37C58" w14:textId="2069B629" w:rsidR="00F6327B" w:rsidRDefault="00F6327B" w:rsidP="00DD3E77">
            <w:pPr>
              <w:spacing w:before="60" w:after="60" w:line="240" w:lineRule="auto"/>
              <w:rPr>
                <w:sz w:val="18"/>
                <w:szCs w:val="18"/>
              </w:rPr>
            </w:pPr>
            <w:r w:rsidRPr="00806A15">
              <w:rPr>
                <w:i/>
                <w:iCs/>
                <w:sz w:val="18"/>
                <w:szCs w:val="18"/>
              </w:rPr>
              <w:t>Representations review process</w:t>
            </w:r>
            <w:r>
              <w:rPr>
                <w:sz w:val="18"/>
                <w:szCs w:val="18"/>
              </w:rPr>
              <w:t>: CHEC makes representations to NHS GM concerning its provider selection process</w:t>
            </w:r>
            <w:r w:rsidR="00E87849">
              <w:rPr>
                <w:sz w:val="18"/>
                <w:szCs w:val="18"/>
              </w:rPr>
              <w:t>.</w:t>
            </w:r>
          </w:p>
        </w:tc>
      </w:tr>
      <w:tr w:rsidR="00F6327B" w:rsidRPr="00806A15" w14:paraId="6B9EE709" w14:textId="77777777" w:rsidTr="00DD3E77">
        <w:tc>
          <w:tcPr>
            <w:tcW w:w="1696" w:type="dxa"/>
          </w:tcPr>
          <w:p w14:paraId="5A8837AD" w14:textId="77777777" w:rsidR="00F6327B" w:rsidRPr="00806A15" w:rsidRDefault="00F6327B" w:rsidP="00DD3E77">
            <w:pPr>
              <w:spacing w:before="60" w:after="60" w:line="240" w:lineRule="auto"/>
              <w:jc w:val="center"/>
              <w:rPr>
                <w:sz w:val="18"/>
                <w:szCs w:val="18"/>
              </w:rPr>
            </w:pPr>
            <w:r>
              <w:rPr>
                <w:sz w:val="18"/>
                <w:szCs w:val="18"/>
              </w:rPr>
              <w:t>26 Aug 2025</w:t>
            </w:r>
          </w:p>
        </w:tc>
        <w:tc>
          <w:tcPr>
            <w:tcW w:w="7320" w:type="dxa"/>
          </w:tcPr>
          <w:p w14:paraId="36CCD89E" w14:textId="09370FE7" w:rsidR="00F6327B" w:rsidRPr="00806A15" w:rsidRDefault="00F6327B" w:rsidP="00DD3E77">
            <w:pPr>
              <w:spacing w:before="60" w:after="60" w:line="240" w:lineRule="auto"/>
              <w:rPr>
                <w:sz w:val="18"/>
                <w:szCs w:val="18"/>
              </w:rPr>
            </w:pPr>
            <w:r w:rsidRPr="00806A15">
              <w:rPr>
                <w:i/>
                <w:iCs/>
                <w:sz w:val="18"/>
                <w:szCs w:val="18"/>
              </w:rPr>
              <w:t>Due diligence process</w:t>
            </w:r>
            <w:r>
              <w:rPr>
                <w:sz w:val="18"/>
                <w:szCs w:val="18"/>
              </w:rPr>
              <w:t>: NHS GM commences due diligence process with respect to About Health’s change of ownership by asking About Health for information about its new ownership structure</w:t>
            </w:r>
            <w:r w:rsidR="00E87849">
              <w:rPr>
                <w:sz w:val="18"/>
                <w:szCs w:val="18"/>
              </w:rPr>
              <w:t>.</w:t>
            </w:r>
          </w:p>
        </w:tc>
      </w:tr>
      <w:tr w:rsidR="00F6327B" w:rsidRPr="00CA1D6F" w14:paraId="39B08E2B" w14:textId="77777777" w:rsidTr="00DD3E77">
        <w:tc>
          <w:tcPr>
            <w:tcW w:w="1696" w:type="dxa"/>
          </w:tcPr>
          <w:p w14:paraId="4A12229B" w14:textId="77777777" w:rsidR="00F6327B" w:rsidRPr="00CA1D6F" w:rsidRDefault="00F6327B" w:rsidP="00DD3E77">
            <w:pPr>
              <w:spacing w:before="60" w:after="60" w:line="240" w:lineRule="auto"/>
              <w:jc w:val="center"/>
              <w:rPr>
                <w:sz w:val="18"/>
                <w:szCs w:val="18"/>
              </w:rPr>
            </w:pPr>
            <w:r>
              <w:rPr>
                <w:sz w:val="18"/>
                <w:szCs w:val="18"/>
              </w:rPr>
              <w:t>15 Sep 2025</w:t>
            </w:r>
          </w:p>
        </w:tc>
        <w:tc>
          <w:tcPr>
            <w:tcW w:w="7320" w:type="dxa"/>
          </w:tcPr>
          <w:p w14:paraId="34C66229" w14:textId="7BD082CE" w:rsidR="00F6327B" w:rsidRPr="00CA1D6F" w:rsidRDefault="00F6327B" w:rsidP="00DD3E77">
            <w:pPr>
              <w:spacing w:before="60" w:after="60" w:line="240" w:lineRule="auto"/>
              <w:rPr>
                <w:sz w:val="18"/>
                <w:szCs w:val="18"/>
              </w:rPr>
            </w:pPr>
            <w:r w:rsidRPr="00BA3E61">
              <w:rPr>
                <w:i/>
                <w:iCs/>
                <w:sz w:val="18"/>
                <w:szCs w:val="18"/>
              </w:rPr>
              <w:t>Representations review process</w:t>
            </w:r>
            <w:r>
              <w:rPr>
                <w:sz w:val="18"/>
                <w:szCs w:val="18"/>
              </w:rPr>
              <w:t>: NHS GM’s PSR Representation Panel reviews CHEC’s representations and decides they are “not material”, but also decides that “all elements of the representations can be picked up as part of the due diligence process”</w:t>
            </w:r>
            <w:r w:rsidR="00E87849">
              <w:rPr>
                <w:sz w:val="18"/>
                <w:szCs w:val="18"/>
              </w:rPr>
              <w:t>.</w:t>
            </w:r>
          </w:p>
        </w:tc>
      </w:tr>
      <w:tr w:rsidR="00F6327B" w:rsidRPr="00CA1D6F" w14:paraId="4FDEEAAE" w14:textId="77777777" w:rsidTr="00DD3E77">
        <w:tc>
          <w:tcPr>
            <w:tcW w:w="1696" w:type="dxa"/>
          </w:tcPr>
          <w:p w14:paraId="454AE834" w14:textId="77777777" w:rsidR="00F6327B" w:rsidRDefault="00F6327B" w:rsidP="00DD3E77">
            <w:pPr>
              <w:spacing w:before="60" w:after="60" w:line="240" w:lineRule="auto"/>
              <w:jc w:val="center"/>
              <w:rPr>
                <w:sz w:val="18"/>
                <w:szCs w:val="18"/>
              </w:rPr>
            </w:pPr>
            <w:r>
              <w:rPr>
                <w:sz w:val="18"/>
                <w:szCs w:val="18"/>
              </w:rPr>
              <w:t>18 Sep 2025</w:t>
            </w:r>
          </w:p>
        </w:tc>
        <w:tc>
          <w:tcPr>
            <w:tcW w:w="7320" w:type="dxa"/>
          </w:tcPr>
          <w:p w14:paraId="65BAF1E6" w14:textId="22EACE35" w:rsidR="00F6327B" w:rsidRDefault="00F6327B" w:rsidP="00DD3E77">
            <w:pPr>
              <w:spacing w:before="60" w:after="60" w:line="240" w:lineRule="auto"/>
              <w:rPr>
                <w:sz w:val="18"/>
                <w:szCs w:val="18"/>
              </w:rPr>
            </w:pPr>
            <w:r w:rsidRPr="00BA3E61">
              <w:rPr>
                <w:i/>
                <w:iCs/>
                <w:sz w:val="18"/>
                <w:szCs w:val="18"/>
              </w:rPr>
              <w:t>Representations review process</w:t>
            </w:r>
            <w:r>
              <w:rPr>
                <w:sz w:val="18"/>
                <w:szCs w:val="18"/>
              </w:rPr>
              <w:t>: NHS GM responds to CHEC’s request for information about the provider selection process</w:t>
            </w:r>
            <w:r w:rsidR="00E87849">
              <w:rPr>
                <w:sz w:val="18"/>
                <w:szCs w:val="18"/>
              </w:rPr>
              <w:t>.</w:t>
            </w:r>
          </w:p>
        </w:tc>
      </w:tr>
      <w:tr w:rsidR="00F6327B" w:rsidRPr="00CA1D6F" w14:paraId="2968DCD4" w14:textId="77777777" w:rsidTr="00DD3E77">
        <w:tc>
          <w:tcPr>
            <w:tcW w:w="1696" w:type="dxa"/>
          </w:tcPr>
          <w:p w14:paraId="35DE0528" w14:textId="77777777" w:rsidR="00F6327B" w:rsidRPr="00CA1D6F" w:rsidRDefault="00F6327B" w:rsidP="00DD3E77">
            <w:pPr>
              <w:spacing w:before="60" w:after="60" w:line="240" w:lineRule="auto"/>
              <w:jc w:val="center"/>
              <w:rPr>
                <w:sz w:val="18"/>
                <w:szCs w:val="18"/>
              </w:rPr>
            </w:pPr>
            <w:r>
              <w:rPr>
                <w:sz w:val="18"/>
                <w:szCs w:val="18"/>
              </w:rPr>
              <w:t>19 Sep 2025</w:t>
            </w:r>
          </w:p>
        </w:tc>
        <w:tc>
          <w:tcPr>
            <w:tcW w:w="7320" w:type="dxa"/>
          </w:tcPr>
          <w:p w14:paraId="2178913F" w14:textId="24F59136" w:rsidR="00F6327B" w:rsidRPr="00CA1D6F" w:rsidRDefault="00F6327B" w:rsidP="00DD3E77">
            <w:pPr>
              <w:spacing w:before="60" w:after="60" w:line="240" w:lineRule="auto"/>
              <w:rPr>
                <w:sz w:val="18"/>
                <w:szCs w:val="18"/>
              </w:rPr>
            </w:pPr>
            <w:r w:rsidRPr="00BA3E61">
              <w:rPr>
                <w:i/>
                <w:iCs/>
                <w:sz w:val="18"/>
                <w:szCs w:val="18"/>
              </w:rPr>
              <w:t>Due diligence process</w:t>
            </w:r>
            <w:r>
              <w:rPr>
                <w:sz w:val="18"/>
                <w:szCs w:val="18"/>
              </w:rPr>
              <w:t>: NHS GM asks About Health a second round of questions concerning its change in ownership</w:t>
            </w:r>
            <w:r w:rsidR="00E87849">
              <w:rPr>
                <w:sz w:val="18"/>
                <w:szCs w:val="18"/>
              </w:rPr>
              <w:t>.</w:t>
            </w:r>
          </w:p>
        </w:tc>
      </w:tr>
      <w:tr w:rsidR="00F6327B" w:rsidRPr="00CA1D6F" w14:paraId="6D0CE970" w14:textId="77777777" w:rsidTr="00DD3E77">
        <w:tc>
          <w:tcPr>
            <w:tcW w:w="1696" w:type="dxa"/>
          </w:tcPr>
          <w:p w14:paraId="36EC7AAC" w14:textId="77777777" w:rsidR="00F6327B" w:rsidRDefault="00F6327B" w:rsidP="00DD3E77">
            <w:pPr>
              <w:spacing w:before="60" w:after="60" w:line="240" w:lineRule="auto"/>
              <w:jc w:val="center"/>
              <w:rPr>
                <w:sz w:val="18"/>
                <w:szCs w:val="18"/>
              </w:rPr>
            </w:pPr>
            <w:r>
              <w:rPr>
                <w:sz w:val="18"/>
                <w:szCs w:val="18"/>
              </w:rPr>
              <w:t>25 Sep 2025</w:t>
            </w:r>
          </w:p>
        </w:tc>
        <w:tc>
          <w:tcPr>
            <w:tcW w:w="7320" w:type="dxa"/>
          </w:tcPr>
          <w:p w14:paraId="292AE12B" w14:textId="77CA31F0" w:rsidR="00F6327B" w:rsidRDefault="00F6327B" w:rsidP="00DD3E77">
            <w:pPr>
              <w:spacing w:before="60" w:after="60" w:line="240" w:lineRule="auto"/>
              <w:rPr>
                <w:sz w:val="18"/>
                <w:szCs w:val="18"/>
              </w:rPr>
            </w:pPr>
            <w:r w:rsidRPr="00BA3E61">
              <w:rPr>
                <w:i/>
                <w:iCs/>
                <w:sz w:val="18"/>
                <w:szCs w:val="18"/>
              </w:rPr>
              <w:t>Representations review process</w:t>
            </w:r>
            <w:r>
              <w:rPr>
                <w:sz w:val="18"/>
                <w:szCs w:val="18"/>
              </w:rPr>
              <w:t>: CHEC makes further representations about the provider selection process and makes a second request for information about the provider selection process</w:t>
            </w:r>
            <w:r w:rsidR="00E87849">
              <w:rPr>
                <w:sz w:val="18"/>
                <w:szCs w:val="18"/>
              </w:rPr>
              <w:t>.</w:t>
            </w:r>
          </w:p>
        </w:tc>
      </w:tr>
      <w:tr w:rsidR="00F6327B" w:rsidRPr="00CA1D6F" w14:paraId="51E2E1F5" w14:textId="77777777" w:rsidTr="00DD3E77">
        <w:tc>
          <w:tcPr>
            <w:tcW w:w="1696" w:type="dxa"/>
          </w:tcPr>
          <w:p w14:paraId="23645E15" w14:textId="77777777" w:rsidR="00F6327B" w:rsidRDefault="00F6327B" w:rsidP="00DD3E77">
            <w:pPr>
              <w:spacing w:before="60" w:after="60" w:line="240" w:lineRule="auto"/>
              <w:jc w:val="center"/>
              <w:rPr>
                <w:sz w:val="18"/>
                <w:szCs w:val="18"/>
              </w:rPr>
            </w:pPr>
            <w:r>
              <w:rPr>
                <w:sz w:val="18"/>
                <w:szCs w:val="18"/>
              </w:rPr>
              <w:t>26 Sep 2025</w:t>
            </w:r>
          </w:p>
        </w:tc>
        <w:tc>
          <w:tcPr>
            <w:tcW w:w="7320" w:type="dxa"/>
          </w:tcPr>
          <w:p w14:paraId="5C7A10C9" w14:textId="0A6FA2EE" w:rsidR="00F6327B" w:rsidRDefault="00F6327B" w:rsidP="00DD3E77">
            <w:pPr>
              <w:spacing w:before="60" w:after="60" w:line="240" w:lineRule="auto"/>
              <w:rPr>
                <w:sz w:val="18"/>
                <w:szCs w:val="18"/>
              </w:rPr>
            </w:pPr>
            <w:r w:rsidRPr="00BA3E61">
              <w:rPr>
                <w:i/>
                <w:iCs/>
                <w:sz w:val="18"/>
                <w:szCs w:val="18"/>
              </w:rPr>
              <w:t>Due diligence process</w:t>
            </w:r>
            <w:r>
              <w:rPr>
                <w:sz w:val="18"/>
                <w:szCs w:val="18"/>
              </w:rPr>
              <w:t>: About Health provides the first part of its response to NHS GM’s second round of questions concerning its change in ownership</w:t>
            </w:r>
            <w:r w:rsidR="00E87849">
              <w:rPr>
                <w:sz w:val="18"/>
                <w:szCs w:val="18"/>
              </w:rPr>
              <w:t>.</w:t>
            </w:r>
          </w:p>
        </w:tc>
      </w:tr>
      <w:tr w:rsidR="00F6327B" w:rsidRPr="00CA1D6F" w14:paraId="4AB7FBD3" w14:textId="77777777" w:rsidTr="00DD3E77">
        <w:tc>
          <w:tcPr>
            <w:tcW w:w="1696" w:type="dxa"/>
          </w:tcPr>
          <w:p w14:paraId="08036646" w14:textId="77777777" w:rsidR="00F6327B" w:rsidRDefault="00F6327B" w:rsidP="00DD3E77">
            <w:pPr>
              <w:spacing w:before="60" w:after="60" w:line="240" w:lineRule="auto"/>
              <w:jc w:val="center"/>
              <w:rPr>
                <w:sz w:val="18"/>
                <w:szCs w:val="18"/>
              </w:rPr>
            </w:pPr>
            <w:r>
              <w:rPr>
                <w:sz w:val="18"/>
                <w:szCs w:val="18"/>
              </w:rPr>
              <w:t>29 Sep 2025</w:t>
            </w:r>
          </w:p>
        </w:tc>
        <w:tc>
          <w:tcPr>
            <w:tcW w:w="7320" w:type="dxa"/>
          </w:tcPr>
          <w:p w14:paraId="05773EFC" w14:textId="64F4E735" w:rsidR="00F6327B" w:rsidRPr="00BA3E61" w:rsidRDefault="00F6327B" w:rsidP="00DD3E77">
            <w:pPr>
              <w:spacing w:before="60" w:after="60" w:line="240" w:lineRule="auto"/>
              <w:rPr>
                <w:i/>
                <w:iCs/>
                <w:sz w:val="18"/>
                <w:szCs w:val="18"/>
              </w:rPr>
            </w:pPr>
            <w:r w:rsidRPr="00BA3E61">
              <w:rPr>
                <w:i/>
                <w:iCs/>
                <w:sz w:val="18"/>
                <w:szCs w:val="18"/>
              </w:rPr>
              <w:t>Due diligence process</w:t>
            </w:r>
            <w:r>
              <w:rPr>
                <w:sz w:val="18"/>
                <w:szCs w:val="18"/>
              </w:rPr>
              <w:t>: About Health provides the second part of its response to NHS GM’s second round of questions concerning its change in ownership</w:t>
            </w:r>
            <w:r w:rsidR="00E87849">
              <w:rPr>
                <w:sz w:val="18"/>
                <w:szCs w:val="18"/>
              </w:rPr>
              <w:t>.</w:t>
            </w:r>
          </w:p>
        </w:tc>
      </w:tr>
      <w:tr w:rsidR="00F6327B" w:rsidRPr="00CA1D6F" w14:paraId="289ED97A" w14:textId="77777777" w:rsidTr="00DD3E77">
        <w:tc>
          <w:tcPr>
            <w:tcW w:w="1696" w:type="dxa"/>
          </w:tcPr>
          <w:p w14:paraId="0F44A2ED" w14:textId="77777777" w:rsidR="00F6327B" w:rsidRDefault="00F6327B" w:rsidP="00DD3E77">
            <w:pPr>
              <w:spacing w:before="60" w:after="60" w:line="240" w:lineRule="auto"/>
              <w:jc w:val="center"/>
              <w:rPr>
                <w:sz w:val="18"/>
                <w:szCs w:val="18"/>
              </w:rPr>
            </w:pPr>
            <w:r>
              <w:rPr>
                <w:sz w:val="18"/>
                <w:szCs w:val="18"/>
              </w:rPr>
              <w:t>2 Oct 2025</w:t>
            </w:r>
          </w:p>
        </w:tc>
        <w:tc>
          <w:tcPr>
            <w:tcW w:w="7320" w:type="dxa"/>
          </w:tcPr>
          <w:p w14:paraId="572B0655" w14:textId="5343A3EF" w:rsidR="00F6327B" w:rsidRDefault="00F6327B" w:rsidP="00DD3E77">
            <w:pPr>
              <w:spacing w:before="60" w:after="60" w:line="240" w:lineRule="auto"/>
              <w:rPr>
                <w:sz w:val="18"/>
                <w:szCs w:val="18"/>
              </w:rPr>
            </w:pPr>
            <w:r w:rsidRPr="00BA3E61">
              <w:rPr>
                <w:i/>
                <w:iCs/>
                <w:sz w:val="18"/>
                <w:szCs w:val="18"/>
              </w:rPr>
              <w:t>Due diligence process</w:t>
            </w:r>
            <w:r>
              <w:rPr>
                <w:sz w:val="18"/>
                <w:szCs w:val="18"/>
              </w:rPr>
              <w:t>: NHS GM asks About Health a third round of questions concerning its change in ownership</w:t>
            </w:r>
            <w:r w:rsidR="00E87849">
              <w:rPr>
                <w:sz w:val="18"/>
                <w:szCs w:val="18"/>
              </w:rPr>
              <w:t>.</w:t>
            </w:r>
          </w:p>
        </w:tc>
      </w:tr>
      <w:tr w:rsidR="00F6327B" w:rsidRPr="00CA1D6F" w14:paraId="00319B84" w14:textId="77777777" w:rsidTr="00DD3E77">
        <w:tc>
          <w:tcPr>
            <w:tcW w:w="1696" w:type="dxa"/>
          </w:tcPr>
          <w:p w14:paraId="7109D4B1" w14:textId="77777777" w:rsidR="00F6327B" w:rsidRPr="00CA1D6F" w:rsidRDefault="00F6327B" w:rsidP="00DD3E77">
            <w:pPr>
              <w:spacing w:before="60" w:after="60" w:line="240" w:lineRule="auto"/>
              <w:jc w:val="center"/>
              <w:rPr>
                <w:sz w:val="18"/>
                <w:szCs w:val="18"/>
              </w:rPr>
            </w:pPr>
            <w:r>
              <w:rPr>
                <w:sz w:val="18"/>
                <w:szCs w:val="18"/>
              </w:rPr>
              <w:t>6 Oct 2025</w:t>
            </w:r>
          </w:p>
        </w:tc>
        <w:tc>
          <w:tcPr>
            <w:tcW w:w="7320" w:type="dxa"/>
          </w:tcPr>
          <w:p w14:paraId="21316D0F" w14:textId="22F95BCE" w:rsidR="00F6327B" w:rsidRPr="00CA1D6F" w:rsidRDefault="00F6327B" w:rsidP="00DD3E77">
            <w:pPr>
              <w:spacing w:before="60" w:after="60" w:line="240" w:lineRule="auto"/>
              <w:rPr>
                <w:sz w:val="18"/>
                <w:szCs w:val="18"/>
              </w:rPr>
            </w:pPr>
            <w:r w:rsidRPr="00BA3E61">
              <w:rPr>
                <w:i/>
                <w:iCs/>
                <w:sz w:val="18"/>
                <w:szCs w:val="18"/>
              </w:rPr>
              <w:t>Representations review process</w:t>
            </w:r>
            <w:r>
              <w:rPr>
                <w:sz w:val="18"/>
                <w:szCs w:val="18"/>
              </w:rPr>
              <w:t>: NHS GM’s PSR Representation Panel reviews CHEC’s further representations and again decides they are “not material”</w:t>
            </w:r>
            <w:r w:rsidR="00E87849">
              <w:rPr>
                <w:sz w:val="18"/>
                <w:szCs w:val="18"/>
              </w:rPr>
              <w:t>.</w:t>
            </w:r>
          </w:p>
        </w:tc>
      </w:tr>
      <w:tr w:rsidR="00F6327B" w:rsidRPr="00CA1D6F" w14:paraId="2ACE57C8" w14:textId="77777777" w:rsidTr="00DD3E77">
        <w:tc>
          <w:tcPr>
            <w:tcW w:w="1696" w:type="dxa"/>
          </w:tcPr>
          <w:p w14:paraId="0A27B9E0" w14:textId="77777777" w:rsidR="00F6327B" w:rsidRDefault="00F6327B" w:rsidP="00DD3E77">
            <w:pPr>
              <w:spacing w:before="60" w:after="60" w:line="240" w:lineRule="auto"/>
              <w:jc w:val="center"/>
              <w:rPr>
                <w:sz w:val="18"/>
                <w:szCs w:val="18"/>
              </w:rPr>
            </w:pPr>
            <w:r>
              <w:rPr>
                <w:sz w:val="18"/>
                <w:szCs w:val="18"/>
              </w:rPr>
              <w:t>7 Oct 2025</w:t>
            </w:r>
          </w:p>
        </w:tc>
        <w:tc>
          <w:tcPr>
            <w:tcW w:w="7320" w:type="dxa"/>
          </w:tcPr>
          <w:p w14:paraId="31126C37" w14:textId="77C965E7" w:rsidR="00F6327B" w:rsidRDefault="00F6327B" w:rsidP="00DD3E77">
            <w:pPr>
              <w:spacing w:before="60" w:after="60" w:line="240" w:lineRule="auto"/>
              <w:rPr>
                <w:sz w:val="18"/>
                <w:szCs w:val="18"/>
              </w:rPr>
            </w:pPr>
            <w:r w:rsidRPr="00BA3E61">
              <w:rPr>
                <w:i/>
                <w:iCs/>
                <w:sz w:val="18"/>
                <w:szCs w:val="18"/>
              </w:rPr>
              <w:t>Due diligence process</w:t>
            </w:r>
            <w:r>
              <w:rPr>
                <w:sz w:val="18"/>
                <w:szCs w:val="18"/>
              </w:rPr>
              <w:t>: About Health responds to NHS GM’s third round of questions concerning its change in ownership</w:t>
            </w:r>
            <w:r w:rsidR="00E87849">
              <w:rPr>
                <w:sz w:val="18"/>
                <w:szCs w:val="18"/>
              </w:rPr>
              <w:t>.</w:t>
            </w:r>
          </w:p>
        </w:tc>
      </w:tr>
      <w:tr w:rsidR="00F6327B" w:rsidRPr="00CA1D6F" w14:paraId="37F2CCB3" w14:textId="77777777" w:rsidTr="00DD3E77">
        <w:tc>
          <w:tcPr>
            <w:tcW w:w="1696" w:type="dxa"/>
            <w:tcBorders>
              <w:bottom w:val="single" w:sz="4" w:space="0" w:color="D9D9D9" w:themeColor="background1" w:themeShade="D9"/>
            </w:tcBorders>
          </w:tcPr>
          <w:p w14:paraId="490A6E22" w14:textId="77777777" w:rsidR="00F6327B" w:rsidRDefault="00F6327B" w:rsidP="00DD3E77">
            <w:pPr>
              <w:spacing w:before="60" w:after="60" w:line="240" w:lineRule="auto"/>
              <w:jc w:val="center"/>
              <w:rPr>
                <w:sz w:val="18"/>
                <w:szCs w:val="18"/>
              </w:rPr>
            </w:pPr>
            <w:r>
              <w:rPr>
                <w:sz w:val="18"/>
                <w:szCs w:val="18"/>
              </w:rPr>
              <w:t>9 Oct 2025</w:t>
            </w:r>
          </w:p>
        </w:tc>
        <w:tc>
          <w:tcPr>
            <w:tcW w:w="7320" w:type="dxa"/>
            <w:tcBorders>
              <w:bottom w:val="single" w:sz="4" w:space="0" w:color="D9D9D9" w:themeColor="background1" w:themeShade="D9"/>
            </w:tcBorders>
          </w:tcPr>
          <w:p w14:paraId="302FE1B6" w14:textId="045744DC" w:rsidR="00F6327B" w:rsidRDefault="00F6327B" w:rsidP="00DD3E77">
            <w:pPr>
              <w:spacing w:before="60" w:after="60" w:line="240" w:lineRule="auto"/>
              <w:rPr>
                <w:sz w:val="18"/>
                <w:szCs w:val="18"/>
              </w:rPr>
            </w:pPr>
            <w:r w:rsidRPr="00BA3E61">
              <w:rPr>
                <w:i/>
                <w:iCs/>
                <w:sz w:val="18"/>
                <w:szCs w:val="18"/>
              </w:rPr>
              <w:t>Representations review process</w:t>
            </w:r>
            <w:r>
              <w:rPr>
                <w:sz w:val="18"/>
                <w:szCs w:val="18"/>
              </w:rPr>
              <w:t>: CHEC makes a third request for information about the provider selection process</w:t>
            </w:r>
            <w:r w:rsidR="00E87849">
              <w:rPr>
                <w:sz w:val="18"/>
                <w:szCs w:val="18"/>
              </w:rPr>
              <w:t>.</w:t>
            </w:r>
          </w:p>
        </w:tc>
      </w:tr>
      <w:tr w:rsidR="00F6327B" w:rsidRPr="00CA1D6F" w14:paraId="78C9F862" w14:textId="77777777" w:rsidTr="00DD3E77">
        <w:tc>
          <w:tcPr>
            <w:tcW w:w="1696" w:type="dxa"/>
            <w:tcBorders>
              <w:bottom w:val="single" w:sz="4" w:space="0" w:color="D9D9D9" w:themeColor="background1" w:themeShade="D9"/>
            </w:tcBorders>
          </w:tcPr>
          <w:p w14:paraId="78A3B0BC" w14:textId="77777777" w:rsidR="00F6327B" w:rsidRDefault="00F6327B" w:rsidP="00DD3E77">
            <w:pPr>
              <w:spacing w:before="60" w:after="60" w:line="240" w:lineRule="auto"/>
              <w:jc w:val="center"/>
              <w:rPr>
                <w:sz w:val="18"/>
                <w:szCs w:val="18"/>
              </w:rPr>
            </w:pPr>
            <w:r>
              <w:rPr>
                <w:sz w:val="18"/>
                <w:szCs w:val="18"/>
              </w:rPr>
              <w:t>10 Oct 2025</w:t>
            </w:r>
          </w:p>
        </w:tc>
        <w:tc>
          <w:tcPr>
            <w:tcW w:w="7320" w:type="dxa"/>
            <w:tcBorders>
              <w:bottom w:val="single" w:sz="4" w:space="0" w:color="D9D9D9" w:themeColor="background1" w:themeShade="D9"/>
            </w:tcBorders>
          </w:tcPr>
          <w:p w14:paraId="3AC027F7" w14:textId="4AB75F22" w:rsidR="00F6327B" w:rsidRPr="00BA3E61" w:rsidRDefault="00F6327B" w:rsidP="00DD3E77">
            <w:pPr>
              <w:spacing w:before="60" w:after="60" w:line="240" w:lineRule="auto"/>
              <w:rPr>
                <w:i/>
                <w:iCs/>
                <w:sz w:val="18"/>
                <w:szCs w:val="18"/>
              </w:rPr>
            </w:pPr>
            <w:r w:rsidRPr="00BA3E61">
              <w:rPr>
                <w:i/>
                <w:iCs/>
                <w:sz w:val="18"/>
                <w:szCs w:val="18"/>
              </w:rPr>
              <w:t>Representations review process</w:t>
            </w:r>
            <w:r>
              <w:rPr>
                <w:sz w:val="18"/>
                <w:szCs w:val="18"/>
              </w:rPr>
              <w:t xml:space="preserve">: </w:t>
            </w:r>
            <w:r w:rsidRPr="003775A3">
              <w:rPr>
                <w:sz w:val="18"/>
                <w:szCs w:val="18"/>
              </w:rPr>
              <w:t xml:space="preserve">NHS GM PSR Representation Panel </w:t>
            </w:r>
            <w:r w:rsidR="002F0910" w:rsidRPr="00645756">
              <w:rPr>
                <w:sz w:val="18"/>
                <w:szCs w:val="18"/>
              </w:rPr>
              <w:t>consider</w:t>
            </w:r>
            <w:r w:rsidR="00645756" w:rsidRPr="00645756">
              <w:rPr>
                <w:sz w:val="18"/>
                <w:szCs w:val="18"/>
              </w:rPr>
              <w:t>ed</w:t>
            </w:r>
            <w:r w:rsidR="002F0910" w:rsidRPr="003775A3">
              <w:rPr>
                <w:sz w:val="18"/>
                <w:szCs w:val="18"/>
              </w:rPr>
              <w:t xml:space="preserve"> </w:t>
            </w:r>
            <w:r w:rsidR="003775A3" w:rsidRPr="003775A3">
              <w:rPr>
                <w:sz w:val="18"/>
                <w:szCs w:val="18"/>
              </w:rPr>
              <w:t>CHEC’s informatio</w:t>
            </w:r>
            <w:r w:rsidR="003775A3">
              <w:rPr>
                <w:sz w:val="18"/>
                <w:szCs w:val="18"/>
              </w:rPr>
              <w:t>n request via internal email</w:t>
            </w:r>
            <w:r w:rsidR="00E87849">
              <w:rPr>
                <w:sz w:val="18"/>
                <w:szCs w:val="18"/>
              </w:rPr>
              <w:t>.</w:t>
            </w:r>
          </w:p>
        </w:tc>
      </w:tr>
      <w:tr w:rsidR="00F6327B" w:rsidRPr="00CA1D6F" w14:paraId="56D207D7" w14:textId="77777777" w:rsidTr="00DD3E77">
        <w:tc>
          <w:tcPr>
            <w:tcW w:w="1696" w:type="dxa"/>
            <w:tcBorders>
              <w:bottom w:val="single" w:sz="4" w:space="0" w:color="auto"/>
            </w:tcBorders>
          </w:tcPr>
          <w:p w14:paraId="774AB6A4" w14:textId="77777777" w:rsidR="00F6327B" w:rsidRPr="00CA1D6F" w:rsidRDefault="00F6327B" w:rsidP="00DD3E77">
            <w:pPr>
              <w:spacing w:before="60" w:after="60" w:line="240" w:lineRule="auto"/>
              <w:jc w:val="center"/>
              <w:rPr>
                <w:sz w:val="18"/>
                <w:szCs w:val="18"/>
              </w:rPr>
            </w:pPr>
            <w:r>
              <w:rPr>
                <w:sz w:val="18"/>
                <w:szCs w:val="18"/>
              </w:rPr>
              <w:t>21 Oct 2025</w:t>
            </w:r>
          </w:p>
        </w:tc>
        <w:tc>
          <w:tcPr>
            <w:tcW w:w="7320" w:type="dxa"/>
            <w:tcBorders>
              <w:bottom w:val="single" w:sz="4" w:space="0" w:color="auto"/>
            </w:tcBorders>
          </w:tcPr>
          <w:p w14:paraId="084DB947" w14:textId="237BF307" w:rsidR="00F6327B" w:rsidRDefault="00F6327B" w:rsidP="00DD3E77">
            <w:pPr>
              <w:spacing w:before="60" w:after="60" w:line="240" w:lineRule="auto"/>
              <w:rPr>
                <w:sz w:val="18"/>
                <w:szCs w:val="18"/>
              </w:rPr>
            </w:pPr>
            <w:r>
              <w:rPr>
                <w:sz w:val="18"/>
                <w:szCs w:val="18"/>
              </w:rPr>
              <w:t xml:space="preserve">NHS GM writes to CHEC, responding to its representations (including its internal assessment in relation to CHEC’s second request for information), saying that it will not </w:t>
            </w:r>
            <w:r>
              <w:rPr>
                <w:sz w:val="18"/>
                <w:szCs w:val="18"/>
              </w:rPr>
              <w:lastRenderedPageBreak/>
              <w:t>be providing any further responses to requests for information, and communicating its further decision to proceed with awarding the contract to About Health.</w:t>
            </w:r>
          </w:p>
          <w:p w14:paraId="28C98A79" w14:textId="77777777" w:rsidR="00F6327B" w:rsidRPr="00CA1D6F" w:rsidRDefault="00F6327B" w:rsidP="00DD3E77">
            <w:pPr>
              <w:spacing w:before="60" w:after="60" w:line="240" w:lineRule="auto"/>
              <w:rPr>
                <w:sz w:val="18"/>
                <w:szCs w:val="18"/>
              </w:rPr>
            </w:pPr>
            <w:r>
              <w:rPr>
                <w:sz w:val="18"/>
                <w:szCs w:val="18"/>
              </w:rPr>
              <w:t>NHS GM writes to About Health communicating its further decision to proceed with awarding the contract to About Health following satisfactory completion of the due diligence process with respect to About Health’s change in ownership.</w:t>
            </w:r>
          </w:p>
        </w:tc>
      </w:tr>
    </w:tbl>
    <w:p w14:paraId="5283B2AC" w14:textId="77777777" w:rsidR="00F6327B" w:rsidRPr="00806A15" w:rsidRDefault="00F6327B" w:rsidP="00F6327B">
      <w:pPr>
        <w:spacing w:before="60" w:after="360" w:line="240" w:lineRule="auto"/>
        <w:rPr>
          <w:sz w:val="16"/>
          <w:szCs w:val="16"/>
        </w:rPr>
      </w:pPr>
    </w:p>
    <w:p w14:paraId="2338E0F3" w14:textId="77777777" w:rsidR="000A09C1" w:rsidRDefault="000A09C1" w:rsidP="000A09C1">
      <w:pPr>
        <w:pStyle w:val="ListParagraph"/>
        <w:ind w:left="567" w:hanging="567"/>
      </w:pPr>
      <w:r>
        <w:t>In relation to CHEC’s request for any supplementary notices, reassessment document or internal review records relating to the acquisition of About Health, NHS GM said that “We reserve the right to conduct further due diligence prior to the commencement of any contract as set out in the Bidder Instructions (4.10) provided in the ITT Pack as Appendix 1. This due diligence process will be undertaken in line with the regulations set out above”.</w:t>
      </w:r>
      <w:r>
        <w:rPr>
          <w:rStyle w:val="FootnoteReference"/>
        </w:rPr>
        <w:footnoteReference w:id="43"/>
      </w:r>
    </w:p>
    <w:p w14:paraId="581A9F52" w14:textId="1B2CC9AE" w:rsidR="000A09C1" w:rsidRDefault="000A09C1" w:rsidP="000A09C1">
      <w:pPr>
        <w:pStyle w:val="ListParagraph"/>
        <w:ind w:left="567" w:hanging="567"/>
      </w:pPr>
      <w:r>
        <w:t xml:space="preserve">The Panel notes that NHS GM did not explain that it had started the due diligence exercise with respect to About Health’s change in ownership a month previously (see chronology in Table 3), nor did it provide any </w:t>
      </w:r>
      <w:r w:rsidR="008E7246">
        <w:t>information</w:t>
      </w:r>
      <w:r>
        <w:t xml:space="preserve"> about the due diligence process that was underway. The Panel’s view is that NHS GM could have been considerably more transparent about the due diligence process that it was conducting</w:t>
      </w:r>
      <w:r w:rsidR="00CB3FDC">
        <w:t>,</w:t>
      </w:r>
      <w:r>
        <w:t xml:space="preserve"> as a way of responding to the concerns expressed by CHEC.</w:t>
      </w:r>
    </w:p>
    <w:p w14:paraId="6BD1E471" w14:textId="4B5498DB" w:rsidR="009E2CD9" w:rsidRPr="009E2CD9" w:rsidRDefault="009E2CD9" w:rsidP="009E2CD9">
      <w:pPr>
        <w:keepNext/>
        <w:spacing w:before="240"/>
        <w:ind w:left="567" w:hanging="567"/>
        <w:rPr>
          <w:b/>
          <w:bCs/>
        </w:rPr>
      </w:pPr>
      <w:r>
        <w:rPr>
          <w:b/>
          <w:bCs/>
        </w:rPr>
        <w:t xml:space="preserve">7.2.2 </w:t>
      </w:r>
      <w:r w:rsidR="00E10BA3">
        <w:rPr>
          <w:b/>
          <w:bCs/>
        </w:rPr>
        <w:t xml:space="preserve">CHEC’s further </w:t>
      </w:r>
      <w:r w:rsidR="00272308">
        <w:rPr>
          <w:b/>
          <w:bCs/>
        </w:rPr>
        <w:t xml:space="preserve">representations and </w:t>
      </w:r>
      <w:r>
        <w:rPr>
          <w:b/>
          <w:bCs/>
        </w:rPr>
        <w:t>request</w:t>
      </w:r>
      <w:r w:rsidR="00094BA7">
        <w:rPr>
          <w:b/>
          <w:bCs/>
        </w:rPr>
        <w:t>s</w:t>
      </w:r>
      <w:r>
        <w:rPr>
          <w:b/>
          <w:bCs/>
        </w:rPr>
        <w:t xml:space="preserve"> for information</w:t>
      </w:r>
      <w:r w:rsidR="00E10BA3">
        <w:rPr>
          <w:b/>
          <w:bCs/>
        </w:rPr>
        <w:t xml:space="preserve"> and NHS GM’s response</w:t>
      </w:r>
    </w:p>
    <w:p w14:paraId="7C4F8CEE" w14:textId="29C4371E" w:rsidR="005B35D4" w:rsidRDefault="002E1DBB" w:rsidP="00235B4A">
      <w:pPr>
        <w:pStyle w:val="ListParagraph"/>
        <w:ind w:left="567" w:hanging="567"/>
      </w:pPr>
      <w:r>
        <w:t xml:space="preserve">CHEC, after receiving </w:t>
      </w:r>
      <w:r w:rsidR="00745487">
        <w:t xml:space="preserve">NHS GM’s response to its initial information request, </w:t>
      </w:r>
      <w:r>
        <w:t xml:space="preserve">made further representations </w:t>
      </w:r>
      <w:r w:rsidR="00AE0077">
        <w:t>to NHS GM on 25 September 2025.</w:t>
      </w:r>
    </w:p>
    <w:p w14:paraId="0D1237AD" w14:textId="50F57369" w:rsidR="00D9063E" w:rsidRDefault="00AE0077" w:rsidP="00B0164B">
      <w:pPr>
        <w:pStyle w:val="ListParagraph"/>
        <w:ind w:left="567" w:hanging="567"/>
        <w:contextualSpacing/>
      </w:pPr>
      <w:r>
        <w:t xml:space="preserve">As part of these further representations, CHEC </w:t>
      </w:r>
      <w:r w:rsidR="00077004">
        <w:t xml:space="preserve">asked </w:t>
      </w:r>
      <w:r w:rsidR="00060DA6">
        <w:t xml:space="preserve">several questions </w:t>
      </w:r>
      <w:r w:rsidR="001D49AE">
        <w:t xml:space="preserve">that amounted to a </w:t>
      </w:r>
      <w:r w:rsidR="00E843A7">
        <w:t xml:space="preserve">further </w:t>
      </w:r>
      <w:r w:rsidR="001D49AE">
        <w:t xml:space="preserve">request </w:t>
      </w:r>
      <w:r w:rsidR="00077004">
        <w:t xml:space="preserve">for </w:t>
      </w:r>
      <w:r w:rsidR="00235B4A">
        <w:t xml:space="preserve">information. In particular, CHEC </w:t>
      </w:r>
      <w:r w:rsidR="00F24F71" w:rsidRPr="0026615A">
        <w:t xml:space="preserve">asked </w:t>
      </w:r>
      <w:r w:rsidR="00D9063E">
        <w:t>NHS GM:</w:t>
      </w:r>
    </w:p>
    <w:p w14:paraId="0EEE93E9" w14:textId="6A07F2C5" w:rsidR="00D9063E" w:rsidRPr="004E1E48" w:rsidRDefault="00D9063E" w:rsidP="00D9063E">
      <w:pPr>
        <w:pStyle w:val="ListParagraph"/>
        <w:numPr>
          <w:ilvl w:val="0"/>
          <w:numId w:val="26"/>
        </w:numPr>
        <w:ind w:left="1281" w:hanging="357"/>
        <w:contextualSpacing/>
      </w:pPr>
      <w:r w:rsidRPr="004E1E48">
        <w:rPr>
          <w:rStyle w:val="normaltextrun"/>
          <w:rFonts w:cs="Arial"/>
        </w:rPr>
        <w:t>“What support was provided by the previous owner during bid preparation</w:t>
      </w:r>
      <w:r w:rsidR="00157350" w:rsidRPr="004E1E48">
        <w:rPr>
          <w:rStyle w:val="normaltextrun"/>
          <w:rFonts w:cs="Arial"/>
        </w:rPr>
        <w:t>?</w:t>
      </w:r>
    </w:p>
    <w:p w14:paraId="71ACFDA0" w14:textId="07A7057A" w:rsidR="00D9063E" w:rsidRPr="004E1E48" w:rsidRDefault="00D9063E" w:rsidP="00D9063E">
      <w:pPr>
        <w:pStyle w:val="ListParagraph"/>
        <w:numPr>
          <w:ilvl w:val="0"/>
          <w:numId w:val="26"/>
        </w:numPr>
        <w:ind w:left="1281" w:hanging="357"/>
        <w:contextualSpacing/>
        <w:rPr>
          <w:rStyle w:val="eop"/>
        </w:rPr>
      </w:pPr>
      <w:r w:rsidRPr="004E1E48">
        <w:rPr>
          <w:rStyle w:val="normaltextrun"/>
          <w:rFonts w:cs="Arial"/>
        </w:rPr>
        <w:t>“Whether any ESG, infrastructure (including but not limited IMT [Information Management and Technology], staffing and clinical governance) or corporate governance commitments were contingent on that prior relationship</w:t>
      </w:r>
      <w:r w:rsidR="00157350" w:rsidRPr="004E1E48">
        <w:rPr>
          <w:rStyle w:val="normaltextrun"/>
          <w:rFonts w:cs="Arial"/>
        </w:rPr>
        <w:t>?</w:t>
      </w:r>
    </w:p>
    <w:p w14:paraId="148AD4DE" w14:textId="18325A6D" w:rsidR="00D9063E" w:rsidRPr="004E1E48" w:rsidRDefault="00D9063E" w:rsidP="00D9063E">
      <w:pPr>
        <w:pStyle w:val="ListParagraph"/>
        <w:numPr>
          <w:ilvl w:val="0"/>
          <w:numId w:val="26"/>
        </w:numPr>
        <w:ind w:left="1281" w:hanging="357"/>
        <w:contextualSpacing/>
      </w:pPr>
      <w:r w:rsidRPr="004E1E48">
        <w:t>“What due diligence has been undertaken regarding AHL’s current ownership, financial standing, and operational capacity?</w:t>
      </w:r>
    </w:p>
    <w:p w14:paraId="2D15184C" w14:textId="169911D1" w:rsidR="00D9063E" w:rsidRPr="004E1E48" w:rsidRDefault="00D9063E" w:rsidP="00D9063E">
      <w:pPr>
        <w:pStyle w:val="ListParagraph"/>
        <w:numPr>
          <w:ilvl w:val="0"/>
          <w:numId w:val="26"/>
        </w:numPr>
        <w:ind w:left="1281" w:hanging="357"/>
        <w:contextualSpacing/>
      </w:pPr>
      <w:r w:rsidRPr="004E1E48">
        <w:t>“To what extent did AHL rely on Totally PLC systems or shared infrastructure?</w:t>
      </w:r>
    </w:p>
    <w:p w14:paraId="1D51F8AC" w14:textId="5AF6B279" w:rsidR="00D9063E" w:rsidRPr="004E1E48" w:rsidRDefault="00157350" w:rsidP="00157350">
      <w:pPr>
        <w:pStyle w:val="ListParagraph"/>
        <w:numPr>
          <w:ilvl w:val="0"/>
          <w:numId w:val="26"/>
        </w:numPr>
        <w:ind w:left="1281" w:hanging="357"/>
      </w:pPr>
      <w:r w:rsidRPr="004E1E48">
        <w:t>“Are other Totally PLC entities (e.g., OMNES) as part of the wider group providing staffing or clinical support (directly or indirectly), whether as subcontractors or otherwise, and has this been disclosed as part of the bid?”</w:t>
      </w:r>
      <w:r w:rsidR="009E3454" w:rsidRPr="004E1E48">
        <w:rPr>
          <w:rStyle w:val="FootnoteReference"/>
        </w:rPr>
        <w:footnoteReference w:id="44"/>
      </w:r>
    </w:p>
    <w:p w14:paraId="12E1149C" w14:textId="5084011D" w:rsidR="0020747A" w:rsidRDefault="005F69A4" w:rsidP="005F69A4">
      <w:pPr>
        <w:pStyle w:val="ListParagraph"/>
        <w:ind w:left="567" w:hanging="567"/>
      </w:pPr>
      <w:bookmarkStart w:id="39" w:name="_Ref219462118"/>
      <w:r>
        <w:t xml:space="preserve">NHS GM considered CHEC’s initial and further representations at a meeting of its PSR Representation Panel on 6 October 2025. </w:t>
      </w:r>
      <w:r w:rsidR="00F83091">
        <w:t xml:space="preserve">The minutes of this meeting </w:t>
      </w:r>
      <w:r w:rsidR="00E667BC">
        <w:t xml:space="preserve">record the PSR Representation Panel’s decision on CHEC’s representations in </w:t>
      </w:r>
      <w:r w:rsidR="009B5F25">
        <w:t>the same</w:t>
      </w:r>
      <w:r w:rsidR="00E667BC">
        <w:t xml:space="preserve"> terms </w:t>
      </w:r>
      <w:r w:rsidR="009B5F25">
        <w:t>as</w:t>
      </w:r>
      <w:r w:rsidR="00357A6A">
        <w:t xml:space="preserve"> </w:t>
      </w:r>
      <w:r w:rsidR="009C21E8">
        <w:t>its</w:t>
      </w:r>
      <w:r w:rsidR="00357A6A">
        <w:t xml:space="preserve"> </w:t>
      </w:r>
      <w:r w:rsidR="007375E5">
        <w:t xml:space="preserve">earlier decision </w:t>
      </w:r>
      <w:r w:rsidR="00FB6A98">
        <w:t>on 15 September (see paragraph</w:t>
      </w:r>
      <w:r w:rsidR="004D57FC">
        <w:t xml:space="preserve"> 87</w:t>
      </w:r>
      <w:r w:rsidR="00FB6A98">
        <w:t>).</w:t>
      </w:r>
      <w:r w:rsidR="00FB6A98">
        <w:rPr>
          <w:rStyle w:val="FootnoteReference"/>
        </w:rPr>
        <w:footnoteReference w:id="45"/>
      </w:r>
    </w:p>
    <w:p w14:paraId="6467C1A3" w14:textId="4EFB6AB7" w:rsidR="00F83091" w:rsidRDefault="0061412D" w:rsidP="005F69A4">
      <w:pPr>
        <w:pStyle w:val="ListParagraph"/>
        <w:ind w:left="567" w:hanging="567"/>
      </w:pPr>
      <w:r w:rsidRPr="0061412D">
        <w:t xml:space="preserve">The </w:t>
      </w:r>
      <w:r w:rsidR="00691042">
        <w:t>m</w:t>
      </w:r>
      <w:r w:rsidRPr="0061412D">
        <w:t xml:space="preserve">inutes refer to appendices </w:t>
      </w:r>
      <w:r w:rsidR="00460E06">
        <w:t>which contain</w:t>
      </w:r>
      <w:r w:rsidR="002734B6">
        <w:t>: (i)</w:t>
      </w:r>
      <w:r w:rsidR="00460E06">
        <w:t xml:space="preserve"> </w:t>
      </w:r>
      <w:r w:rsidRPr="0061412D">
        <w:t xml:space="preserve">detailed notes </w:t>
      </w:r>
      <w:r w:rsidR="00460E06">
        <w:t xml:space="preserve">of </w:t>
      </w:r>
      <w:r w:rsidRPr="0061412D">
        <w:t>the meeting</w:t>
      </w:r>
      <w:r w:rsidR="002734B6">
        <w:t xml:space="preserve">; and (ii) </w:t>
      </w:r>
      <w:r w:rsidRPr="0061412D">
        <w:t xml:space="preserve">notes </w:t>
      </w:r>
      <w:r w:rsidR="00B00B50">
        <w:t xml:space="preserve">from a </w:t>
      </w:r>
      <w:r w:rsidRPr="0061412D">
        <w:t xml:space="preserve">member of the </w:t>
      </w:r>
      <w:r w:rsidR="00B00B50">
        <w:t>PSR Representation P</w:t>
      </w:r>
      <w:r w:rsidRPr="0061412D">
        <w:t>anel who was unable to attend the meeting</w:t>
      </w:r>
      <w:r w:rsidR="00534BF6">
        <w:t xml:space="preserve"> (and which were </w:t>
      </w:r>
      <w:r w:rsidR="00DF0AFD">
        <w:t xml:space="preserve">prepared </w:t>
      </w:r>
      <w:r w:rsidR="00534BF6">
        <w:t xml:space="preserve">prior to </w:t>
      </w:r>
      <w:r w:rsidR="00DF0AFD">
        <w:t>PSR Representation Panel</w:t>
      </w:r>
      <w:r w:rsidR="00534BF6">
        <w:t xml:space="preserve"> meeting)</w:t>
      </w:r>
      <w:r w:rsidRPr="0061412D">
        <w:t xml:space="preserve">. </w:t>
      </w:r>
      <w:r w:rsidR="00DD0E02">
        <w:lastRenderedPageBreak/>
        <w:t>T</w:t>
      </w:r>
      <w:r w:rsidR="002C4EC5">
        <w:t xml:space="preserve">hese notes </w:t>
      </w:r>
      <w:r w:rsidR="000F1F84">
        <w:t xml:space="preserve">reflect a view </w:t>
      </w:r>
      <w:r w:rsidRPr="0061412D">
        <w:t xml:space="preserve">that the due diligence </w:t>
      </w:r>
      <w:r w:rsidR="000F1F84">
        <w:t>exercise</w:t>
      </w:r>
      <w:r w:rsidRPr="0061412D">
        <w:t xml:space="preserve"> would address any outstanding concerns before contract award, indicating that </w:t>
      </w:r>
      <w:r w:rsidR="00DD0E02">
        <w:t xml:space="preserve">NHS GM’s </w:t>
      </w:r>
      <w:r w:rsidRPr="0061412D">
        <w:t xml:space="preserve">review of CHEC's representations did not take </w:t>
      </w:r>
      <w:r w:rsidR="007B0955">
        <w:t xml:space="preserve">account of </w:t>
      </w:r>
      <w:r w:rsidRPr="0061412D">
        <w:t>any information gained from the due diligence process that was by then underway.</w:t>
      </w:r>
    </w:p>
    <w:p w14:paraId="13261343" w14:textId="3BB56965" w:rsidR="008C3610" w:rsidRDefault="008C3610" w:rsidP="00D0517D">
      <w:pPr>
        <w:pStyle w:val="ListParagraph"/>
        <w:spacing w:after="0"/>
        <w:ind w:left="567" w:hanging="567"/>
      </w:pPr>
      <w:bookmarkStart w:id="40" w:name="_Ref219819022"/>
      <w:bookmarkEnd w:id="39"/>
      <w:r>
        <w:t xml:space="preserve">Before </w:t>
      </w:r>
      <w:r w:rsidR="00A80A78">
        <w:t>NHS GM communicate</w:t>
      </w:r>
      <w:r w:rsidR="558ECA39">
        <w:t>d</w:t>
      </w:r>
      <w:r w:rsidR="00A80A78">
        <w:t xml:space="preserve"> the outcome of this meeting to CHEC, </w:t>
      </w:r>
      <w:r>
        <w:t xml:space="preserve">CHEC </w:t>
      </w:r>
      <w:r w:rsidR="00310450">
        <w:t xml:space="preserve">wrote again </w:t>
      </w:r>
      <w:r w:rsidR="004C7CBB">
        <w:t>on 9</w:t>
      </w:r>
      <w:r w:rsidR="00D4748E">
        <w:t> </w:t>
      </w:r>
      <w:r w:rsidR="004C7CBB">
        <w:t>October 2025</w:t>
      </w:r>
      <w:r w:rsidR="00212605">
        <w:t xml:space="preserve">. This final </w:t>
      </w:r>
      <w:r w:rsidR="00310450">
        <w:t xml:space="preserve">letter set out an </w:t>
      </w:r>
      <w:r w:rsidR="00212605">
        <w:t xml:space="preserve">information request </w:t>
      </w:r>
      <w:r w:rsidR="00D4748E">
        <w:t>more closely aligned to the recordkeeping requirements of Regulation 24</w:t>
      </w:r>
      <w:r w:rsidR="00C836D7">
        <w:t xml:space="preserve">. It </w:t>
      </w:r>
      <w:r w:rsidR="00D0517D">
        <w:t>ask</w:t>
      </w:r>
      <w:r w:rsidR="00C836D7">
        <w:t xml:space="preserve">ed </w:t>
      </w:r>
      <w:r w:rsidR="00D0517D">
        <w:t>for:</w:t>
      </w:r>
      <w:bookmarkEnd w:id="40"/>
    </w:p>
    <w:p w14:paraId="424C5B53" w14:textId="77777777" w:rsidR="00D0517D" w:rsidRPr="00020477" w:rsidRDefault="00D0517D" w:rsidP="00D0517D">
      <w:pPr>
        <w:pStyle w:val="ListParagraph"/>
        <w:numPr>
          <w:ilvl w:val="0"/>
          <w:numId w:val="26"/>
        </w:numPr>
        <w:spacing w:before="60" w:after="60"/>
        <w:ind w:left="1282" w:hanging="505"/>
        <w:contextualSpacing/>
      </w:pPr>
      <w:r>
        <w:t>“</w:t>
      </w:r>
      <w:r w:rsidRPr="00020477">
        <w:t>Details of all individuals involved in the marking and evaluation or other decisions with respect to this Procurement;</w:t>
      </w:r>
    </w:p>
    <w:p w14:paraId="06585566" w14:textId="77777777" w:rsidR="00D0517D" w:rsidRPr="00020477" w:rsidRDefault="00D0517D" w:rsidP="00D0517D">
      <w:pPr>
        <w:pStyle w:val="ListParagraph"/>
        <w:numPr>
          <w:ilvl w:val="0"/>
          <w:numId w:val="26"/>
        </w:numPr>
        <w:spacing w:before="60" w:after="60"/>
        <w:ind w:left="1282" w:hanging="505"/>
        <w:contextualSpacing/>
      </w:pPr>
      <w:r>
        <w:t>“</w:t>
      </w:r>
      <w:r w:rsidRPr="00020477">
        <w:t>Copies of all contemporaneous notes/records for each evaluator;</w:t>
      </w:r>
    </w:p>
    <w:p w14:paraId="05D0E028" w14:textId="77777777" w:rsidR="00D0517D" w:rsidRPr="00020477" w:rsidRDefault="00D0517D" w:rsidP="00D0517D">
      <w:pPr>
        <w:pStyle w:val="ListParagraph"/>
        <w:numPr>
          <w:ilvl w:val="0"/>
          <w:numId w:val="26"/>
        </w:numPr>
        <w:spacing w:before="60" w:after="60"/>
        <w:ind w:left="1282" w:hanging="505"/>
        <w:contextualSpacing/>
      </w:pPr>
      <w:r>
        <w:t>“</w:t>
      </w:r>
      <w:r w:rsidRPr="00020477">
        <w:t>Minutes and records of any moderation meetings at which the evaluation of CHEC and About Health Limited was discussed and/or concluded;</w:t>
      </w:r>
    </w:p>
    <w:p w14:paraId="3934178D" w14:textId="77777777" w:rsidR="00D0517D" w:rsidRPr="00020477" w:rsidRDefault="00D0517D" w:rsidP="00D0517D">
      <w:pPr>
        <w:pStyle w:val="ListParagraph"/>
        <w:numPr>
          <w:ilvl w:val="0"/>
          <w:numId w:val="26"/>
        </w:numPr>
        <w:spacing w:before="60" w:after="60"/>
        <w:ind w:left="1282" w:hanging="505"/>
        <w:contextualSpacing/>
      </w:pPr>
      <w:r>
        <w:t>“</w:t>
      </w:r>
      <w:r w:rsidRPr="00020477">
        <w:t>Copies of any guidance issues to evaluators with respect to the evaluation of bids;</w:t>
      </w:r>
    </w:p>
    <w:p w14:paraId="1E785ED5" w14:textId="77777777" w:rsidR="00D0517D" w:rsidRPr="00020477" w:rsidRDefault="00D0517D" w:rsidP="00D0517D">
      <w:pPr>
        <w:pStyle w:val="ListParagraph"/>
        <w:numPr>
          <w:ilvl w:val="0"/>
          <w:numId w:val="26"/>
        </w:numPr>
        <w:spacing w:before="60" w:after="60"/>
        <w:ind w:left="1282" w:hanging="505"/>
        <w:contextualSpacing/>
      </w:pPr>
      <w:r>
        <w:t>“</w:t>
      </w:r>
      <w:r w:rsidRPr="00020477">
        <w:t>What financial advice was sought in relation to the evaluation of Section 5 of About Health</w:t>
      </w:r>
      <w:r>
        <w:t xml:space="preserve"> </w:t>
      </w:r>
      <w:r w:rsidRPr="00020477">
        <w:t>Limited’s Basic Selection Criteria Questionnaire.</w:t>
      </w:r>
    </w:p>
    <w:p w14:paraId="0ADAC65B" w14:textId="77777777" w:rsidR="00D0517D" w:rsidRPr="00020477" w:rsidRDefault="00D0517D" w:rsidP="00D0517D">
      <w:pPr>
        <w:pStyle w:val="ListParagraph"/>
        <w:numPr>
          <w:ilvl w:val="0"/>
          <w:numId w:val="26"/>
        </w:numPr>
        <w:spacing w:before="60" w:after="60"/>
        <w:ind w:left="1282" w:hanging="505"/>
        <w:contextualSpacing/>
      </w:pPr>
      <w:r>
        <w:t>“</w:t>
      </w:r>
      <w:r w:rsidRPr="00020477">
        <w:t>All information and documents setting out how the key criteria (as defined in the PSR) and</w:t>
      </w:r>
      <w:r>
        <w:t xml:space="preserve"> </w:t>
      </w:r>
      <w:r w:rsidRPr="00020477">
        <w:t>other evaluation criteria applied as part of the Procurement were</w:t>
      </w:r>
      <w:r>
        <w:t xml:space="preserve"> </w:t>
      </w:r>
      <w:proofErr w:type="gramStart"/>
      <w:r w:rsidRPr="00020477">
        <w:t>taken into account</w:t>
      </w:r>
      <w:proofErr w:type="gramEnd"/>
      <w:r>
        <w:t xml:space="preserve"> </w:t>
      </w:r>
      <w:r w:rsidRPr="00020477">
        <w:t>when making the ICB’s decision;</w:t>
      </w:r>
    </w:p>
    <w:p w14:paraId="05F854A6" w14:textId="77777777" w:rsidR="00D0517D" w:rsidRPr="00020477" w:rsidRDefault="00D0517D" w:rsidP="00D0517D">
      <w:pPr>
        <w:pStyle w:val="ListParagraph"/>
        <w:numPr>
          <w:ilvl w:val="0"/>
          <w:numId w:val="26"/>
        </w:numPr>
        <w:spacing w:before="60" w:after="60"/>
        <w:ind w:left="1282" w:hanging="505"/>
        <w:contextualSpacing/>
      </w:pPr>
      <w:r>
        <w:t>“</w:t>
      </w:r>
      <w:r w:rsidRPr="00020477">
        <w:t>All information and documents setting out reasons for decisions under the PSR, including minutes and reports prepared by the ICB;</w:t>
      </w:r>
    </w:p>
    <w:p w14:paraId="22D411A3" w14:textId="77777777" w:rsidR="00D0517D" w:rsidRPr="00020477" w:rsidRDefault="00D0517D" w:rsidP="00D0517D">
      <w:pPr>
        <w:pStyle w:val="ListParagraph"/>
        <w:numPr>
          <w:ilvl w:val="0"/>
          <w:numId w:val="26"/>
        </w:numPr>
        <w:spacing w:before="60" w:after="60"/>
        <w:ind w:left="1282" w:hanging="505"/>
        <w:contextualSpacing/>
      </w:pPr>
      <w:r>
        <w:t>“</w:t>
      </w:r>
      <w:r w:rsidRPr="00020477">
        <w:t>Details of any declared conflicts or potential conflicts of interest;</w:t>
      </w:r>
    </w:p>
    <w:p w14:paraId="3CB56FEF" w14:textId="77777777" w:rsidR="00D0517D" w:rsidRPr="00020477" w:rsidRDefault="00D0517D" w:rsidP="00D0517D">
      <w:pPr>
        <w:pStyle w:val="ListParagraph"/>
        <w:numPr>
          <w:ilvl w:val="0"/>
          <w:numId w:val="26"/>
        </w:numPr>
        <w:spacing w:before="60" w:after="60"/>
        <w:ind w:left="1282" w:hanging="505"/>
        <w:contextualSpacing/>
      </w:pPr>
      <w:r>
        <w:t>“</w:t>
      </w:r>
      <w:r w:rsidRPr="00020477">
        <w:t>Details of how any conflicts or potential conflicts of interest were managed for each decision;</w:t>
      </w:r>
    </w:p>
    <w:p w14:paraId="1793F5E0" w14:textId="77777777" w:rsidR="00D0517D" w:rsidRPr="00067B88" w:rsidRDefault="00D0517D" w:rsidP="00D0517D">
      <w:pPr>
        <w:pStyle w:val="ListParagraph"/>
        <w:numPr>
          <w:ilvl w:val="0"/>
          <w:numId w:val="26"/>
        </w:numPr>
        <w:ind w:left="1282" w:hanging="505"/>
      </w:pPr>
      <w:r>
        <w:t>“</w:t>
      </w:r>
      <w:r w:rsidRPr="00067B88">
        <w:t>Confirmation that About Health was not</w:t>
      </w:r>
      <w:r>
        <w:t xml:space="preserve"> </w:t>
      </w:r>
      <w:r w:rsidRPr="00067B88">
        <w:t>permitted</w:t>
      </w:r>
      <w:r>
        <w:t xml:space="preserve"> </w:t>
      </w:r>
      <w:r w:rsidRPr="00067B88">
        <w:t>to</w:t>
      </w:r>
      <w:r>
        <w:t xml:space="preserve"> </w:t>
      </w:r>
      <w:r w:rsidRPr="00067B88">
        <w:t>submit</w:t>
      </w:r>
      <w:r>
        <w:t xml:space="preserve"> </w:t>
      </w:r>
      <w:r w:rsidRPr="00067B88">
        <w:t>any further documents or a revised bid after the submission deadline and before the ICB’s letter of 12 August 2025.</w:t>
      </w:r>
      <w:r>
        <w:t>”</w:t>
      </w:r>
      <w:r>
        <w:rPr>
          <w:rStyle w:val="FootnoteReference"/>
        </w:rPr>
        <w:footnoteReference w:id="46"/>
      </w:r>
    </w:p>
    <w:p w14:paraId="68EDF940" w14:textId="6097761F" w:rsidR="000B6E08" w:rsidRDefault="006C3B75" w:rsidP="00B06D9A">
      <w:pPr>
        <w:pStyle w:val="ListParagraph"/>
        <w:spacing w:after="120"/>
        <w:ind w:left="567" w:hanging="567"/>
      </w:pPr>
      <w:r>
        <w:t xml:space="preserve">NHS GM’s PSR Representation Panel </w:t>
      </w:r>
      <w:r w:rsidR="2D22899B">
        <w:t xml:space="preserve">considered </w:t>
      </w:r>
      <w:r w:rsidR="00905472">
        <w:t>its</w:t>
      </w:r>
      <w:r w:rsidR="00A30703">
        <w:t xml:space="preserve"> response </w:t>
      </w:r>
      <w:r w:rsidR="00905472">
        <w:t xml:space="preserve">to </w:t>
      </w:r>
      <w:r w:rsidR="00A30703">
        <w:t>CHEC’s 9 October 2025 letter by email</w:t>
      </w:r>
      <w:r w:rsidR="00976FB7">
        <w:t xml:space="preserve"> on 10 October</w:t>
      </w:r>
      <w:r w:rsidR="0085561E">
        <w:t xml:space="preserve">. NHS GM then wrote to CHEC on 21 October setting out its response to </w:t>
      </w:r>
      <w:r w:rsidR="00C316F2">
        <w:t xml:space="preserve">CHEC’s </w:t>
      </w:r>
      <w:r w:rsidR="00D4126E">
        <w:t>letters of 18 August, 25 September and 9 October</w:t>
      </w:r>
      <w:r w:rsidR="00B9680E">
        <w:t>.</w:t>
      </w:r>
      <w:r w:rsidR="00DC6F84">
        <w:t xml:space="preserve"> In responding to CHEC’s representations</w:t>
      </w:r>
      <w:r w:rsidR="00057574">
        <w:t xml:space="preserve"> of 18 August and 25 September</w:t>
      </w:r>
      <w:r w:rsidR="00DC6F84">
        <w:t xml:space="preserve">, NHS GM </w:t>
      </w:r>
      <w:r w:rsidR="004A42C9">
        <w:t>respon</w:t>
      </w:r>
      <w:r w:rsidR="00D729A9">
        <w:t>d</w:t>
      </w:r>
      <w:r w:rsidR="004A42C9">
        <w:t>e</w:t>
      </w:r>
      <w:r w:rsidR="00D729A9">
        <w:t>d</w:t>
      </w:r>
      <w:r w:rsidR="004A42C9">
        <w:t xml:space="preserve"> to </w:t>
      </w:r>
      <w:r w:rsidR="00D729A9">
        <w:t xml:space="preserve">eight </w:t>
      </w:r>
      <w:r w:rsidR="00A22DFC">
        <w:t>matters raised by CHEC and in each case used substantially the same form of words</w:t>
      </w:r>
      <w:r w:rsidR="008B5EE3">
        <w:t>, set out below:</w:t>
      </w:r>
    </w:p>
    <w:p w14:paraId="25073F32" w14:textId="4FE06DB2" w:rsidR="00B06D9A" w:rsidRPr="00B06D9A" w:rsidRDefault="00B06D9A" w:rsidP="00B06D9A">
      <w:pPr>
        <w:spacing w:after="120" w:line="259" w:lineRule="auto"/>
        <w:ind w:left="851"/>
        <w:rPr>
          <w:sz w:val="21"/>
          <w:szCs w:val="21"/>
        </w:rPr>
      </w:pPr>
      <w:r>
        <w:rPr>
          <w:sz w:val="21"/>
          <w:szCs w:val="21"/>
        </w:rPr>
        <w:t>“</w:t>
      </w:r>
      <w:r w:rsidRPr="00B06D9A">
        <w:rPr>
          <w:sz w:val="21"/>
          <w:szCs w:val="21"/>
        </w:rPr>
        <w:t>The PSR Representation Panel reviewed the responses submitted by About Health Ltd in its bid and identified any references to, or reliance on, About Health Ltd’s parent company, Totally Plc. The PSR Representation Panel considered whether questions were evaluated or ‘for information only’ and the contemporaneous evaluation records, to determine whether any reference to or reliance on Totally Plc was material to the scores awarded. The PSR Representation Panel also considered a Dun &amp; Bradstreet report which was run against About Health Ltd during the original evaluation process. The PSR Representation Panel noted that at the point that About Health Ltd submitted its bid, and at the point of the evaluation that resulted in contract award, Totally Plc was About Health Ltd’s parent company and reference to Totally Plc would be in no way inappropriate.</w:t>
      </w:r>
    </w:p>
    <w:p w14:paraId="5FBAD4D1" w14:textId="5C572A98" w:rsidR="00B06D9A" w:rsidRPr="00B06D9A" w:rsidRDefault="00B06D9A" w:rsidP="00B06D9A">
      <w:pPr>
        <w:spacing w:after="120" w:line="259" w:lineRule="auto"/>
        <w:ind w:left="851"/>
        <w:rPr>
          <w:sz w:val="21"/>
          <w:szCs w:val="21"/>
        </w:rPr>
      </w:pPr>
      <w:r>
        <w:rPr>
          <w:sz w:val="21"/>
          <w:szCs w:val="21"/>
        </w:rPr>
        <w:lastRenderedPageBreak/>
        <w:t>“</w:t>
      </w:r>
      <w:r w:rsidRPr="00B06D9A">
        <w:rPr>
          <w:sz w:val="21"/>
          <w:szCs w:val="21"/>
        </w:rPr>
        <w:t>The PSR Representation Panel determined that the assessment of About Health Ltd’s economic and financial standing was undertaken in line with the procurement process outlined in the ITT published to all bidders. This assessment was carried out against About Health Ltd alone and About Health Ltd’s parent company, Totally Plc, was not material to this assessment.</w:t>
      </w:r>
    </w:p>
    <w:p w14:paraId="4CE342D7" w14:textId="1709FE2F" w:rsidR="00B06D9A" w:rsidRPr="00B06D9A" w:rsidRDefault="00B06D9A" w:rsidP="00B06D9A">
      <w:pPr>
        <w:spacing w:after="120" w:line="259" w:lineRule="auto"/>
        <w:ind w:left="851"/>
        <w:rPr>
          <w:sz w:val="21"/>
          <w:szCs w:val="21"/>
        </w:rPr>
      </w:pPr>
      <w:r>
        <w:rPr>
          <w:sz w:val="21"/>
          <w:szCs w:val="21"/>
        </w:rPr>
        <w:t>“</w:t>
      </w:r>
      <w:r w:rsidRPr="00B06D9A">
        <w:rPr>
          <w:sz w:val="21"/>
          <w:szCs w:val="21"/>
        </w:rPr>
        <w:t>The PSR Representation Panel determined that other aspects of the evaluation were carried out by reference to About Health Ltd’s responses, applying the contract award criteria published to bidders in the ITT. The PSR Representation Panel identified no references to, or reliance upon, Totally Plc in About Health Ltd’s bid that were material to the scores awarded and could not be addressed as part of the due diligence process to ensure that the service would be delivered in accordance with the bid.</w:t>
      </w:r>
    </w:p>
    <w:p w14:paraId="0FFCCC0E" w14:textId="7569194D" w:rsidR="00B06D9A" w:rsidRPr="00B06D9A" w:rsidRDefault="00B06D9A" w:rsidP="00B06D9A">
      <w:pPr>
        <w:spacing w:after="120" w:line="259" w:lineRule="auto"/>
        <w:ind w:left="851"/>
        <w:rPr>
          <w:sz w:val="21"/>
          <w:szCs w:val="21"/>
        </w:rPr>
      </w:pPr>
      <w:r>
        <w:rPr>
          <w:sz w:val="21"/>
          <w:szCs w:val="21"/>
        </w:rPr>
        <w:t>“</w:t>
      </w:r>
      <w:r w:rsidRPr="00B06D9A">
        <w:rPr>
          <w:sz w:val="21"/>
          <w:szCs w:val="21"/>
        </w:rPr>
        <w:t>The PSR Representation Panel therefore concluded that there is no reason to reevaluate About Health Ltd’s bid response.</w:t>
      </w:r>
    </w:p>
    <w:p w14:paraId="054D34B7" w14:textId="60F36A34" w:rsidR="00B06D9A" w:rsidRPr="00B06D9A" w:rsidRDefault="00B06D9A" w:rsidP="00B06D9A">
      <w:pPr>
        <w:spacing w:line="259" w:lineRule="auto"/>
        <w:ind w:left="851"/>
        <w:rPr>
          <w:sz w:val="21"/>
          <w:szCs w:val="21"/>
        </w:rPr>
      </w:pPr>
      <w:r>
        <w:rPr>
          <w:sz w:val="21"/>
          <w:szCs w:val="21"/>
        </w:rPr>
        <w:t>“</w:t>
      </w:r>
      <w:r w:rsidRPr="00B06D9A">
        <w:rPr>
          <w:sz w:val="21"/>
          <w:szCs w:val="21"/>
        </w:rPr>
        <w:t>The ICB’s due diligence process, which is being carried out to seek the necessary reassurances in regard to About Health Ltd’s bid response and overall ability to deliver the requirements of the ICB in accordance with the ITT, is ongoing.</w:t>
      </w:r>
      <w:r>
        <w:rPr>
          <w:sz w:val="21"/>
          <w:szCs w:val="21"/>
        </w:rPr>
        <w:t>”</w:t>
      </w:r>
      <w:r w:rsidR="00B93BD5" w:rsidRPr="001C65C9">
        <w:rPr>
          <w:rStyle w:val="FootnoteReference"/>
          <w:sz w:val="21"/>
          <w:szCs w:val="21"/>
        </w:rPr>
        <w:footnoteReference w:id="47"/>
      </w:r>
    </w:p>
    <w:p w14:paraId="4468243C" w14:textId="0978642B" w:rsidR="008C42C4" w:rsidRDefault="00945140" w:rsidP="008C42C4">
      <w:pPr>
        <w:pStyle w:val="ListParagraph"/>
        <w:ind w:left="567" w:hanging="567"/>
      </w:pPr>
      <w:bookmarkStart w:id="41" w:name="_Ref220439803"/>
      <w:bookmarkStart w:id="42" w:name="_Ref219819054"/>
      <w:r>
        <w:t xml:space="preserve">NHS GM concluded that </w:t>
      </w:r>
      <w:r w:rsidR="004131B6">
        <w:t xml:space="preserve">“the representations received do not identify that the process has not been correctly followed or bring to light any information which has a bearing on the decision reached that has not already been addressed, or will be addressed, </w:t>
      </w:r>
      <w:r w:rsidR="00FD06A1">
        <w:t xml:space="preserve">as part of the ICB’s ongoing due diligence process. The ICB has therefore </w:t>
      </w:r>
      <w:r w:rsidR="00827FD0">
        <w:t xml:space="preserve">decided to enter into the contract with About Health Limited as intended </w:t>
      </w:r>
      <w:r w:rsidR="00C8579B">
        <w:t>following the conclusion of the standstill period and satisfactory completion of the ICB’s due diligence process</w:t>
      </w:r>
      <w:r w:rsidR="00827FD0">
        <w:t>”.</w:t>
      </w:r>
      <w:r w:rsidR="00827FD0" w:rsidRPr="001C65C9">
        <w:rPr>
          <w:rStyle w:val="FootnoteReference"/>
          <w:sz w:val="21"/>
          <w:szCs w:val="21"/>
        </w:rPr>
        <w:footnoteReference w:id="48"/>
      </w:r>
      <w:bookmarkEnd w:id="41"/>
    </w:p>
    <w:p w14:paraId="159F8BBB" w14:textId="38B851D3" w:rsidR="004C13EC" w:rsidRDefault="00827FD0" w:rsidP="001C65C9">
      <w:pPr>
        <w:pStyle w:val="ListParagraph"/>
        <w:spacing w:after="120"/>
        <w:ind w:left="567" w:hanging="567"/>
      </w:pPr>
      <w:r>
        <w:t>W</w:t>
      </w:r>
      <w:r w:rsidR="008D333A">
        <w:t xml:space="preserve">ith respect to </w:t>
      </w:r>
      <w:bookmarkStart w:id="43" w:name="_Ref216800562"/>
      <w:r w:rsidR="00AC315A">
        <w:t xml:space="preserve">CHEC’s </w:t>
      </w:r>
      <w:r w:rsidR="00C3658C">
        <w:t>9</w:t>
      </w:r>
      <w:r w:rsidR="008D0B50">
        <w:t> </w:t>
      </w:r>
      <w:r w:rsidR="00C3658C">
        <w:t xml:space="preserve">October 2025 </w:t>
      </w:r>
      <w:r w:rsidR="00AC315A">
        <w:t xml:space="preserve">request for information, </w:t>
      </w:r>
      <w:r>
        <w:t xml:space="preserve">NHS GM said that </w:t>
      </w:r>
      <w:r w:rsidR="00C3658C">
        <w:t>it</w:t>
      </w:r>
      <w:r w:rsidR="00AC315A">
        <w:t xml:space="preserve"> would not be </w:t>
      </w:r>
      <w:r w:rsidR="00AD799A">
        <w:t>responding</w:t>
      </w:r>
      <w:r w:rsidR="00AC315A">
        <w:t xml:space="preserve"> to this request</w:t>
      </w:r>
      <w:r w:rsidR="00F2701D">
        <w:t>,</w:t>
      </w:r>
      <w:r w:rsidR="004C13EC">
        <w:t xml:space="preserve"> saying that:</w:t>
      </w:r>
      <w:bookmarkEnd w:id="42"/>
    </w:p>
    <w:p w14:paraId="329BC565" w14:textId="303A413E" w:rsidR="009D6128" w:rsidRPr="001C65C9" w:rsidRDefault="004C13EC" w:rsidP="001C65C9">
      <w:pPr>
        <w:pStyle w:val="ListParagraph"/>
        <w:numPr>
          <w:ilvl w:val="0"/>
          <w:numId w:val="0"/>
        </w:numPr>
        <w:spacing w:after="120" w:line="259" w:lineRule="auto"/>
        <w:ind w:left="851"/>
        <w:rPr>
          <w:sz w:val="21"/>
          <w:szCs w:val="21"/>
        </w:rPr>
      </w:pPr>
      <w:r w:rsidRPr="001C65C9">
        <w:rPr>
          <w:sz w:val="21"/>
          <w:szCs w:val="21"/>
        </w:rPr>
        <w:t>“</w:t>
      </w:r>
      <w:r w:rsidR="009D6128" w:rsidRPr="001C65C9">
        <w:rPr>
          <w:sz w:val="21"/>
          <w:szCs w:val="21"/>
        </w:rPr>
        <w:t xml:space="preserve">The PSR Representation Panel notes that the ICB wrote to you on 18 September 2025 to provide you with information and provided you with an opportunity to review that </w:t>
      </w:r>
      <w:r w:rsidR="009D6128" w:rsidRPr="0079290C">
        <w:rPr>
          <w:sz w:val="21"/>
          <w:szCs w:val="21"/>
        </w:rPr>
        <w:t>information. The PSR Representation Panel considers that you were afforded reasonable opportunity to explain or clarify your representations in light of the information provided on 18 September 20</w:t>
      </w:r>
      <w:r w:rsidR="009872F0" w:rsidRPr="0079290C">
        <w:rPr>
          <w:sz w:val="21"/>
          <w:szCs w:val="21"/>
        </w:rPr>
        <w:t>25 and notes that you submitted further clarification and explanation of your representations in</w:t>
      </w:r>
      <w:r w:rsidR="009872F0" w:rsidRPr="001C65C9">
        <w:rPr>
          <w:sz w:val="21"/>
          <w:szCs w:val="21"/>
        </w:rPr>
        <w:t xml:space="preserve"> your letter of 25 September 2025</w:t>
      </w:r>
      <w:r w:rsidR="009D03C1" w:rsidRPr="001C65C9">
        <w:rPr>
          <w:sz w:val="21"/>
          <w:szCs w:val="21"/>
        </w:rPr>
        <w:t>.</w:t>
      </w:r>
    </w:p>
    <w:p w14:paraId="647CA956" w14:textId="01DB2E23" w:rsidR="00AC315A" w:rsidRPr="001C65C9" w:rsidRDefault="009D03C1" w:rsidP="001C65C9">
      <w:pPr>
        <w:pStyle w:val="ListParagraph"/>
        <w:numPr>
          <w:ilvl w:val="0"/>
          <w:numId w:val="0"/>
        </w:numPr>
        <w:spacing w:line="259" w:lineRule="auto"/>
        <w:ind w:left="851"/>
        <w:rPr>
          <w:sz w:val="21"/>
          <w:szCs w:val="21"/>
        </w:rPr>
      </w:pPr>
      <w:r w:rsidRPr="001C65C9">
        <w:rPr>
          <w:sz w:val="21"/>
          <w:szCs w:val="21"/>
        </w:rPr>
        <w:t xml:space="preserve">“Having regard to the ICB’s obligations to act in accordance with the procurement principles in regulation 4 of the PSR regulations, including the ICB’s duty to act transparently, fairly and proportionately when procuring relevant health care services, and the process for dealing with representations in regulation 12 of the PSR regulations, the PSR Representation Panel has concluded that it is </w:t>
      </w:r>
      <w:r w:rsidR="00EA4CF3" w:rsidRPr="001C65C9">
        <w:rPr>
          <w:sz w:val="21"/>
          <w:szCs w:val="21"/>
        </w:rPr>
        <w:t>a</w:t>
      </w:r>
      <w:r w:rsidR="00AC315A" w:rsidRPr="001C65C9">
        <w:rPr>
          <w:sz w:val="21"/>
          <w:szCs w:val="21"/>
        </w:rPr>
        <w:t>ppropriate to proceed with its decision in light of the representations made</w:t>
      </w:r>
      <w:r w:rsidR="00EA4CF3" w:rsidRPr="001C65C9">
        <w:rPr>
          <w:sz w:val="21"/>
          <w:szCs w:val="21"/>
        </w:rPr>
        <w:t xml:space="preserve">, taking into account </w:t>
      </w:r>
      <w:r w:rsidR="00EA4CF3" w:rsidRPr="003D50D1">
        <w:rPr>
          <w:sz w:val="21"/>
          <w:szCs w:val="21"/>
        </w:rPr>
        <w:t>CHEC’s letters of 18 August 2025 and 25 September 2025</w:t>
      </w:r>
      <w:r w:rsidR="00AC315A" w:rsidRPr="003D50D1">
        <w:rPr>
          <w:sz w:val="21"/>
          <w:szCs w:val="21"/>
        </w:rPr>
        <w:t xml:space="preserve"> without permitting further rounds of requests for information and clarifications”.</w:t>
      </w:r>
      <w:r w:rsidR="00AC315A" w:rsidRPr="003D50D1">
        <w:rPr>
          <w:rStyle w:val="FootnoteReference"/>
          <w:sz w:val="21"/>
          <w:szCs w:val="21"/>
        </w:rPr>
        <w:footnoteReference w:id="49"/>
      </w:r>
    </w:p>
    <w:p w14:paraId="1D7946CC" w14:textId="77777777" w:rsidR="00AC315A" w:rsidRDefault="00AC315A" w:rsidP="005679DB">
      <w:pPr>
        <w:pStyle w:val="ListParagraph"/>
        <w:spacing w:after="120"/>
        <w:ind w:left="567" w:hanging="567"/>
      </w:pPr>
      <w:bookmarkStart w:id="44" w:name="_Ref220439753"/>
      <w:r>
        <w:t>NHS GM, in a letter to CHEC on 28 October 2025, elaborated on its reasons for refusing to provide any information in response to CHEC’s third request for information. NHS GM said:</w:t>
      </w:r>
      <w:bookmarkEnd w:id="44"/>
    </w:p>
    <w:p w14:paraId="509DD1EE" w14:textId="77777777" w:rsidR="00AC315A" w:rsidRPr="00425236" w:rsidRDefault="00AC315A" w:rsidP="00AC315A">
      <w:pPr>
        <w:pStyle w:val="ListParagraph"/>
        <w:numPr>
          <w:ilvl w:val="0"/>
          <w:numId w:val="0"/>
        </w:numPr>
        <w:spacing w:line="259" w:lineRule="auto"/>
        <w:ind w:left="851"/>
        <w:rPr>
          <w:sz w:val="21"/>
          <w:szCs w:val="21"/>
        </w:rPr>
      </w:pPr>
      <w:r>
        <w:rPr>
          <w:sz w:val="21"/>
          <w:szCs w:val="21"/>
        </w:rPr>
        <w:lastRenderedPageBreak/>
        <w:t>“</w:t>
      </w:r>
      <w:r w:rsidRPr="00B93B01">
        <w:rPr>
          <w:sz w:val="21"/>
          <w:szCs w:val="21"/>
        </w:rPr>
        <w:t>Your unprompted letter of 9 October 2025, sent two weeks after your letter which clarified your representations, contained a list of 10 wide ranging requests for information and documents, expressed an expectation that the ICB would provide you with sufficient time to properly consider any information provided and clarify any further written requests (thereby indicating that you planned to submit further requests for information before clarifying your representations) and requested confirmation that the standstill period will be extended to 10 working days from the ICB’s substantive response regarding your representations</w:t>
      </w:r>
      <w:r>
        <w:rPr>
          <w:sz w:val="21"/>
          <w:szCs w:val="21"/>
        </w:rPr>
        <w:t>”.</w:t>
      </w:r>
      <w:r>
        <w:rPr>
          <w:rStyle w:val="FootnoteReference"/>
          <w:sz w:val="21"/>
          <w:szCs w:val="21"/>
        </w:rPr>
        <w:footnoteReference w:id="50"/>
      </w:r>
    </w:p>
    <w:p w14:paraId="518B7EC9" w14:textId="77777777" w:rsidR="00AC315A" w:rsidRDefault="00AC315A" w:rsidP="00AC315A">
      <w:pPr>
        <w:pStyle w:val="ListParagraph"/>
        <w:spacing w:after="120"/>
        <w:ind w:left="567" w:hanging="567"/>
        <w:contextualSpacing/>
      </w:pPr>
      <w:bookmarkStart w:id="45" w:name="_Ref217935556"/>
      <w:r w:rsidRPr="00A14DB0">
        <w:t xml:space="preserve">NHS GM </w:t>
      </w:r>
      <w:r>
        <w:t>further told CHEC:</w:t>
      </w:r>
      <w:bookmarkEnd w:id="45"/>
    </w:p>
    <w:p w14:paraId="6F8BD15D" w14:textId="77777777" w:rsidR="00AC315A" w:rsidRPr="002929D9" w:rsidRDefault="00AC315A" w:rsidP="00AC315A">
      <w:pPr>
        <w:pStyle w:val="ListParagraph"/>
        <w:numPr>
          <w:ilvl w:val="0"/>
          <w:numId w:val="34"/>
        </w:numPr>
        <w:tabs>
          <w:tab w:val="clear" w:pos="720"/>
        </w:tabs>
        <w:spacing w:after="120"/>
        <w:ind w:left="1276"/>
        <w:contextualSpacing/>
        <w:rPr>
          <w:sz w:val="21"/>
          <w:szCs w:val="21"/>
        </w:rPr>
      </w:pPr>
      <w:r>
        <w:rPr>
          <w:sz w:val="21"/>
          <w:szCs w:val="21"/>
        </w:rPr>
        <w:t>“</w:t>
      </w:r>
      <w:r w:rsidRPr="002929D9">
        <w:rPr>
          <w:sz w:val="21"/>
          <w:szCs w:val="21"/>
        </w:rPr>
        <w:t>you have already been provided with information following your representations</w:t>
      </w:r>
      <w:r>
        <w:rPr>
          <w:sz w:val="21"/>
          <w:szCs w:val="21"/>
        </w:rPr>
        <w:t xml:space="preserve"> </w:t>
      </w:r>
      <w:r w:rsidRPr="002929D9">
        <w:rPr>
          <w:sz w:val="21"/>
          <w:szCs w:val="21"/>
        </w:rPr>
        <w:t>submitted</w:t>
      </w:r>
      <w:r>
        <w:rPr>
          <w:sz w:val="21"/>
          <w:szCs w:val="21"/>
        </w:rPr>
        <w:t xml:space="preserve"> </w:t>
      </w:r>
      <w:r w:rsidRPr="002929D9">
        <w:rPr>
          <w:sz w:val="21"/>
          <w:szCs w:val="21"/>
        </w:rPr>
        <w:t>on 18 August</w:t>
      </w:r>
      <w:r>
        <w:rPr>
          <w:sz w:val="21"/>
          <w:szCs w:val="21"/>
        </w:rPr>
        <w:t xml:space="preserve"> </w:t>
      </w:r>
      <w:r w:rsidRPr="002929D9">
        <w:rPr>
          <w:sz w:val="21"/>
          <w:szCs w:val="21"/>
        </w:rPr>
        <w:t>2025;</w:t>
      </w:r>
    </w:p>
    <w:p w14:paraId="61EBCFA6" w14:textId="77777777" w:rsidR="00AC315A" w:rsidRPr="002929D9" w:rsidRDefault="00AC315A" w:rsidP="00AC315A">
      <w:pPr>
        <w:pStyle w:val="ListParagraph"/>
        <w:numPr>
          <w:ilvl w:val="0"/>
          <w:numId w:val="35"/>
        </w:numPr>
        <w:tabs>
          <w:tab w:val="clear" w:pos="720"/>
        </w:tabs>
        <w:spacing w:after="120"/>
        <w:ind w:left="1276"/>
        <w:contextualSpacing/>
        <w:rPr>
          <w:sz w:val="21"/>
          <w:szCs w:val="21"/>
        </w:rPr>
      </w:pPr>
      <w:r>
        <w:rPr>
          <w:sz w:val="21"/>
          <w:szCs w:val="21"/>
        </w:rPr>
        <w:t>“</w:t>
      </w:r>
      <w:r w:rsidRPr="002929D9">
        <w:rPr>
          <w:sz w:val="21"/>
          <w:szCs w:val="21"/>
        </w:rPr>
        <w:t>you have had the opportunity to clarify and explain your representations</w:t>
      </w:r>
      <w:r>
        <w:rPr>
          <w:sz w:val="21"/>
          <w:szCs w:val="21"/>
        </w:rPr>
        <w:t xml:space="preserve"> </w:t>
      </w:r>
      <w:r w:rsidRPr="002929D9">
        <w:rPr>
          <w:sz w:val="21"/>
          <w:szCs w:val="21"/>
        </w:rPr>
        <w:t>in light of</w:t>
      </w:r>
      <w:r>
        <w:rPr>
          <w:sz w:val="21"/>
          <w:szCs w:val="21"/>
        </w:rPr>
        <w:t xml:space="preserve"> </w:t>
      </w:r>
      <w:r w:rsidRPr="002929D9">
        <w:rPr>
          <w:sz w:val="21"/>
          <w:szCs w:val="21"/>
        </w:rPr>
        <w:t>that information, and did so on 25 September</w:t>
      </w:r>
      <w:r>
        <w:rPr>
          <w:sz w:val="21"/>
          <w:szCs w:val="21"/>
        </w:rPr>
        <w:t xml:space="preserve"> </w:t>
      </w:r>
      <w:r w:rsidRPr="002929D9">
        <w:rPr>
          <w:sz w:val="21"/>
          <w:szCs w:val="21"/>
        </w:rPr>
        <w:t>2025;</w:t>
      </w:r>
    </w:p>
    <w:p w14:paraId="2E89FEAE" w14:textId="77777777" w:rsidR="00AC315A" w:rsidRPr="002929D9" w:rsidRDefault="00AC315A" w:rsidP="00AC315A">
      <w:pPr>
        <w:pStyle w:val="ListParagraph"/>
        <w:numPr>
          <w:ilvl w:val="0"/>
          <w:numId w:val="36"/>
        </w:numPr>
        <w:tabs>
          <w:tab w:val="clear" w:pos="720"/>
        </w:tabs>
        <w:spacing w:after="120"/>
        <w:ind w:left="1276"/>
        <w:contextualSpacing/>
        <w:rPr>
          <w:sz w:val="21"/>
          <w:szCs w:val="21"/>
        </w:rPr>
      </w:pPr>
      <w:r>
        <w:rPr>
          <w:sz w:val="21"/>
          <w:szCs w:val="21"/>
        </w:rPr>
        <w:t>“</w:t>
      </w:r>
      <w:r w:rsidRPr="002929D9">
        <w:rPr>
          <w:sz w:val="21"/>
          <w:szCs w:val="21"/>
        </w:rPr>
        <w:t>your explanation and clarification from your letter of 25 September 2025</w:t>
      </w:r>
      <w:r>
        <w:rPr>
          <w:sz w:val="21"/>
          <w:szCs w:val="21"/>
        </w:rPr>
        <w:t xml:space="preserve"> </w:t>
      </w:r>
      <w:proofErr w:type="gramStart"/>
      <w:r w:rsidRPr="002929D9">
        <w:rPr>
          <w:sz w:val="21"/>
          <w:szCs w:val="21"/>
        </w:rPr>
        <w:t>has</w:t>
      </w:r>
      <w:proofErr w:type="gramEnd"/>
      <w:r>
        <w:rPr>
          <w:sz w:val="21"/>
          <w:szCs w:val="21"/>
        </w:rPr>
        <w:t xml:space="preserve"> </w:t>
      </w:r>
      <w:r w:rsidRPr="002929D9">
        <w:rPr>
          <w:sz w:val="21"/>
          <w:szCs w:val="21"/>
        </w:rPr>
        <w:t>been</w:t>
      </w:r>
      <w:r>
        <w:rPr>
          <w:sz w:val="21"/>
          <w:szCs w:val="21"/>
        </w:rPr>
        <w:t xml:space="preserve"> </w:t>
      </w:r>
      <w:proofErr w:type="gramStart"/>
      <w:r w:rsidRPr="002929D9">
        <w:rPr>
          <w:sz w:val="21"/>
          <w:szCs w:val="21"/>
        </w:rPr>
        <w:t>taken into account</w:t>
      </w:r>
      <w:proofErr w:type="gramEnd"/>
      <w:r>
        <w:rPr>
          <w:sz w:val="21"/>
          <w:szCs w:val="21"/>
        </w:rPr>
        <w:t xml:space="preserve"> </w:t>
      </w:r>
      <w:r w:rsidRPr="002929D9">
        <w:rPr>
          <w:sz w:val="21"/>
          <w:szCs w:val="21"/>
        </w:rPr>
        <w:t>when reviewing the ICB’s decision to award the</w:t>
      </w:r>
      <w:r>
        <w:rPr>
          <w:sz w:val="21"/>
          <w:szCs w:val="21"/>
        </w:rPr>
        <w:t xml:space="preserve"> </w:t>
      </w:r>
      <w:r w:rsidRPr="002929D9">
        <w:rPr>
          <w:sz w:val="21"/>
          <w:szCs w:val="21"/>
        </w:rPr>
        <w:t>contract;</w:t>
      </w:r>
    </w:p>
    <w:p w14:paraId="7EFC17D9" w14:textId="77777777" w:rsidR="00AC315A" w:rsidRPr="002929D9" w:rsidRDefault="00AC315A" w:rsidP="00AC315A">
      <w:pPr>
        <w:pStyle w:val="ListParagraph"/>
        <w:numPr>
          <w:ilvl w:val="0"/>
          <w:numId w:val="37"/>
        </w:numPr>
        <w:tabs>
          <w:tab w:val="clear" w:pos="720"/>
        </w:tabs>
        <w:spacing w:after="120"/>
        <w:ind w:left="1276"/>
        <w:contextualSpacing/>
        <w:rPr>
          <w:sz w:val="21"/>
          <w:szCs w:val="21"/>
        </w:rPr>
      </w:pPr>
      <w:r>
        <w:rPr>
          <w:sz w:val="21"/>
          <w:szCs w:val="21"/>
        </w:rPr>
        <w:t>“</w:t>
      </w:r>
      <w:r w:rsidRPr="002929D9">
        <w:rPr>
          <w:sz w:val="21"/>
          <w:szCs w:val="21"/>
        </w:rPr>
        <w:t>significant time</w:t>
      </w:r>
      <w:r>
        <w:rPr>
          <w:sz w:val="21"/>
          <w:szCs w:val="21"/>
        </w:rPr>
        <w:t xml:space="preserve"> </w:t>
      </w:r>
      <w:r w:rsidRPr="002929D9">
        <w:rPr>
          <w:sz w:val="21"/>
          <w:szCs w:val="21"/>
        </w:rPr>
        <w:t>and resource</w:t>
      </w:r>
      <w:r>
        <w:rPr>
          <w:sz w:val="21"/>
          <w:szCs w:val="21"/>
        </w:rPr>
        <w:t xml:space="preserve"> </w:t>
      </w:r>
      <w:r w:rsidRPr="002929D9">
        <w:rPr>
          <w:sz w:val="21"/>
          <w:szCs w:val="21"/>
        </w:rPr>
        <w:t>has</w:t>
      </w:r>
      <w:r>
        <w:rPr>
          <w:sz w:val="21"/>
          <w:szCs w:val="21"/>
        </w:rPr>
        <w:t xml:space="preserve"> </w:t>
      </w:r>
      <w:r w:rsidRPr="002929D9">
        <w:rPr>
          <w:sz w:val="21"/>
          <w:szCs w:val="21"/>
        </w:rPr>
        <w:t>been</w:t>
      </w:r>
      <w:r>
        <w:rPr>
          <w:sz w:val="21"/>
          <w:szCs w:val="21"/>
        </w:rPr>
        <w:t xml:space="preserve"> </w:t>
      </w:r>
      <w:r w:rsidRPr="002929D9">
        <w:rPr>
          <w:sz w:val="21"/>
          <w:szCs w:val="21"/>
        </w:rPr>
        <w:t>expended</w:t>
      </w:r>
      <w:r>
        <w:rPr>
          <w:sz w:val="21"/>
          <w:szCs w:val="21"/>
        </w:rPr>
        <w:t xml:space="preserve"> </w:t>
      </w:r>
      <w:r w:rsidRPr="002929D9">
        <w:rPr>
          <w:sz w:val="21"/>
          <w:szCs w:val="21"/>
        </w:rPr>
        <w:t>by the ICB in thoroughly investigating and considering your representations, as set out in your letter of 18</w:t>
      </w:r>
      <w:r>
        <w:rPr>
          <w:sz w:val="21"/>
          <w:szCs w:val="21"/>
        </w:rPr>
        <w:t> </w:t>
      </w:r>
      <w:r w:rsidRPr="002929D9">
        <w:rPr>
          <w:sz w:val="21"/>
          <w:szCs w:val="21"/>
        </w:rPr>
        <w:t>August 2025 and clarified in your letter of 25 September 2025;</w:t>
      </w:r>
    </w:p>
    <w:p w14:paraId="282BDA57" w14:textId="77777777" w:rsidR="00AC315A" w:rsidRPr="002929D9" w:rsidRDefault="00AC315A" w:rsidP="00AC315A">
      <w:pPr>
        <w:pStyle w:val="ListParagraph"/>
        <w:numPr>
          <w:ilvl w:val="0"/>
          <w:numId w:val="38"/>
        </w:numPr>
        <w:tabs>
          <w:tab w:val="clear" w:pos="720"/>
        </w:tabs>
        <w:spacing w:after="120"/>
        <w:ind w:left="1276"/>
        <w:contextualSpacing/>
        <w:rPr>
          <w:sz w:val="21"/>
          <w:szCs w:val="21"/>
        </w:rPr>
      </w:pPr>
      <w:r>
        <w:rPr>
          <w:sz w:val="21"/>
          <w:szCs w:val="21"/>
        </w:rPr>
        <w:t>“</w:t>
      </w:r>
      <w:r w:rsidRPr="002929D9">
        <w:rPr>
          <w:sz w:val="21"/>
          <w:szCs w:val="21"/>
        </w:rPr>
        <w:t>the ICB</w:t>
      </w:r>
      <w:r>
        <w:rPr>
          <w:sz w:val="21"/>
          <w:szCs w:val="21"/>
        </w:rPr>
        <w:t xml:space="preserve"> </w:t>
      </w:r>
      <w:r w:rsidRPr="002929D9">
        <w:rPr>
          <w:sz w:val="21"/>
          <w:szCs w:val="21"/>
        </w:rPr>
        <w:t>is required</w:t>
      </w:r>
      <w:r>
        <w:rPr>
          <w:sz w:val="21"/>
          <w:szCs w:val="21"/>
        </w:rPr>
        <w:t xml:space="preserve"> </w:t>
      </w:r>
      <w:r w:rsidRPr="002929D9">
        <w:rPr>
          <w:sz w:val="21"/>
          <w:szCs w:val="21"/>
        </w:rPr>
        <w:t>to</w:t>
      </w:r>
      <w:r>
        <w:rPr>
          <w:sz w:val="21"/>
          <w:szCs w:val="21"/>
        </w:rPr>
        <w:t xml:space="preserve"> </w:t>
      </w:r>
      <w:r w:rsidRPr="002929D9">
        <w:rPr>
          <w:sz w:val="21"/>
          <w:szCs w:val="21"/>
        </w:rPr>
        <w:t>ensure service continuity to avoid any risk to patient safety; and</w:t>
      </w:r>
    </w:p>
    <w:p w14:paraId="356414D9" w14:textId="77777777" w:rsidR="00AC315A" w:rsidRPr="002929D9" w:rsidRDefault="00AC315A" w:rsidP="00AC315A">
      <w:pPr>
        <w:pStyle w:val="ListParagraph"/>
        <w:numPr>
          <w:ilvl w:val="0"/>
          <w:numId w:val="39"/>
        </w:numPr>
        <w:tabs>
          <w:tab w:val="clear" w:pos="720"/>
        </w:tabs>
        <w:spacing w:after="120"/>
        <w:ind w:left="1276"/>
        <w:rPr>
          <w:sz w:val="21"/>
          <w:szCs w:val="21"/>
        </w:rPr>
      </w:pPr>
      <w:r>
        <w:rPr>
          <w:sz w:val="21"/>
          <w:szCs w:val="21"/>
        </w:rPr>
        <w:t>“</w:t>
      </w:r>
      <w:r w:rsidRPr="002929D9">
        <w:rPr>
          <w:sz w:val="21"/>
          <w:szCs w:val="21"/>
        </w:rPr>
        <w:t>you are requesting further significant delays to the commissioning of the service, having belatedly raised further requests for information some</w:t>
      </w:r>
      <w:r>
        <w:rPr>
          <w:sz w:val="21"/>
          <w:szCs w:val="21"/>
        </w:rPr>
        <w:t xml:space="preserve"> </w:t>
      </w:r>
      <w:r w:rsidRPr="002929D9">
        <w:rPr>
          <w:sz w:val="21"/>
          <w:szCs w:val="21"/>
        </w:rPr>
        <w:t>significant time</w:t>
      </w:r>
      <w:r>
        <w:rPr>
          <w:sz w:val="21"/>
          <w:szCs w:val="21"/>
        </w:rPr>
        <w:t xml:space="preserve"> </w:t>
      </w:r>
      <w:r w:rsidRPr="002929D9">
        <w:rPr>
          <w:sz w:val="21"/>
          <w:szCs w:val="21"/>
        </w:rPr>
        <w:t>after your</w:t>
      </w:r>
      <w:r>
        <w:rPr>
          <w:sz w:val="21"/>
          <w:szCs w:val="21"/>
        </w:rPr>
        <w:t xml:space="preserve"> </w:t>
      </w:r>
      <w:r w:rsidRPr="002929D9">
        <w:rPr>
          <w:sz w:val="21"/>
          <w:szCs w:val="21"/>
        </w:rPr>
        <w:t>initial</w:t>
      </w:r>
      <w:r>
        <w:rPr>
          <w:sz w:val="21"/>
          <w:szCs w:val="21"/>
        </w:rPr>
        <w:t xml:space="preserve"> </w:t>
      </w:r>
      <w:r w:rsidRPr="002929D9">
        <w:rPr>
          <w:sz w:val="21"/>
          <w:szCs w:val="21"/>
        </w:rPr>
        <w:t>representation and having been given the opportunity to clarify your original representation upon provision of the</w:t>
      </w:r>
      <w:r>
        <w:rPr>
          <w:sz w:val="21"/>
          <w:szCs w:val="21"/>
        </w:rPr>
        <w:t xml:space="preserve"> </w:t>
      </w:r>
      <w:r w:rsidRPr="002929D9">
        <w:rPr>
          <w:sz w:val="21"/>
          <w:szCs w:val="21"/>
        </w:rPr>
        <w:t>initial</w:t>
      </w:r>
      <w:r>
        <w:rPr>
          <w:sz w:val="21"/>
          <w:szCs w:val="21"/>
        </w:rPr>
        <w:t xml:space="preserve"> </w:t>
      </w:r>
      <w:r w:rsidRPr="002929D9">
        <w:rPr>
          <w:sz w:val="21"/>
          <w:szCs w:val="21"/>
        </w:rPr>
        <w:t>information</w:t>
      </w:r>
      <w:r>
        <w:rPr>
          <w:sz w:val="21"/>
          <w:szCs w:val="21"/>
        </w:rPr>
        <w:t xml:space="preserve"> </w:t>
      </w:r>
      <w:r w:rsidRPr="002929D9">
        <w:rPr>
          <w:sz w:val="21"/>
          <w:szCs w:val="21"/>
        </w:rPr>
        <w:t>requested.</w:t>
      </w:r>
    </w:p>
    <w:p w14:paraId="5B80891F" w14:textId="77777777" w:rsidR="00AC315A" w:rsidRDefault="00AC315A" w:rsidP="00AC315A">
      <w:pPr>
        <w:spacing w:after="120"/>
        <w:ind w:left="851"/>
        <w:rPr>
          <w:sz w:val="21"/>
          <w:szCs w:val="21"/>
        </w:rPr>
      </w:pPr>
      <w:r>
        <w:rPr>
          <w:sz w:val="21"/>
          <w:szCs w:val="21"/>
        </w:rPr>
        <w:t>“</w:t>
      </w:r>
      <w:r w:rsidRPr="00425236">
        <w:rPr>
          <w:sz w:val="21"/>
          <w:szCs w:val="21"/>
        </w:rPr>
        <w:t>In these circumstances, the ICB’s PSR Representation Panel considers that it is not</w:t>
      </w:r>
      <w:r>
        <w:rPr>
          <w:sz w:val="21"/>
          <w:szCs w:val="21"/>
        </w:rPr>
        <w:t xml:space="preserve"> </w:t>
      </w:r>
      <w:r w:rsidRPr="00425236">
        <w:rPr>
          <w:sz w:val="21"/>
          <w:szCs w:val="21"/>
        </w:rPr>
        <w:t>appropriate</w:t>
      </w:r>
      <w:r>
        <w:rPr>
          <w:sz w:val="21"/>
          <w:szCs w:val="21"/>
        </w:rPr>
        <w:t xml:space="preserve"> </w:t>
      </w:r>
      <w:r w:rsidRPr="00425236">
        <w:rPr>
          <w:sz w:val="21"/>
          <w:szCs w:val="21"/>
        </w:rPr>
        <w:t>or proportionate to engage in further rounds of provision of information, clarification and explanation of representations and further reviews of the ICB’s decision.</w:t>
      </w:r>
    </w:p>
    <w:p w14:paraId="6D193E41" w14:textId="77777777" w:rsidR="00AC315A" w:rsidRPr="00425236" w:rsidRDefault="00AC315A" w:rsidP="00AC315A">
      <w:pPr>
        <w:ind w:left="851"/>
        <w:rPr>
          <w:sz w:val="21"/>
          <w:szCs w:val="21"/>
        </w:rPr>
      </w:pPr>
      <w:r>
        <w:rPr>
          <w:sz w:val="21"/>
          <w:szCs w:val="21"/>
        </w:rPr>
        <w:t>“</w:t>
      </w:r>
      <w:r w:rsidRPr="005C7EEF">
        <w:rPr>
          <w:sz w:val="21"/>
          <w:szCs w:val="21"/>
        </w:rPr>
        <w:t>I can confirm that the ICB does not intend to make any further decisions,</w:t>
      </w:r>
      <w:r>
        <w:rPr>
          <w:sz w:val="21"/>
          <w:szCs w:val="21"/>
        </w:rPr>
        <w:t xml:space="preserve"> </w:t>
      </w:r>
      <w:r w:rsidRPr="005C7EEF">
        <w:rPr>
          <w:sz w:val="21"/>
          <w:szCs w:val="21"/>
        </w:rPr>
        <w:t>subsequent to</w:t>
      </w:r>
      <w:r>
        <w:rPr>
          <w:sz w:val="21"/>
          <w:szCs w:val="21"/>
        </w:rPr>
        <w:t xml:space="preserve"> </w:t>
      </w:r>
      <w:r w:rsidRPr="005C7EEF">
        <w:rPr>
          <w:sz w:val="21"/>
          <w:szCs w:val="21"/>
        </w:rPr>
        <w:t>the decision already communicated to you on 21 October 2025, and the standstill period will end at midnight at the end of today, as previously</w:t>
      </w:r>
      <w:r>
        <w:rPr>
          <w:sz w:val="21"/>
          <w:szCs w:val="21"/>
        </w:rPr>
        <w:t xml:space="preserve"> </w:t>
      </w:r>
      <w:r w:rsidRPr="005C7EEF">
        <w:rPr>
          <w:sz w:val="21"/>
          <w:szCs w:val="21"/>
        </w:rPr>
        <w:t>notified to all bidders</w:t>
      </w:r>
      <w:r>
        <w:rPr>
          <w:sz w:val="21"/>
          <w:szCs w:val="21"/>
        </w:rPr>
        <w:t>.”</w:t>
      </w:r>
      <w:r>
        <w:rPr>
          <w:rStyle w:val="FootnoteReference"/>
          <w:sz w:val="21"/>
          <w:szCs w:val="21"/>
        </w:rPr>
        <w:footnoteReference w:id="51"/>
      </w:r>
    </w:p>
    <w:p w14:paraId="7C763534" w14:textId="53A6B3EA" w:rsidR="00AC315A" w:rsidRDefault="00AC315A" w:rsidP="001E0FC8">
      <w:pPr>
        <w:pStyle w:val="ListParagraph"/>
        <w:spacing w:after="120"/>
        <w:ind w:left="567" w:hanging="567"/>
      </w:pPr>
      <w:bookmarkStart w:id="46" w:name="_Ref217935557"/>
      <w:r>
        <w:t xml:space="preserve">NHS GM told the Panel that its rationale for not responding to CHEC’s </w:t>
      </w:r>
      <w:r w:rsidR="00DB3349">
        <w:t xml:space="preserve">9 October 2025 </w:t>
      </w:r>
      <w:r>
        <w:t>request for information was that this information had not been requested in the first two sets of representations from CHEC and that:</w:t>
      </w:r>
      <w:bookmarkEnd w:id="46"/>
    </w:p>
    <w:p w14:paraId="5DE3F3D1" w14:textId="44034E5D" w:rsidR="00AC315A" w:rsidRPr="005B7D78" w:rsidRDefault="16AA2E55" w:rsidP="00AC315A">
      <w:pPr>
        <w:pStyle w:val="ListParagraph"/>
        <w:numPr>
          <w:ilvl w:val="0"/>
          <w:numId w:val="0"/>
        </w:numPr>
        <w:spacing w:line="259" w:lineRule="auto"/>
        <w:ind w:left="851"/>
        <w:rPr>
          <w:sz w:val="21"/>
          <w:szCs w:val="21"/>
        </w:rPr>
      </w:pPr>
      <w:r w:rsidRPr="005B7D78">
        <w:rPr>
          <w:sz w:val="21"/>
          <w:szCs w:val="21"/>
        </w:rPr>
        <w:t>“it was agreed that CHEC had ample opportunity to clearly state what its information requirements were in the first two representation letters. By providing further information to CHEC and having the standstill period extended for a further 10 working days was not deemed appropriate given that the first representation was raised on the 18/8/25</w:t>
      </w:r>
      <w:r>
        <w:rPr>
          <w:sz w:val="21"/>
          <w:szCs w:val="21"/>
        </w:rPr>
        <w:t>.</w:t>
      </w:r>
      <w:r w:rsidRPr="005B7D78">
        <w:rPr>
          <w:sz w:val="21"/>
          <w:szCs w:val="21"/>
        </w:rPr>
        <w:t>”</w:t>
      </w:r>
      <w:r w:rsidR="00AC315A" w:rsidRPr="005B7D78">
        <w:rPr>
          <w:rStyle w:val="FootnoteReference"/>
          <w:sz w:val="21"/>
          <w:szCs w:val="21"/>
        </w:rPr>
        <w:footnoteReference w:id="52"/>
      </w:r>
    </w:p>
    <w:bookmarkEnd w:id="43"/>
    <w:p w14:paraId="15399F88" w14:textId="5AE7651F" w:rsidR="00F75AC2" w:rsidRPr="00C15E5B" w:rsidRDefault="39EB1031" w:rsidP="00C15E5B">
      <w:pPr>
        <w:keepNext/>
        <w:spacing w:before="240"/>
        <w:rPr>
          <w:b/>
          <w:bCs/>
        </w:rPr>
      </w:pPr>
      <w:r w:rsidRPr="5D432DBE">
        <w:rPr>
          <w:b/>
          <w:bCs/>
        </w:rPr>
        <w:t xml:space="preserve">7.2.3 </w:t>
      </w:r>
      <w:r w:rsidR="14077540" w:rsidRPr="5D432DBE">
        <w:rPr>
          <w:b/>
          <w:bCs/>
        </w:rPr>
        <w:t xml:space="preserve">Panel assessment of NHS GM’s response to </w:t>
      </w:r>
      <w:r w:rsidR="12274317" w:rsidRPr="5D432DBE">
        <w:rPr>
          <w:b/>
          <w:bCs/>
        </w:rPr>
        <w:t xml:space="preserve">CHEC’s </w:t>
      </w:r>
      <w:r w:rsidR="00917270">
        <w:rPr>
          <w:b/>
          <w:bCs/>
        </w:rPr>
        <w:t xml:space="preserve">further </w:t>
      </w:r>
      <w:r w:rsidR="12274317" w:rsidRPr="5D432DBE">
        <w:rPr>
          <w:b/>
          <w:bCs/>
        </w:rPr>
        <w:t>representations</w:t>
      </w:r>
      <w:r w:rsidR="00917270">
        <w:rPr>
          <w:b/>
          <w:bCs/>
        </w:rPr>
        <w:t xml:space="preserve"> and further requests for information</w:t>
      </w:r>
    </w:p>
    <w:p w14:paraId="68AD835C" w14:textId="3A3273DD" w:rsidR="008E6143" w:rsidRDefault="00510DC1" w:rsidP="00EC42AB">
      <w:pPr>
        <w:pStyle w:val="ListParagraph"/>
        <w:spacing w:after="120"/>
        <w:ind w:left="567" w:hanging="567"/>
        <w:contextualSpacing/>
      </w:pPr>
      <w:r>
        <w:t>Th</w:t>
      </w:r>
      <w:r w:rsidR="00591AF9">
        <w:t xml:space="preserve">is section sets out </w:t>
      </w:r>
      <w:r>
        <w:t>the Panel’s assessment</w:t>
      </w:r>
      <w:r w:rsidR="00591AF9">
        <w:t xml:space="preserve"> of NHS GM’s response </w:t>
      </w:r>
      <w:r w:rsidR="00253612">
        <w:t xml:space="preserve">on 21 October 2025 </w:t>
      </w:r>
      <w:r w:rsidR="00591AF9">
        <w:t xml:space="preserve">to CHEC’s representations </w:t>
      </w:r>
      <w:r w:rsidR="4BC61F60">
        <w:t xml:space="preserve">(in its letter of 18 August and 25 September) </w:t>
      </w:r>
      <w:r w:rsidR="00591AF9">
        <w:t xml:space="preserve">and </w:t>
      </w:r>
      <w:r w:rsidR="00591AF9">
        <w:lastRenderedPageBreak/>
        <w:t>further requests for information</w:t>
      </w:r>
      <w:r w:rsidR="007F282C">
        <w:t xml:space="preserve"> (on 25 September and 9 October)</w:t>
      </w:r>
      <w:r w:rsidR="00253612">
        <w:t>. The Panel’s assessment is set out</w:t>
      </w:r>
      <w:r w:rsidR="001E1AED">
        <w:t xml:space="preserve"> in two parts:</w:t>
      </w:r>
    </w:p>
    <w:p w14:paraId="5827B65A" w14:textId="1AA0BB6D" w:rsidR="00041841" w:rsidRDefault="00041841" w:rsidP="00041841">
      <w:pPr>
        <w:pStyle w:val="ListParagraph"/>
        <w:numPr>
          <w:ilvl w:val="0"/>
          <w:numId w:val="39"/>
        </w:numPr>
        <w:tabs>
          <w:tab w:val="clear" w:pos="720"/>
        </w:tabs>
        <w:ind w:left="992" w:hanging="357"/>
        <w:contextualSpacing/>
      </w:pPr>
      <w:r>
        <w:t>first, an assessment of NHS GM’s response to CHEC’s representations; and</w:t>
      </w:r>
    </w:p>
    <w:p w14:paraId="36BB98E2" w14:textId="0F0BF0F6" w:rsidR="00510DC1" w:rsidRDefault="001D04C3" w:rsidP="00EC42AB">
      <w:pPr>
        <w:pStyle w:val="ListParagraph"/>
        <w:numPr>
          <w:ilvl w:val="0"/>
          <w:numId w:val="39"/>
        </w:numPr>
        <w:tabs>
          <w:tab w:val="clear" w:pos="720"/>
        </w:tabs>
        <w:ind w:left="993"/>
      </w:pPr>
      <w:r>
        <w:t xml:space="preserve">second, </w:t>
      </w:r>
      <w:r w:rsidR="0095149D">
        <w:t>an</w:t>
      </w:r>
      <w:r w:rsidR="00420925">
        <w:t xml:space="preserve"> assessment of </w:t>
      </w:r>
      <w:r>
        <w:t xml:space="preserve">NHS GM’s refusal to supply any information in response to CHEC’s </w:t>
      </w:r>
      <w:r w:rsidR="008E6143">
        <w:t xml:space="preserve">information </w:t>
      </w:r>
      <w:r>
        <w:t>request of 9 October</w:t>
      </w:r>
      <w:r w:rsidR="00671D07">
        <w:t xml:space="preserve"> 2025</w:t>
      </w:r>
      <w:r>
        <w:t>.</w:t>
      </w:r>
    </w:p>
    <w:p w14:paraId="38A043B7" w14:textId="79D23FB5" w:rsidR="0085199F" w:rsidRPr="0085199F" w:rsidRDefault="323E2D7F" w:rsidP="0085199F">
      <w:pPr>
        <w:keepNext/>
        <w:spacing w:before="240"/>
        <w:rPr>
          <w:b/>
          <w:bCs/>
        </w:rPr>
      </w:pPr>
      <w:r w:rsidRPr="5D432DBE">
        <w:rPr>
          <w:b/>
          <w:bCs/>
        </w:rPr>
        <w:t xml:space="preserve">NHS GM’s response to CHEC’s </w:t>
      </w:r>
      <w:r w:rsidR="5ADF6A16" w:rsidRPr="1D6CDA0B">
        <w:rPr>
          <w:b/>
          <w:bCs/>
        </w:rPr>
        <w:t>representations</w:t>
      </w:r>
    </w:p>
    <w:p w14:paraId="306648B9" w14:textId="595B495B" w:rsidR="00022C67" w:rsidRDefault="566D90B9" w:rsidP="00B0164B">
      <w:pPr>
        <w:pStyle w:val="ListParagraph"/>
        <w:ind w:left="567" w:hanging="567"/>
      </w:pPr>
      <w:r>
        <w:t xml:space="preserve">NHS GM’s </w:t>
      </w:r>
      <w:r w:rsidR="00CB6C2E">
        <w:t xml:space="preserve">letter of 21 October 2025 </w:t>
      </w:r>
      <w:r>
        <w:t>respon</w:t>
      </w:r>
      <w:r w:rsidR="00CB6C2E">
        <w:t xml:space="preserve">ded </w:t>
      </w:r>
      <w:r>
        <w:t xml:space="preserve">to CHEC’s </w:t>
      </w:r>
      <w:r w:rsidR="48CB65E1">
        <w:t xml:space="preserve">representations </w:t>
      </w:r>
      <w:r w:rsidR="0022484A">
        <w:t xml:space="preserve">as set out in CHEC’s </w:t>
      </w:r>
      <w:r w:rsidR="48CB65E1">
        <w:t xml:space="preserve">letters of 18 August and </w:t>
      </w:r>
      <w:r>
        <w:t xml:space="preserve">25 September </w:t>
      </w:r>
      <w:r w:rsidR="0022484A">
        <w:t xml:space="preserve">and also responded to CHEC’s </w:t>
      </w:r>
      <w:r>
        <w:t>information request</w:t>
      </w:r>
      <w:r w:rsidR="0022484A">
        <w:t>s in CHEC’s letters of 25 September and 9 October</w:t>
      </w:r>
      <w:r w:rsidR="00F41C38">
        <w:t xml:space="preserve">. </w:t>
      </w:r>
      <w:r w:rsidR="00EC6635">
        <w:t xml:space="preserve">NHS GM’s letter </w:t>
      </w:r>
      <w:r w:rsidR="00320F91">
        <w:t>of</w:t>
      </w:r>
      <w:r w:rsidR="00EC6635">
        <w:t xml:space="preserve"> 21 October </w:t>
      </w:r>
      <w:r w:rsidR="39640BFB">
        <w:t xml:space="preserve">also </w:t>
      </w:r>
      <w:r w:rsidR="66EC7267">
        <w:t xml:space="preserve">communicated </w:t>
      </w:r>
      <w:r w:rsidR="00F41C38">
        <w:t xml:space="preserve">NHS GM’s </w:t>
      </w:r>
      <w:r w:rsidR="66EC7267">
        <w:t xml:space="preserve">further decision </w:t>
      </w:r>
      <w:r w:rsidR="346B80C2">
        <w:t xml:space="preserve">to continue with the award of the </w:t>
      </w:r>
      <w:r w:rsidR="4E26887A">
        <w:t xml:space="preserve">five community dermatology </w:t>
      </w:r>
      <w:r w:rsidR="346B80C2">
        <w:t>contract</w:t>
      </w:r>
      <w:r w:rsidR="4E26887A">
        <w:t>s</w:t>
      </w:r>
      <w:r w:rsidR="346B80C2">
        <w:t xml:space="preserve"> to About Health</w:t>
      </w:r>
      <w:r w:rsidR="2E6FBC6B">
        <w:t>.</w:t>
      </w:r>
    </w:p>
    <w:p w14:paraId="125BC717" w14:textId="77777777" w:rsidR="00341E29" w:rsidRDefault="422AB6F3" w:rsidP="00B0164B">
      <w:pPr>
        <w:pStyle w:val="ListParagraph"/>
        <w:ind w:left="567" w:hanging="567"/>
      </w:pPr>
      <w:bookmarkStart w:id="47" w:name="_Ref219473989"/>
      <w:r>
        <w:t>U</w:t>
      </w:r>
      <w:r w:rsidR="0E4C6F52">
        <w:t xml:space="preserve">nder Regulation 12(4)(a) </w:t>
      </w:r>
      <w:r w:rsidR="3002948F">
        <w:t xml:space="preserve">NHS GM is obliged </w:t>
      </w:r>
      <w:r w:rsidR="0E4C6F52">
        <w:t xml:space="preserve">to “ensure each provider who made representations is afforded such further </w:t>
      </w:r>
      <w:r w:rsidR="336F4612">
        <w:t>opportunity to explain or clarify the representations made as the relevant authority considers appropriate”.</w:t>
      </w:r>
    </w:p>
    <w:p w14:paraId="1A3D6B91" w14:textId="2B3961C8" w:rsidR="00065A8A" w:rsidRDefault="3002948F" w:rsidP="1D6CDA0B">
      <w:pPr>
        <w:pStyle w:val="ListParagraph"/>
        <w:ind w:left="567" w:hanging="567"/>
        <w:rPr>
          <w:rFonts w:eastAsia="Arial" w:cs="Arial"/>
          <w:color w:val="000000" w:themeColor="text1"/>
        </w:rPr>
      </w:pPr>
      <w:r>
        <w:t>The Panel notes</w:t>
      </w:r>
      <w:r w:rsidR="3E798761">
        <w:t xml:space="preserve"> that</w:t>
      </w:r>
      <w:r w:rsidR="00BB67F2">
        <w:t xml:space="preserve"> </w:t>
      </w:r>
      <w:r w:rsidR="3E798761">
        <w:t>NHS GM</w:t>
      </w:r>
      <w:r w:rsidR="422AB6F3">
        <w:t xml:space="preserve"> suppl</w:t>
      </w:r>
      <w:r w:rsidR="18F5DEA0">
        <w:t>ied</w:t>
      </w:r>
      <w:r w:rsidR="422AB6F3">
        <w:t xml:space="preserve"> information in the same letter as </w:t>
      </w:r>
      <w:r w:rsidR="00DE02F7">
        <w:t>its</w:t>
      </w:r>
      <w:r w:rsidR="422AB6F3">
        <w:t xml:space="preserve"> further decision on representations</w:t>
      </w:r>
      <w:r w:rsidR="003410F3">
        <w:t>, denying CHEC the opportunity to</w:t>
      </w:r>
      <w:r w:rsidR="002E4D89">
        <w:t xml:space="preserve"> explain or clarify its representations based on this new information</w:t>
      </w:r>
      <w:r w:rsidR="2844A86A">
        <w:t xml:space="preserve">. </w:t>
      </w:r>
      <w:r w:rsidR="002E4D89">
        <w:t>(</w:t>
      </w:r>
      <w:r w:rsidR="2844A86A">
        <w:t>NHS GM explicitly said</w:t>
      </w:r>
      <w:r w:rsidR="61F67C5A">
        <w:t xml:space="preserve"> that no </w:t>
      </w:r>
      <w:r w:rsidR="5B5442A1">
        <w:t>further</w:t>
      </w:r>
      <w:r w:rsidR="61F67C5A">
        <w:t xml:space="preserve"> r</w:t>
      </w:r>
      <w:r w:rsidR="009A264D">
        <w:t>e</w:t>
      </w:r>
      <w:r w:rsidR="61F67C5A">
        <w:t xml:space="preserve">quests for </w:t>
      </w:r>
      <w:r w:rsidR="5471C3A6">
        <w:t>information</w:t>
      </w:r>
      <w:r w:rsidR="61F67C5A">
        <w:t xml:space="preserve"> and clarifications would be permitted and implicitly ref</w:t>
      </w:r>
      <w:r w:rsidR="670CDC06">
        <w:t xml:space="preserve">used </w:t>
      </w:r>
      <w:r w:rsidR="003D6970">
        <w:t>further</w:t>
      </w:r>
      <w:r w:rsidR="670CDC06">
        <w:t xml:space="preserve"> representations</w:t>
      </w:r>
      <w:r w:rsidR="31C4E394">
        <w:t xml:space="preserve"> (see para</w:t>
      </w:r>
      <w:r w:rsidR="003D6970">
        <w:t>graph</w:t>
      </w:r>
      <w:r w:rsidR="00F1143F">
        <w:t xml:space="preserve"> 10</w:t>
      </w:r>
      <w:r w:rsidR="00ED1F1A">
        <w:t>5</w:t>
      </w:r>
      <w:r w:rsidR="31C4E394">
        <w:t>)</w:t>
      </w:r>
      <w:r w:rsidR="670CDC06">
        <w:t>.</w:t>
      </w:r>
      <w:r w:rsidR="15EDB9E6">
        <w:t xml:space="preserve"> If there was any doubt that further representations would not be </w:t>
      </w:r>
      <w:r w:rsidR="00760B6A">
        <w:t>considered</w:t>
      </w:r>
      <w:r w:rsidR="15EDB9E6">
        <w:t>, this</w:t>
      </w:r>
      <w:r w:rsidR="7594A493">
        <w:t xml:space="preserve"> was made clear </w:t>
      </w:r>
      <w:r w:rsidR="15EDB9E6">
        <w:t xml:space="preserve">in NHS GM’s letter of 28 October </w:t>
      </w:r>
      <w:r w:rsidR="005D4C82">
        <w:t xml:space="preserve">2025 </w:t>
      </w:r>
      <w:r w:rsidR="15EDB9E6">
        <w:t>(</w:t>
      </w:r>
      <w:r w:rsidR="09F9858A">
        <w:t>see para</w:t>
      </w:r>
      <w:r w:rsidR="00760B6A">
        <w:t>graph</w:t>
      </w:r>
      <w:bookmarkEnd w:id="47"/>
      <w:r w:rsidR="008F467B">
        <w:t xml:space="preserve"> 107</w:t>
      </w:r>
      <w:r w:rsidR="1796282D">
        <w:t>).</w:t>
      </w:r>
      <w:r w:rsidR="002E4D89">
        <w:t>)</w:t>
      </w:r>
    </w:p>
    <w:p w14:paraId="7050414B" w14:textId="17D4324C" w:rsidR="005008E3" w:rsidRDefault="002B12BB" w:rsidP="00B0164B">
      <w:pPr>
        <w:pStyle w:val="ListParagraph"/>
        <w:ind w:left="567" w:hanging="567"/>
      </w:pPr>
      <w:r>
        <w:t xml:space="preserve">Regarding the </w:t>
      </w:r>
      <w:r w:rsidR="00006252">
        <w:t xml:space="preserve">qualifying phrase in </w:t>
      </w:r>
      <w:r w:rsidR="00437EBE">
        <w:t>Regulation 12(4)(a)</w:t>
      </w:r>
      <w:r w:rsidR="00006252">
        <w:t xml:space="preserve"> “as the relevant authority considers appropriate”</w:t>
      </w:r>
      <w:r w:rsidR="00C539A2">
        <w:t>, t</w:t>
      </w:r>
      <w:r w:rsidR="4FAC0748">
        <w:t xml:space="preserve">his </w:t>
      </w:r>
      <w:r w:rsidR="00C539A2">
        <w:t xml:space="preserve">gave NHS GM </w:t>
      </w:r>
      <w:r w:rsidR="4FAC0748">
        <w:t>some discretion</w:t>
      </w:r>
      <w:r w:rsidR="0517796D">
        <w:t xml:space="preserve"> </w:t>
      </w:r>
      <w:r w:rsidR="005008E3">
        <w:t>over whether CHEC should be given a further opportunity to explain or clarify its representations</w:t>
      </w:r>
      <w:r w:rsidR="00CD2D1B">
        <w:t>, but NHS GM was obliged to act fairly and proportionately in exercising this discretion</w:t>
      </w:r>
      <w:r w:rsidR="005C30BA">
        <w:t xml:space="preserve">. </w:t>
      </w:r>
      <w:r w:rsidR="00BF1369">
        <w:t xml:space="preserve">The Panel’s view is that NHS GM did not act fairly or proportionately in exercising this discretion. This is because </w:t>
      </w:r>
      <w:r w:rsidR="00CA17F2">
        <w:t>of the paucity of information contained in NHS GM’s letter of 18 September 2025 and the much greater information made available in the letter of 21 October.</w:t>
      </w:r>
    </w:p>
    <w:p w14:paraId="1560360A" w14:textId="45A57C8B" w:rsidR="00C54D20" w:rsidRDefault="005E45C0" w:rsidP="00B0164B">
      <w:pPr>
        <w:pStyle w:val="ListParagraph"/>
        <w:ind w:left="567" w:hanging="567"/>
      </w:pPr>
      <w:r>
        <w:t xml:space="preserve">As a result, the Panel finds that NHS GM, in responding to CHEC’s information request of 25 September 2025, breached </w:t>
      </w:r>
      <w:r w:rsidR="008D389D">
        <w:t>its obligations under Regulation 12(4)(a) to “ensure each provider who made representations is afforded such further opportunity to explain or clarify the representations made as the relevant authority considers appropriate”.</w:t>
      </w:r>
      <w:r w:rsidR="31425C7E">
        <w:t xml:space="preserve"> As explained below, the decision not to allow any further representations was taken</w:t>
      </w:r>
      <w:r w:rsidR="255F492A">
        <w:t xml:space="preserve"> alongs</w:t>
      </w:r>
      <w:r w:rsidR="6C81BCE3">
        <w:t>ide the refusal to respond to CHEC’s information request of 9 October 2025.</w:t>
      </w:r>
    </w:p>
    <w:p w14:paraId="14D018E1" w14:textId="5B5C041B" w:rsidR="00F93E76" w:rsidRPr="0085199F" w:rsidRDefault="00F93E76" w:rsidP="00F93E76">
      <w:pPr>
        <w:keepNext/>
        <w:spacing w:before="240"/>
        <w:rPr>
          <w:b/>
          <w:bCs/>
        </w:rPr>
      </w:pPr>
      <w:r w:rsidRPr="0085199F">
        <w:rPr>
          <w:b/>
          <w:bCs/>
        </w:rPr>
        <w:t xml:space="preserve">NHS GM’s response to CHEC’s </w:t>
      </w:r>
      <w:r>
        <w:rPr>
          <w:b/>
          <w:bCs/>
        </w:rPr>
        <w:t>9 October</w:t>
      </w:r>
      <w:r w:rsidRPr="0085199F">
        <w:rPr>
          <w:b/>
          <w:bCs/>
        </w:rPr>
        <w:t xml:space="preserve"> </w:t>
      </w:r>
      <w:r w:rsidR="00671D07">
        <w:rPr>
          <w:b/>
          <w:bCs/>
        </w:rPr>
        <w:t xml:space="preserve">2025 </w:t>
      </w:r>
      <w:r w:rsidRPr="0085199F">
        <w:rPr>
          <w:b/>
          <w:bCs/>
        </w:rPr>
        <w:t>information request</w:t>
      </w:r>
    </w:p>
    <w:p w14:paraId="58CDDB4B" w14:textId="3C1001CE" w:rsidR="00E305A8" w:rsidRDefault="6B5135E9" w:rsidP="00B0164B">
      <w:pPr>
        <w:pStyle w:val="ListParagraph"/>
        <w:ind w:left="567" w:hanging="567"/>
      </w:pPr>
      <w:r>
        <w:t xml:space="preserve">NHS GM’s </w:t>
      </w:r>
      <w:r w:rsidR="00CB6C2E">
        <w:t xml:space="preserve">letter of 21 October 2025 </w:t>
      </w:r>
      <w:r w:rsidR="3044118B">
        <w:t xml:space="preserve">also </w:t>
      </w:r>
      <w:r w:rsidR="00CB6C2E">
        <w:t xml:space="preserve">responded to </w:t>
      </w:r>
      <w:r>
        <w:t>CHEC’s 9 October information request</w:t>
      </w:r>
      <w:r w:rsidR="00623570">
        <w:t xml:space="preserve">. </w:t>
      </w:r>
      <w:r w:rsidR="001E4B20">
        <w:t xml:space="preserve">This information request was more closely aligned to </w:t>
      </w:r>
      <w:r w:rsidR="008916E5">
        <w:t>NHS GM’s recordkeeping obligations under Regulation 24 (see paragraph</w:t>
      </w:r>
      <w:r w:rsidR="00ED1F1A">
        <w:t xml:space="preserve"> 102</w:t>
      </w:r>
      <w:r w:rsidR="000F09C1">
        <w:t>)</w:t>
      </w:r>
      <w:r w:rsidR="00853C78">
        <w:t>, and a</w:t>
      </w:r>
      <w:r w:rsidR="00623570">
        <w:t>s set out in paragraph</w:t>
      </w:r>
      <w:r w:rsidR="00ED1F1A">
        <w:t xml:space="preserve"> 105</w:t>
      </w:r>
      <w:r w:rsidR="0074200B">
        <w:t>,</w:t>
      </w:r>
      <w:r w:rsidR="00AC504A">
        <w:t xml:space="preserve"> NHS GM </w:t>
      </w:r>
      <w:r w:rsidR="0DAAF421">
        <w:t>refus</w:t>
      </w:r>
      <w:r w:rsidR="00AC504A">
        <w:t xml:space="preserve">ed </w:t>
      </w:r>
      <w:r w:rsidR="0DAAF421">
        <w:t>to supply any of the requested information.</w:t>
      </w:r>
    </w:p>
    <w:p w14:paraId="29440EA9" w14:textId="54253C3B" w:rsidR="00114A21" w:rsidRDefault="00114A21" w:rsidP="00B0164B">
      <w:pPr>
        <w:pStyle w:val="ListParagraph"/>
        <w:ind w:left="567" w:hanging="567"/>
      </w:pPr>
      <w:r>
        <w:t xml:space="preserve">The Panel notes that </w:t>
      </w:r>
      <w:r w:rsidR="193D9B6D">
        <w:t>Regulation 12(4)</w:t>
      </w:r>
      <w:r w:rsidR="6081972E">
        <w:t xml:space="preserve"> provide</w:t>
      </w:r>
      <w:r w:rsidR="00595BA6">
        <w:t>s</w:t>
      </w:r>
      <w:r w:rsidR="6081972E">
        <w:t xml:space="preserve"> that when a relevant authority receives representations it must provide promptly any </w:t>
      </w:r>
      <w:r w:rsidR="6E08A9D2">
        <w:t>information</w:t>
      </w:r>
      <w:r w:rsidR="6081972E">
        <w:t xml:space="preserve"> requested </w:t>
      </w:r>
      <w:r w:rsidR="20136419">
        <w:t xml:space="preserve">by an aggrieved </w:t>
      </w:r>
      <w:r w:rsidR="20136419">
        <w:lastRenderedPageBreak/>
        <w:t xml:space="preserve">provider where the relevant authority has a duty to record that information under </w:t>
      </w:r>
      <w:r w:rsidR="00924A39">
        <w:t>R</w:t>
      </w:r>
      <w:r w:rsidR="20136419">
        <w:t>egulation 24</w:t>
      </w:r>
      <w:r w:rsidR="00924A39">
        <w:t xml:space="preserve">. </w:t>
      </w:r>
      <w:r w:rsidR="00D43A43">
        <w:t xml:space="preserve">Regulation 12(5) says that </w:t>
      </w:r>
      <w:r w:rsidR="00072384">
        <w:t>a commissioner does not have to supply requested information where it: (a) would prejudice the legitimate commercial interests of any person, including those of the relevant authority; (b) might prejudice fair competition between providers; or (c) would otherwise be contrary to the public interest</w:t>
      </w:r>
      <w:r w:rsidR="00267C30">
        <w:t>.</w:t>
      </w:r>
      <w:r w:rsidR="00D87695" w:rsidRPr="00D87695">
        <w:t xml:space="preserve"> </w:t>
      </w:r>
      <w:r w:rsidR="00D87695">
        <w:t>NHS GM’s response does not cite any of the grounds set out in Regulation 12(5) for refusing to supply this information.</w:t>
      </w:r>
    </w:p>
    <w:p w14:paraId="584D4CB4" w14:textId="1D1766C1" w:rsidR="004C6871" w:rsidRDefault="07AFA88A" w:rsidP="00A764A4">
      <w:pPr>
        <w:pStyle w:val="ListParagraph"/>
        <w:ind w:left="567" w:hanging="567"/>
      </w:pPr>
      <w:r>
        <w:t xml:space="preserve">The Panel </w:t>
      </w:r>
      <w:r w:rsidR="4311776E">
        <w:t xml:space="preserve">further </w:t>
      </w:r>
      <w:r>
        <w:t>notes that NHS GM’s explanation of the rationale for its refusal (see paragraphs</w:t>
      </w:r>
      <w:r w:rsidR="0096445B">
        <w:t xml:space="preserve"> 107</w:t>
      </w:r>
      <w:r>
        <w:t xml:space="preserve"> and</w:t>
      </w:r>
      <w:r w:rsidR="0096445B">
        <w:t xml:space="preserve"> 108</w:t>
      </w:r>
      <w:r>
        <w:t xml:space="preserve">) appears to rely on </w:t>
      </w:r>
      <w:r w:rsidR="2EA242CC">
        <w:t>the qualif</w:t>
      </w:r>
      <w:r w:rsidR="22E4A067">
        <w:t xml:space="preserve">ying phrase </w:t>
      </w:r>
      <w:r w:rsidR="2EA242CC">
        <w:t xml:space="preserve">contained in </w:t>
      </w:r>
      <w:r w:rsidR="2E2803AF">
        <w:t>Regulation 12(4)(a)</w:t>
      </w:r>
      <w:r w:rsidR="22E4A067">
        <w:t xml:space="preserve"> i.e. “</w:t>
      </w:r>
      <w:r w:rsidR="4E1B4303">
        <w:t>as the relevant authority considers appropriate”</w:t>
      </w:r>
      <w:r w:rsidR="000E4D83">
        <w:t xml:space="preserve">. As discussed </w:t>
      </w:r>
      <w:r w:rsidR="3AE9F377">
        <w:t>above</w:t>
      </w:r>
      <w:r w:rsidR="000E4D83">
        <w:t>, this qualifying phrase</w:t>
      </w:r>
      <w:r w:rsidR="3AE9F377">
        <w:t xml:space="preserve"> is linked to </w:t>
      </w:r>
      <w:r w:rsidR="066110DF">
        <w:t>the commissioner’s</w:t>
      </w:r>
      <w:r w:rsidR="3AE9F377">
        <w:t xml:space="preserve"> </w:t>
      </w:r>
      <w:r w:rsidR="066110DF">
        <w:t xml:space="preserve">obligation to afford providers </w:t>
      </w:r>
      <w:r w:rsidR="2C8BEFD2">
        <w:t>further</w:t>
      </w:r>
      <w:r w:rsidR="066110DF">
        <w:t xml:space="preserve"> opportunity to </w:t>
      </w:r>
      <w:r w:rsidR="2C8BEFD2">
        <w:t>explain or clarify their representations (see paragraph</w:t>
      </w:r>
      <w:r w:rsidR="0096445B">
        <w:t xml:space="preserve"> 111</w:t>
      </w:r>
      <w:r w:rsidR="2C8BEFD2">
        <w:t>).</w:t>
      </w:r>
      <w:r w:rsidR="0020029A">
        <w:t xml:space="preserve"> </w:t>
      </w:r>
      <w:r w:rsidR="00E92C41">
        <w:t>T</w:t>
      </w:r>
      <w:r w:rsidR="6297439F">
        <w:t xml:space="preserve">he Panel </w:t>
      </w:r>
      <w:r w:rsidR="00E17B18">
        <w:t xml:space="preserve">does not regard </w:t>
      </w:r>
      <w:r w:rsidR="00BE70C5">
        <w:t xml:space="preserve">this qualifying phrase </w:t>
      </w:r>
      <w:r w:rsidR="00E17B18">
        <w:t>a</w:t>
      </w:r>
      <w:r w:rsidR="00BE70C5">
        <w:t xml:space="preserve">s </w:t>
      </w:r>
      <w:r w:rsidR="00E17B18">
        <w:t xml:space="preserve">an additional ground </w:t>
      </w:r>
      <w:r w:rsidR="00DC511C">
        <w:t xml:space="preserve">to those set out in Regulation 12(5) </w:t>
      </w:r>
      <w:r w:rsidR="00E214E0">
        <w:t xml:space="preserve">for </w:t>
      </w:r>
      <w:r w:rsidR="57EFF7E9">
        <w:t>refus</w:t>
      </w:r>
      <w:r w:rsidR="00E214E0">
        <w:t>ing</w:t>
      </w:r>
      <w:r w:rsidR="57EFF7E9">
        <w:t xml:space="preserve"> to supply information.</w:t>
      </w:r>
    </w:p>
    <w:p w14:paraId="44C6D7C7" w14:textId="51A687A9" w:rsidR="0067578A" w:rsidRDefault="00FE64AF" w:rsidP="00B0164B">
      <w:pPr>
        <w:pStyle w:val="ListParagraph"/>
        <w:ind w:left="567" w:hanging="567"/>
      </w:pPr>
      <w:bookmarkStart w:id="48" w:name="_Ref216802821"/>
      <w:r>
        <w:t xml:space="preserve">The Panel is further of the view that the other explanations advanced by NHS GM </w:t>
      </w:r>
      <w:r w:rsidR="00D926AD">
        <w:t xml:space="preserve">in its letter of 28 October 2025 </w:t>
      </w:r>
      <w:r w:rsidR="00A764A4">
        <w:t xml:space="preserve">for refusing to respond to </w:t>
      </w:r>
      <w:r w:rsidR="00D926AD">
        <w:t xml:space="preserve">CHEC’s 9 October information request </w:t>
      </w:r>
      <w:r>
        <w:t xml:space="preserve">are </w:t>
      </w:r>
      <w:r w:rsidR="00D96CD6" w:rsidRPr="00D96CD6">
        <w:t xml:space="preserve">not, even if these were intended as such, adequate justification for </w:t>
      </w:r>
      <w:r w:rsidR="4EF16B7F">
        <w:t xml:space="preserve">any of the grounds </w:t>
      </w:r>
      <w:r w:rsidR="00D96CD6" w:rsidRPr="00D96CD6">
        <w:t>to apply</w:t>
      </w:r>
      <w:r w:rsidR="0020029A">
        <w:t>.</w:t>
      </w:r>
      <w:r>
        <w:t xml:space="preserve"> To the extent that the</w:t>
      </w:r>
      <w:r w:rsidR="00AE6325">
        <w:t xml:space="preserve">re were delays arising from the representation review process, these were </w:t>
      </w:r>
      <w:r w:rsidR="007B2461">
        <w:t xml:space="preserve">for the most part the result of </w:t>
      </w:r>
      <w:r w:rsidR="00AE6325">
        <w:t>NHS GM</w:t>
      </w:r>
      <w:r w:rsidR="007B2461">
        <w:t>’s actions</w:t>
      </w:r>
      <w:r w:rsidR="00BA4D0A">
        <w:t xml:space="preserve">, as </w:t>
      </w:r>
      <w:r w:rsidR="003433E8">
        <w:t>NHS GM’s</w:t>
      </w:r>
      <w:r w:rsidR="00BA4D0A">
        <w:t xml:space="preserve"> insufficient responses to</w:t>
      </w:r>
      <w:r w:rsidR="003433E8">
        <w:t xml:space="preserve"> CHEC’s earlier information requests </w:t>
      </w:r>
      <w:r w:rsidR="004758F6">
        <w:t>contributed to CHEC’s</w:t>
      </w:r>
      <w:r w:rsidR="00D70363">
        <w:t xml:space="preserve"> view that it</w:t>
      </w:r>
      <w:r w:rsidR="002575AB">
        <w:t xml:space="preserve"> required further information disclosure </w:t>
      </w:r>
      <w:r w:rsidR="00972A2B">
        <w:t xml:space="preserve">from NHS GM in order to </w:t>
      </w:r>
      <w:r w:rsidR="00E41507">
        <w:t xml:space="preserve">feel assured of the </w:t>
      </w:r>
      <w:r w:rsidR="00526C29">
        <w:t>robustness of NHS GM’s process</w:t>
      </w:r>
      <w:r w:rsidR="007B2461">
        <w:t>.</w:t>
      </w:r>
    </w:p>
    <w:bookmarkEnd w:id="48"/>
    <w:p w14:paraId="440FC7B1" w14:textId="4EAFEEB2" w:rsidR="00E2187C" w:rsidRDefault="003011E4" w:rsidP="00B0164B">
      <w:pPr>
        <w:pStyle w:val="ListParagraph"/>
        <w:ind w:left="567" w:hanging="567"/>
      </w:pPr>
      <w:r>
        <w:t>As a result, t</w:t>
      </w:r>
      <w:r w:rsidR="0061406E">
        <w:t xml:space="preserve">he Panel finds that NHS GM, in responding to CHEC’s </w:t>
      </w:r>
      <w:r w:rsidR="001B40AD">
        <w:t>information request of 9 October 2025</w:t>
      </w:r>
      <w:r w:rsidR="00897903">
        <w:t>, breached the PSR regulations, and in particular Regulation 12(4)</w:t>
      </w:r>
      <w:r w:rsidR="005D7F6C">
        <w:t>(b</w:t>
      </w:r>
      <w:r w:rsidR="00897903">
        <w:t>)</w:t>
      </w:r>
      <w:r w:rsidR="00897903" w:rsidDel="008D1A88">
        <w:t xml:space="preserve">, which requires it to </w:t>
      </w:r>
      <w:r w:rsidR="005E0BF5">
        <w:t>“provide promptly any information requested by an aggrieved provider where the relevant authority has a duty to record that information”.</w:t>
      </w:r>
    </w:p>
    <w:p w14:paraId="70E363CC" w14:textId="76B9F1B1" w:rsidR="00710195" w:rsidRDefault="00EE7DE9" w:rsidP="00CE17B6">
      <w:pPr>
        <w:pStyle w:val="Heading1"/>
      </w:pPr>
      <w:bookmarkStart w:id="49" w:name="_Toc219399099"/>
      <w:r>
        <w:t>Panel Advice</w:t>
      </w:r>
      <w:bookmarkEnd w:id="49"/>
    </w:p>
    <w:p w14:paraId="1F1041C5" w14:textId="27B4F47D" w:rsidR="00B10C22" w:rsidRDefault="002F5E40" w:rsidP="00B0164B">
      <w:pPr>
        <w:pStyle w:val="ListParagraph"/>
        <w:ind w:left="567" w:hanging="567"/>
      </w:pPr>
      <w:r>
        <w:t>T</w:t>
      </w:r>
      <w:r w:rsidR="00B10C22">
        <w:t xml:space="preserve">he Panel’s findings on the provider selection process carried out by </w:t>
      </w:r>
      <w:r w:rsidR="0052167D">
        <w:t>NHS GM</w:t>
      </w:r>
      <w:r w:rsidR="00B10C22">
        <w:t xml:space="preserve"> for </w:t>
      </w:r>
      <w:r w:rsidR="0052167D">
        <w:t xml:space="preserve">its community dermatology </w:t>
      </w:r>
      <w:r w:rsidR="00B10C22">
        <w:t>service are as follows:</w:t>
      </w:r>
    </w:p>
    <w:p w14:paraId="4DB7E8B3" w14:textId="75F3DF02" w:rsidR="00B10C22" w:rsidRPr="00EA773C" w:rsidRDefault="00B10C22" w:rsidP="00420F51">
      <w:pPr>
        <w:pStyle w:val="ListParagraph"/>
        <w:numPr>
          <w:ilvl w:val="0"/>
          <w:numId w:val="11"/>
        </w:numPr>
      </w:pPr>
      <w:r w:rsidRPr="00EA773C">
        <w:t xml:space="preserve">First, the Panel finds </w:t>
      </w:r>
      <w:r w:rsidR="002F5E40">
        <w:t>that NHS GM, in announcing About Health as the successful bidder without assuring itself that its selection remained valid following About Health’s change in ownership, breached the PSR regulations and in particular the obligation to act fairly.</w:t>
      </w:r>
    </w:p>
    <w:p w14:paraId="49AC8A33" w14:textId="77777777" w:rsidR="004C79D0" w:rsidRDefault="004C79D0" w:rsidP="004C79D0">
      <w:pPr>
        <w:pStyle w:val="ListParagraph"/>
        <w:numPr>
          <w:ilvl w:val="0"/>
          <w:numId w:val="11"/>
        </w:numPr>
        <w:spacing w:after="120"/>
      </w:pPr>
      <w:r w:rsidRPr="00EA773C">
        <w:t xml:space="preserve">Second, </w:t>
      </w:r>
      <w:r>
        <w:t>the Panel finds that NHS GM, in responding to CHEC’s information request of 25 September 2025 at the same time as advising CHEC of its further decision, breached its obligations under Regulation 12(4)(a) to “ensure each provider who made representations is afforded such further opportunity to explain or clarify the representations made as the relevant authority considers appropriate”.</w:t>
      </w:r>
    </w:p>
    <w:p w14:paraId="7B3EAAC7" w14:textId="77777777" w:rsidR="004C79D0" w:rsidRDefault="004C79D0" w:rsidP="004C79D0">
      <w:pPr>
        <w:pStyle w:val="ListParagraph"/>
        <w:numPr>
          <w:ilvl w:val="0"/>
          <w:numId w:val="11"/>
        </w:numPr>
      </w:pPr>
      <w:r>
        <w:t>Finally, the Panel finds that NHS GM, in refusing to respond to CHEC’s information request of 9 October 2025, breached the PSR regulations, and in particular Regulation 12(4)(b)</w:t>
      </w:r>
      <w:r w:rsidDel="008D1A88">
        <w:t xml:space="preserve">, which requires it to </w:t>
      </w:r>
      <w:r>
        <w:t xml:space="preserve">“provide promptly any </w:t>
      </w:r>
      <w:r>
        <w:lastRenderedPageBreak/>
        <w:t>information requested by an aggrieved provider where the relevant authority has a duty to record that information”.</w:t>
      </w:r>
    </w:p>
    <w:p w14:paraId="5BF6D2EB" w14:textId="77777777" w:rsidR="00137FC2" w:rsidRPr="00827969" w:rsidRDefault="00137FC2" w:rsidP="00B0164B">
      <w:pPr>
        <w:pStyle w:val="ListParagraph"/>
        <w:spacing w:after="120"/>
        <w:ind w:left="567" w:hanging="567"/>
        <w:contextualSpacing/>
      </w:pPr>
      <w:r w:rsidRPr="00827969">
        <w:t>Given these conclusions, three options are open to the Panel. The Panel may advise that:</w:t>
      </w:r>
    </w:p>
    <w:p w14:paraId="2706621B" w14:textId="5050FDA2" w:rsidR="00137FC2" w:rsidRPr="00827969" w:rsidRDefault="00137FC2" w:rsidP="00827969">
      <w:pPr>
        <w:pStyle w:val="ListParagraph"/>
        <w:numPr>
          <w:ilvl w:val="0"/>
          <w:numId w:val="12"/>
        </w:numPr>
        <w:contextualSpacing/>
      </w:pPr>
      <w:r w:rsidRPr="00827969">
        <w:t xml:space="preserve">The breaches had no material effect on </w:t>
      </w:r>
      <w:r w:rsidR="00827969">
        <w:t>NHS GM</w:t>
      </w:r>
      <w:r w:rsidRPr="00827969">
        <w:t>’s selection of a provider and it should proceed with awarding the contract as originally intended;</w:t>
      </w:r>
    </w:p>
    <w:p w14:paraId="3AEE6C64" w14:textId="3C0FB162" w:rsidR="00137FC2" w:rsidRPr="00827969" w:rsidRDefault="00827969" w:rsidP="00827969">
      <w:pPr>
        <w:pStyle w:val="ListParagraph"/>
        <w:numPr>
          <w:ilvl w:val="0"/>
          <w:numId w:val="12"/>
        </w:numPr>
        <w:contextualSpacing/>
      </w:pPr>
      <w:r>
        <w:t>NHS GM</w:t>
      </w:r>
      <w:r w:rsidR="00137FC2">
        <w:t xml:space="preserve"> </w:t>
      </w:r>
      <w:r w:rsidR="00137FC2" w:rsidRPr="00827969">
        <w:t>should return to an earlier step in the provider selection process to rectify the issues identified by the Panel; or</w:t>
      </w:r>
    </w:p>
    <w:p w14:paraId="67C11636" w14:textId="40F3C62B" w:rsidR="00137FC2" w:rsidRPr="00827969" w:rsidRDefault="00827969" w:rsidP="00137FC2">
      <w:pPr>
        <w:pStyle w:val="ListParagraph"/>
        <w:numPr>
          <w:ilvl w:val="0"/>
          <w:numId w:val="12"/>
        </w:numPr>
      </w:pPr>
      <w:r>
        <w:t>NHS GM</w:t>
      </w:r>
      <w:r w:rsidR="00137FC2" w:rsidRPr="00827969">
        <w:t xml:space="preserve"> should abandon the current provider selection process.</w:t>
      </w:r>
    </w:p>
    <w:p w14:paraId="4B0DF696" w14:textId="77777777" w:rsidR="006F3011" w:rsidRDefault="006F3011" w:rsidP="006F3011">
      <w:pPr>
        <w:pStyle w:val="ListParagraph"/>
        <w:ind w:left="567" w:hanging="567"/>
      </w:pPr>
      <w:r w:rsidRPr="001E6347">
        <w:t>The Panel’s view is that the breaches</w:t>
      </w:r>
      <w:r>
        <w:t xml:space="preserve"> it has</w:t>
      </w:r>
      <w:r w:rsidRPr="001E6347">
        <w:t xml:space="preserve"> identified may have had a material effect on NHS GM’s selection of a provider given that NHS GM could not be assured that its scores for About Health’s responses to the questions </w:t>
      </w:r>
      <w:r>
        <w:t xml:space="preserve">for bidders </w:t>
      </w:r>
      <w:r w:rsidRPr="001E6347">
        <w:t xml:space="preserve">were still valid following </w:t>
      </w:r>
      <w:r>
        <w:t>About Health’s</w:t>
      </w:r>
      <w:r w:rsidRPr="001E6347">
        <w:t xml:space="preserve"> change in ownership, and that About Health continued to be the highest ranked bidder for the community dermatology services contracts.</w:t>
      </w:r>
    </w:p>
    <w:p w14:paraId="71B9B7A6" w14:textId="065FDF8A" w:rsidR="006F3011" w:rsidRDefault="006F3011" w:rsidP="006F3011">
      <w:pPr>
        <w:pStyle w:val="ListParagraph"/>
        <w:ind w:left="567" w:hanging="567"/>
      </w:pPr>
      <w:r>
        <w:t xml:space="preserve">As a result, the Panel’s advice is that NHS GM should return to an earlier step in the provider selection process to rectify the issues identified by the Panel. </w:t>
      </w:r>
      <w:r w:rsidR="00262B73">
        <w:t>Specifically</w:t>
      </w:r>
      <w:r>
        <w:t xml:space="preserve">, the Panel advises NHS GM to </w:t>
      </w:r>
      <w:r w:rsidR="00A732B0">
        <w:t xml:space="preserve">return </w:t>
      </w:r>
      <w:r w:rsidR="00C0323B">
        <w:t>to Step 3 of the competitive process (</w:t>
      </w:r>
      <w:r w:rsidR="007F17A9">
        <w:t>assessment of offers received). The Panel’s advice</w:t>
      </w:r>
      <w:r w:rsidR="005A4780">
        <w:t>, however,</w:t>
      </w:r>
      <w:r w:rsidR="007F17A9">
        <w:t xml:space="preserve"> is that</w:t>
      </w:r>
      <w:r w:rsidR="003B24EA">
        <w:t>, in doing so,</w:t>
      </w:r>
      <w:r w:rsidR="007F17A9">
        <w:t xml:space="preserve"> NHS GM may </w:t>
      </w:r>
      <w:r w:rsidR="008131B6">
        <w:t xml:space="preserve">confine </w:t>
      </w:r>
      <w:r w:rsidR="007F17A9">
        <w:t xml:space="preserve">its </w:t>
      </w:r>
      <w:r>
        <w:t>reassess</w:t>
      </w:r>
      <w:r w:rsidR="00D273F0">
        <w:t>ment to the</w:t>
      </w:r>
      <w:r>
        <w:t xml:space="preserve"> </w:t>
      </w:r>
      <w:r w:rsidR="00C14796">
        <w:t xml:space="preserve">relevant elements of </w:t>
      </w:r>
      <w:r>
        <w:t xml:space="preserve">the offer received from About Health, after gathering sufficient information about the potential effect of </w:t>
      </w:r>
      <w:r w:rsidR="00C14796">
        <w:t xml:space="preserve">About Health’s </w:t>
      </w:r>
      <w:r>
        <w:t>change in ownership on its proposal.</w:t>
      </w:r>
      <w:r w:rsidR="005215D6">
        <w:t xml:space="preserve"> NHS GM should then</w:t>
      </w:r>
      <w:r w:rsidR="005215D6" w:rsidRPr="005215D6">
        <w:t xml:space="preserve"> follow the subsequent steps of the</w:t>
      </w:r>
      <w:r w:rsidR="005215D6">
        <w:t xml:space="preserve"> competitive</w:t>
      </w:r>
      <w:r w:rsidR="005215D6" w:rsidRPr="005215D6">
        <w:t xml:space="preserve"> process</w:t>
      </w:r>
      <w:r w:rsidR="005215D6">
        <w:t>.</w:t>
      </w:r>
    </w:p>
    <w:p w14:paraId="7C0353B2" w14:textId="77777777" w:rsidR="00FE6E7F" w:rsidRPr="00FE6E7F" w:rsidRDefault="00FE6E7F" w:rsidP="00FE6E7F">
      <w:pPr>
        <w:rPr>
          <w:highlight w:val="yellow"/>
        </w:rPr>
      </w:pPr>
    </w:p>
    <w:sectPr w:rsidR="00FE6E7F" w:rsidRPr="00FE6E7F" w:rsidSect="004B7832">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8F3B" w14:textId="77777777" w:rsidR="00E62477" w:rsidRDefault="00E62477" w:rsidP="009640E5">
      <w:pPr>
        <w:spacing w:after="0" w:line="240" w:lineRule="auto"/>
      </w:pPr>
      <w:r>
        <w:separator/>
      </w:r>
    </w:p>
  </w:endnote>
  <w:endnote w:type="continuationSeparator" w:id="0">
    <w:p w14:paraId="02B67113" w14:textId="77777777" w:rsidR="00E62477" w:rsidRDefault="00E62477" w:rsidP="009640E5">
      <w:pPr>
        <w:spacing w:after="0" w:line="240" w:lineRule="auto"/>
      </w:pPr>
      <w:r>
        <w:continuationSeparator/>
      </w:r>
    </w:p>
  </w:endnote>
  <w:endnote w:type="continuationNotice" w:id="1">
    <w:p w14:paraId="5DD94B12" w14:textId="77777777" w:rsidR="00E62477" w:rsidRDefault="00E62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204637"/>
      <w:docPartObj>
        <w:docPartGallery w:val="Page Numbers (Bottom of Page)"/>
        <w:docPartUnique/>
      </w:docPartObj>
    </w:sdtPr>
    <w:sdtEndPr>
      <w:rPr>
        <w:noProof/>
        <w:sz w:val="20"/>
        <w:szCs w:val="20"/>
      </w:rPr>
    </w:sdtEndPr>
    <w:sdtContent>
      <w:p w14:paraId="3D898213" w14:textId="4D46CF2C" w:rsidR="00DC7395" w:rsidRPr="001C7530" w:rsidRDefault="00DC7395">
        <w:pPr>
          <w:pStyle w:val="Footer"/>
          <w:jc w:val="right"/>
          <w:rPr>
            <w:sz w:val="20"/>
            <w:szCs w:val="20"/>
          </w:rPr>
        </w:pPr>
        <w:r w:rsidRPr="001C7530">
          <w:rPr>
            <w:sz w:val="20"/>
            <w:szCs w:val="20"/>
          </w:rPr>
          <w:fldChar w:fldCharType="begin"/>
        </w:r>
        <w:r w:rsidRPr="001C7530">
          <w:rPr>
            <w:sz w:val="20"/>
            <w:szCs w:val="20"/>
          </w:rPr>
          <w:instrText xml:space="preserve"> PAGE   \* MERGEFORMAT </w:instrText>
        </w:r>
        <w:r w:rsidRPr="001C7530">
          <w:rPr>
            <w:sz w:val="20"/>
            <w:szCs w:val="20"/>
          </w:rPr>
          <w:fldChar w:fldCharType="separate"/>
        </w:r>
        <w:r w:rsidRPr="001C7530">
          <w:rPr>
            <w:noProof/>
            <w:sz w:val="20"/>
            <w:szCs w:val="20"/>
          </w:rPr>
          <w:t>2</w:t>
        </w:r>
        <w:r w:rsidRPr="001C7530">
          <w:rPr>
            <w:noProof/>
            <w:sz w:val="20"/>
            <w:szCs w:val="20"/>
          </w:rPr>
          <w:fldChar w:fldCharType="end"/>
        </w:r>
      </w:p>
    </w:sdtContent>
  </w:sdt>
  <w:p w14:paraId="6B9BEC7F" w14:textId="77777777" w:rsidR="008A456A" w:rsidRDefault="008A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AA3B" w14:textId="77777777" w:rsidR="00E62477" w:rsidRDefault="00E62477" w:rsidP="009640E5">
      <w:pPr>
        <w:spacing w:after="0" w:line="240" w:lineRule="auto"/>
      </w:pPr>
      <w:r>
        <w:separator/>
      </w:r>
    </w:p>
  </w:footnote>
  <w:footnote w:type="continuationSeparator" w:id="0">
    <w:p w14:paraId="4A0561BE" w14:textId="77777777" w:rsidR="00E62477" w:rsidRDefault="00E62477" w:rsidP="009640E5">
      <w:pPr>
        <w:spacing w:after="0" w:line="240" w:lineRule="auto"/>
      </w:pPr>
      <w:r>
        <w:continuationSeparator/>
      </w:r>
    </w:p>
  </w:footnote>
  <w:footnote w:type="continuationNotice" w:id="1">
    <w:p w14:paraId="0F38F9B9" w14:textId="77777777" w:rsidR="00E62477" w:rsidRDefault="00E62477">
      <w:pPr>
        <w:spacing w:after="0" w:line="240" w:lineRule="auto"/>
      </w:pPr>
    </w:p>
  </w:footnote>
  <w:footnote w:id="2">
    <w:p w14:paraId="4B0628B1" w14:textId="251A5748" w:rsidR="007A2659" w:rsidRPr="00025A2F" w:rsidRDefault="007A2659">
      <w:pPr>
        <w:pStyle w:val="FootnoteText"/>
        <w:rPr>
          <w:sz w:val="16"/>
          <w:szCs w:val="16"/>
        </w:rPr>
      </w:pPr>
      <w:r w:rsidRPr="00025A2F">
        <w:rPr>
          <w:rStyle w:val="FootnoteReference"/>
          <w:sz w:val="16"/>
          <w:szCs w:val="16"/>
        </w:rPr>
        <w:footnoteRef/>
      </w:r>
      <w:r w:rsidRPr="00025A2F">
        <w:rPr>
          <w:sz w:val="16"/>
          <w:szCs w:val="16"/>
        </w:rPr>
        <w:t xml:space="preserve"> </w:t>
      </w:r>
      <w:r w:rsidR="00054743" w:rsidRPr="00025A2F">
        <w:rPr>
          <w:sz w:val="16"/>
          <w:szCs w:val="16"/>
        </w:rPr>
        <w:t>CHEC</w:t>
      </w:r>
      <w:r w:rsidRPr="00025A2F">
        <w:rPr>
          <w:sz w:val="16"/>
          <w:szCs w:val="16"/>
        </w:rPr>
        <w:t xml:space="preserve"> is </w:t>
      </w:r>
      <w:r w:rsidR="00C0719B" w:rsidRPr="00025A2F">
        <w:rPr>
          <w:sz w:val="16"/>
          <w:szCs w:val="16"/>
        </w:rPr>
        <w:t>a provider</w:t>
      </w:r>
      <w:r w:rsidR="0016032C" w:rsidRPr="00025A2F">
        <w:rPr>
          <w:sz w:val="16"/>
          <w:szCs w:val="16"/>
        </w:rPr>
        <w:t xml:space="preserve"> of community ophthalmology, gastroenterology, dermatology and ENT services</w:t>
      </w:r>
      <w:r w:rsidRPr="00025A2F">
        <w:rPr>
          <w:sz w:val="16"/>
          <w:szCs w:val="16"/>
        </w:rPr>
        <w:t xml:space="preserve">. Further information can be found on its website at </w:t>
      </w:r>
      <w:hyperlink r:id="rId1" w:history="1">
        <w:r w:rsidR="00C0719B" w:rsidRPr="00025A2F">
          <w:rPr>
            <w:rStyle w:val="Hyperlink"/>
            <w:sz w:val="16"/>
            <w:szCs w:val="16"/>
          </w:rPr>
          <w:t>https://chec.uk/</w:t>
        </w:r>
      </w:hyperlink>
      <w:r w:rsidR="00C0719B" w:rsidRPr="00025A2F">
        <w:rPr>
          <w:sz w:val="16"/>
          <w:szCs w:val="16"/>
        </w:rPr>
        <w:t>.</w:t>
      </w:r>
    </w:p>
  </w:footnote>
  <w:footnote w:id="3">
    <w:p w14:paraId="472E16BB" w14:textId="77777777" w:rsidR="008B4F5C" w:rsidRPr="00025A2F" w:rsidRDefault="008B4F5C" w:rsidP="008B4F5C">
      <w:pPr>
        <w:pStyle w:val="FootnoteText"/>
        <w:rPr>
          <w:sz w:val="16"/>
          <w:szCs w:val="16"/>
        </w:rPr>
      </w:pPr>
      <w:r w:rsidRPr="00025A2F">
        <w:rPr>
          <w:rStyle w:val="FootnoteReference"/>
          <w:sz w:val="16"/>
          <w:szCs w:val="16"/>
        </w:rPr>
        <w:footnoteRef/>
      </w:r>
      <w:r w:rsidRPr="00025A2F">
        <w:rPr>
          <w:sz w:val="16"/>
          <w:szCs w:val="16"/>
        </w:rPr>
        <w:t xml:space="preserve"> NHS GM is the statutory body responsible for planning health services for the Greater Manchester population and managing the budget for these services. Further information on NHS GM can be found on its website at </w:t>
      </w:r>
      <w:hyperlink r:id="rId2" w:history="1">
        <w:r w:rsidRPr="00025A2F">
          <w:rPr>
            <w:rStyle w:val="Hyperlink"/>
            <w:sz w:val="16"/>
            <w:szCs w:val="16"/>
          </w:rPr>
          <w:t>https://gmintegratedcare.org.uk/</w:t>
        </w:r>
      </w:hyperlink>
      <w:r w:rsidRPr="00025A2F">
        <w:rPr>
          <w:sz w:val="16"/>
          <w:szCs w:val="16"/>
        </w:rPr>
        <w:t>.</w:t>
      </w:r>
    </w:p>
  </w:footnote>
  <w:footnote w:id="4">
    <w:p w14:paraId="34E0E446" w14:textId="3DAED22C" w:rsidR="00D552EE" w:rsidRPr="00025A2F" w:rsidRDefault="00D552EE">
      <w:pPr>
        <w:pStyle w:val="FootnoteText"/>
        <w:rPr>
          <w:sz w:val="16"/>
          <w:szCs w:val="16"/>
        </w:rPr>
      </w:pPr>
      <w:r w:rsidRPr="00025A2F">
        <w:rPr>
          <w:rStyle w:val="FootnoteReference"/>
          <w:sz w:val="16"/>
          <w:szCs w:val="16"/>
        </w:rPr>
        <w:footnoteRef/>
      </w:r>
      <w:r w:rsidRPr="00025A2F">
        <w:rPr>
          <w:sz w:val="16"/>
          <w:szCs w:val="16"/>
        </w:rPr>
        <w:t xml:space="preserve"> The Panel’s case acceptance criteria are available at </w:t>
      </w:r>
      <w:hyperlink r:id="rId3" w:history="1">
        <w:r w:rsidRPr="00025A2F">
          <w:rPr>
            <w:rStyle w:val="Hyperlink"/>
            <w:rFonts w:cs="Arial"/>
            <w:sz w:val="16"/>
            <w:szCs w:val="16"/>
          </w:rPr>
          <w:t>https://www.england.nhs.uk/commissioning/how-commissioning-is-changing/nhs-provider-selection-regime/independent-patient-choice-and-procurement-panel/</w:t>
        </w:r>
      </w:hyperlink>
      <w:r w:rsidRPr="00025A2F">
        <w:rPr>
          <w:sz w:val="16"/>
          <w:szCs w:val="16"/>
        </w:rPr>
        <w:t>.</w:t>
      </w:r>
    </w:p>
  </w:footnote>
  <w:footnote w:id="5">
    <w:p w14:paraId="3E3A5621" w14:textId="17EC9CEF" w:rsidR="009640E5" w:rsidRPr="00025A2F" w:rsidRDefault="009640E5">
      <w:pPr>
        <w:pStyle w:val="FootnoteText"/>
        <w:rPr>
          <w:sz w:val="16"/>
          <w:szCs w:val="16"/>
        </w:rPr>
      </w:pPr>
      <w:r w:rsidRPr="00025A2F">
        <w:rPr>
          <w:rStyle w:val="FootnoteReference"/>
          <w:sz w:val="16"/>
          <w:szCs w:val="16"/>
        </w:rPr>
        <w:footnoteRef/>
      </w:r>
      <w:r w:rsidRPr="00025A2F">
        <w:rPr>
          <w:sz w:val="16"/>
          <w:szCs w:val="16"/>
        </w:rPr>
        <w:t xml:space="preserve"> Biographies of Panel members are available at </w:t>
      </w:r>
      <w:hyperlink r:id="rId4" w:history="1">
        <w:r w:rsidRPr="00025A2F">
          <w:rPr>
            <w:rStyle w:val="Hyperlink"/>
            <w:rFonts w:cs="Arial"/>
            <w:sz w:val="16"/>
            <w:szCs w:val="16"/>
          </w:rPr>
          <w:t>https://www.england.nhs.uk/commissioning/how-commissioning-is-changing/nhs-provider-selection-regime/independent-patient-choice-and-procurement-panel/panel-members/</w:t>
        </w:r>
      </w:hyperlink>
      <w:r w:rsidRPr="00025A2F">
        <w:rPr>
          <w:rFonts w:cs="Arial"/>
          <w:sz w:val="16"/>
          <w:szCs w:val="16"/>
        </w:rPr>
        <w:t>.</w:t>
      </w:r>
    </w:p>
  </w:footnote>
  <w:footnote w:id="6">
    <w:p w14:paraId="6E309A28" w14:textId="3069E4ED" w:rsidR="00250A56" w:rsidRPr="00025A2F" w:rsidRDefault="00250A56">
      <w:pPr>
        <w:pStyle w:val="FootnoteText"/>
        <w:rPr>
          <w:sz w:val="16"/>
          <w:szCs w:val="16"/>
        </w:rPr>
      </w:pPr>
      <w:r w:rsidRPr="00025A2F">
        <w:rPr>
          <w:rStyle w:val="FootnoteReference"/>
          <w:sz w:val="16"/>
          <w:szCs w:val="16"/>
        </w:rPr>
        <w:footnoteRef/>
      </w:r>
      <w:r w:rsidRPr="00025A2F">
        <w:rPr>
          <w:sz w:val="16"/>
          <w:szCs w:val="16"/>
        </w:rPr>
        <w:t xml:space="preserve"> The Panel’s Standard Operating Procedures are available at </w:t>
      </w:r>
      <w:hyperlink r:id="rId5" w:history="1">
        <w:r w:rsidRPr="00025A2F">
          <w:rPr>
            <w:rStyle w:val="Hyperlink"/>
            <w:rFonts w:cs="Arial"/>
            <w:sz w:val="16"/>
            <w:szCs w:val="16"/>
          </w:rPr>
          <w:t>https://www.england.nhs.uk/commissioning/how-commissioning-is-changing/nhs-provider-selection-regime/independent-patient-choice-and-procurement-panel/</w:t>
        </w:r>
      </w:hyperlink>
      <w:r w:rsidRPr="00025A2F">
        <w:rPr>
          <w:rFonts w:cs="Arial"/>
          <w:sz w:val="16"/>
          <w:szCs w:val="16"/>
        </w:rPr>
        <w:t>.</w:t>
      </w:r>
    </w:p>
  </w:footnote>
  <w:footnote w:id="7">
    <w:p w14:paraId="25DEA76F" w14:textId="2B9B1842" w:rsidR="006D226F" w:rsidRPr="00025A2F" w:rsidRDefault="006D226F">
      <w:pPr>
        <w:pStyle w:val="FootnoteText"/>
        <w:rPr>
          <w:sz w:val="16"/>
          <w:szCs w:val="16"/>
        </w:rPr>
      </w:pPr>
      <w:r w:rsidRPr="00025A2F">
        <w:rPr>
          <w:rStyle w:val="FootnoteReference"/>
          <w:sz w:val="16"/>
          <w:szCs w:val="16"/>
        </w:rPr>
        <w:footnoteRef/>
      </w:r>
      <w:r w:rsidRPr="00025A2F">
        <w:rPr>
          <w:sz w:val="16"/>
          <w:szCs w:val="16"/>
        </w:rPr>
        <w:t xml:space="preserve"> The Panel’s advice is provided under paragraph 23 of the PSR Regulations and takes account of the representations made to the Panel prior to forming its opinion.</w:t>
      </w:r>
    </w:p>
  </w:footnote>
  <w:footnote w:id="8">
    <w:p w14:paraId="5FF3865F" w14:textId="5D876EF7" w:rsidR="00CB41A4" w:rsidRPr="00025A2F" w:rsidRDefault="00CB41A4">
      <w:pPr>
        <w:pStyle w:val="FootnoteText"/>
        <w:rPr>
          <w:sz w:val="16"/>
          <w:szCs w:val="16"/>
        </w:rPr>
      </w:pPr>
      <w:r w:rsidRPr="00025A2F">
        <w:rPr>
          <w:rStyle w:val="FootnoteReference"/>
          <w:sz w:val="16"/>
          <w:szCs w:val="16"/>
        </w:rPr>
        <w:footnoteRef/>
      </w:r>
      <w:r w:rsidRPr="00025A2F">
        <w:rPr>
          <w:sz w:val="16"/>
          <w:szCs w:val="16"/>
        </w:rPr>
        <w:t xml:space="preserve"> The PSR Regulations are available at </w:t>
      </w:r>
      <w:hyperlink r:id="rId6" w:history="1">
        <w:r w:rsidRPr="00025A2F">
          <w:rPr>
            <w:rStyle w:val="Hyperlink"/>
            <w:rFonts w:cs="Arial"/>
            <w:sz w:val="16"/>
            <w:szCs w:val="16"/>
          </w:rPr>
          <w:t>https://www.legislation.gov.uk/uksi/2023/1348/contents/made</w:t>
        </w:r>
      </w:hyperlink>
      <w:r w:rsidRPr="00025A2F">
        <w:rPr>
          <w:rFonts w:cs="Arial"/>
          <w:sz w:val="16"/>
          <w:szCs w:val="16"/>
        </w:rPr>
        <w:t xml:space="preserve"> and the accompanying statutory guidance is available at NHS England, </w:t>
      </w:r>
      <w:r w:rsidRPr="00025A2F">
        <w:rPr>
          <w:rFonts w:cs="Arial"/>
          <w:i/>
          <w:iCs/>
          <w:sz w:val="16"/>
          <w:szCs w:val="16"/>
        </w:rPr>
        <w:t>The Provider Selection Regime: statutory guidance</w:t>
      </w:r>
      <w:r w:rsidRPr="00025A2F">
        <w:rPr>
          <w:rFonts w:cs="Arial"/>
          <w:sz w:val="16"/>
          <w:szCs w:val="16"/>
        </w:rPr>
        <w:t xml:space="preserve">, </w:t>
      </w:r>
      <w:hyperlink r:id="rId7" w:history="1">
        <w:r w:rsidRPr="00025A2F">
          <w:rPr>
            <w:rStyle w:val="Hyperlink"/>
            <w:rFonts w:cs="Arial"/>
            <w:sz w:val="16"/>
            <w:szCs w:val="16"/>
          </w:rPr>
          <w:t>https://www.england.nhs.uk/long-read/the-provider-selection-regime-statutory-guidance/</w:t>
        </w:r>
      </w:hyperlink>
    </w:p>
  </w:footnote>
  <w:footnote w:id="9">
    <w:p w14:paraId="7158E6EF" w14:textId="2CCE8F90" w:rsidR="001F4498" w:rsidRPr="00CC006C" w:rsidRDefault="001F4498">
      <w:pPr>
        <w:pStyle w:val="FootnoteText"/>
        <w:rPr>
          <w:sz w:val="16"/>
          <w:szCs w:val="16"/>
        </w:rPr>
      </w:pPr>
      <w:r w:rsidRPr="00CC006C">
        <w:rPr>
          <w:rStyle w:val="FootnoteReference"/>
          <w:sz w:val="16"/>
          <w:szCs w:val="16"/>
        </w:rPr>
        <w:footnoteRef/>
      </w:r>
      <w:r w:rsidRPr="00CC006C">
        <w:rPr>
          <w:sz w:val="16"/>
          <w:szCs w:val="16"/>
        </w:rPr>
        <w:t xml:space="preserve"> </w:t>
      </w:r>
      <w:r w:rsidR="00782D42" w:rsidRPr="00CC006C">
        <w:rPr>
          <w:sz w:val="16"/>
          <w:szCs w:val="16"/>
        </w:rPr>
        <w:t xml:space="preserve">NHS GM, </w:t>
      </w:r>
      <w:r w:rsidR="00782D42" w:rsidRPr="00CC006C">
        <w:rPr>
          <w:i/>
          <w:iCs/>
          <w:sz w:val="16"/>
          <w:szCs w:val="16"/>
        </w:rPr>
        <w:t>GM Community Dermatology Services: Business Case and Procurement Options Appraisal</w:t>
      </w:r>
      <w:r w:rsidR="00782D42" w:rsidRPr="00CC006C">
        <w:rPr>
          <w:sz w:val="16"/>
          <w:szCs w:val="16"/>
        </w:rPr>
        <w:t xml:space="preserve">, </w:t>
      </w:r>
      <w:r w:rsidR="00B55EEC" w:rsidRPr="00CC006C">
        <w:rPr>
          <w:sz w:val="16"/>
          <w:szCs w:val="16"/>
        </w:rPr>
        <w:t>27 November 2024</w:t>
      </w:r>
      <w:r w:rsidR="00B013A5">
        <w:rPr>
          <w:sz w:val="16"/>
          <w:szCs w:val="16"/>
        </w:rPr>
        <w:t xml:space="preserve">; </w:t>
      </w:r>
      <w:r w:rsidR="00B013A5" w:rsidRPr="00BA3E61">
        <w:rPr>
          <w:sz w:val="16"/>
          <w:szCs w:val="16"/>
        </w:rPr>
        <w:t xml:space="preserve">NHS GM, </w:t>
      </w:r>
      <w:r w:rsidR="00B013A5" w:rsidRPr="00BA3E61">
        <w:rPr>
          <w:i/>
          <w:iCs/>
          <w:sz w:val="16"/>
          <w:szCs w:val="16"/>
        </w:rPr>
        <w:t>Meeting with the Panel</w:t>
      </w:r>
      <w:r w:rsidR="00B013A5" w:rsidRPr="00BA3E61">
        <w:rPr>
          <w:sz w:val="16"/>
          <w:szCs w:val="16"/>
        </w:rPr>
        <w:t>, 1 December 2025</w:t>
      </w:r>
      <w:r w:rsidR="004134BC">
        <w:rPr>
          <w:sz w:val="16"/>
          <w:szCs w:val="16"/>
        </w:rPr>
        <w:t>, NHS GM</w:t>
      </w:r>
      <w:r w:rsidR="00395A27">
        <w:rPr>
          <w:sz w:val="16"/>
          <w:szCs w:val="16"/>
        </w:rPr>
        <w:t xml:space="preserve"> response to Panel accuracy checks</w:t>
      </w:r>
      <w:r w:rsidR="00211B66">
        <w:rPr>
          <w:sz w:val="16"/>
          <w:szCs w:val="16"/>
        </w:rPr>
        <w:t>, 27 January 2026</w:t>
      </w:r>
      <w:r w:rsidR="00B013A5" w:rsidRPr="00BA3E61">
        <w:rPr>
          <w:sz w:val="16"/>
          <w:szCs w:val="16"/>
        </w:rPr>
        <w:t>.</w:t>
      </w:r>
    </w:p>
  </w:footnote>
  <w:footnote w:id="10">
    <w:p w14:paraId="0261A310" w14:textId="77777777" w:rsidR="00075E63" w:rsidRPr="00CF7DF8" w:rsidRDefault="00075E63" w:rsidP="00075E63">
      <w:pPr>
        <w:pStyle w:val="FootnoteText"/>
        <w:rPr>
          <w:sz w:val="16"/>
          <w:szCs w:val="16"/>
        </w:rPr>
      </w:pPr>
      <w:r w:rsidRPr="00CF7DF8">
        <w:rPr>
          <w:rStyle w:val="FootnoteReference"/>
          <w:sz w:val="16"/>
          <w:szCs w:val="16"/>
        </w:rPr>
        <w:footnoteRef/>
      </w:r>
      <w:r w:rsidRPr="00CF7DF8">
        <w:rPr>
          <w:sz w:val="16"/>
          <w:szCs w:val="16"/>
        </w:rPr>
        <w:t xml:space="preserve"> </w:t>
      </w:r>
      <w:r>
        <w:rPr>
          <w:sz w:val="16"/>
          <w:szCs w:val="16"/>
        </w:rPr>
        <w:t xml:space="preserve">NHS GM, </w:t>
      </w:r>
      <w:r w:rsidRPr="00630F0E">
        <w:rPr>
          <w:i/>
          <w:iCs/>
          <w:sz w:val="16"/>
          <w:szCs w:val="16"/>
        </w:rPr>
        <w:t>Community Dermatology Service Specification</w:t>
      </w:r>
      <w:r>
        <w:rPr>
          <w:sz w:val="16"/>
          <w:szCs w:val="16"/>
        </w:rPr>
        <w:t xml:space="preserve">, 7 January 2025; </w:t>
      </w:r>
      <w:r w:rsidRPr="00CF7DF8">
        <w:rPr>
          <w:sz w:val="16"/>
          <w:szCs w:val="16"/>
        </w:rPr>
        <w:t>NHS GM, Presentation to the Panel, 1 December 2025.</w:t>
      </w:r>
    </w:p>
  </w:footnote>
  <w:footnote w:id="11">
    <w:p w14:paraId="46AC992A" w14:textId="77777777" w:rsidR="001F3786" w:rsidRPr="006E31F2" w:rsidRDefault="001F3786">
      <w:pPr>
        <w:pStyle w:val="FootnoteText"/>
        <w:rPr>
          <w:sz w:val="16"/>
          <w:szCs w:val="16"/>
        </w:rPr>
      </w:pPr>
      <w:r w:rsidRPr="006E31F2">
        <w:rPr>
          <w:rStyle w:val="FootnoteReference"/>
          <w:sz w:val="16"/>
          <w:szCs w:val="16"/>
        </w:rPr>
        <w:footnoteRef/>
      </w:r>
      <w:r w:rsidRPr="006E31F2">
        <w:rPr>
          <w:sz w:val="16"/>
          <w:szCs w:val="16"/>
        </w:rPr>
        <w:t xml:space="preserve"> NHS GM, </w:t>
      </w:r>
      <w:r w:rsidR="006E31F2" w:rsidRPr="006E31F2">
        <w:rPr>
          <w:i/>
          <w:iCs/>
          <w:sz w:val="16"/>
          <w:szCs w:val="16"/>
        </w:rPr>
        <w:t>Competition Outcome Report</w:t>
      </w:r>
      <w:r w:rsidR="006E31F2" w:rsidRPr="006E31F2">
        <w:rPr>
          <w:sz w:val="16"/>
          <w:szCs w:val="16"/>
        </w:rPr>
        <w:t>, May 2025.</w:t>
      </w:r>
    </w:p>
  </w:footnote>
  <w:footnote w:id="12">
    <w:p w14:paraId="1C8DE900" w14:textId="6C9CEA3C" w:rsidR="00D308A0" w:rsidRPr="00D308A0" w:rsidRDefault="00D308A0">
      <w:pPr>
        <w:pStyle w:val="FootnoteText"/>
        <w:rPr>
          <w:sz w:val="16"/>
          <w:szCs w:val="16"/>
        </w:rPr>
      </w:pPr>
      <w:r w:rsidRPr="00FD426A">
        <w:rPr>
          <w:rStyle w:val="FootnoteReference"/>
          <w:sz w:val="16"/>
          <w:szCs w:val="16"/>
        </w:rPr>
        <w:footnoteRef/>
      </w:r>
      <w:r w:rsidRPr="00FD426A">
        <w:rPr>
          <w:sz w:val="16"/>
          <w:szCs w:val="16"/>
        </w:rPr>
        <w:t xml:space="preserve"> </w:t>
      </w:r>
      <w:r w:rsidR="00FD426A" w:rsidRPr="00FD426A">
        <w:rPr>
          <w:sz w:val="16"/>
          <w:szCs w:val="16"/>
        </w:rPr>
        <w:t>NHS GM</w:t>
      </w:r>
      <w:r w:rsidRPr="00FD426A">
        <w:rPr>
          <w:sz w:val="16"/>
          <w:szCs w:val="16"/>
        </w:rPr>
        <w:t xml:space="preserve">, </w:t>
      </w:r>
      <w:r w:rsidRPr="00FD426A">
        <w:rPr>
          <w:i/>
          <w:iCs/>
          <w:sz w:val="16"/>
          <w:szCs w:val="16"/>
        </w:rPr>
        <w:t xml:space="preserve">Contract Notice </w:t>
      </w:r>
      <w:r w:rsidRPr="00FD426A">
        <w:rPr>
          <w:sz w:val="16"/>
          <w:szCs w:val="16"/>
        </w:rPr>
        <w:t>on</w:t>
      </w:r>
      <w:r w:rsidRPr="00FD426A">
        <w:rPr>
          <w:i/>
          <w:iCs/>
          <w:sz w:val="16"/>
          <w:szCs w:val="16"/>
        </w:rPr>
        <w:t xml:space="preserve"> Find a Tender Service,</w:t>
      </w:r>
      <w:r w:rsidRPr="00FD426A">
        <w:rPr>
          <w:sz w:val="16"/>
          <w:szCs w:val="16"/>
        </w:rPr>
        <w:t xml:space="preserve"> </w:t>
      </w:r>
      <w:r w:rsidR="00FD426A" w:rsidRPr="00FD426A">
        <w:rPr>
          <w:sz w:val="16"/>
          <w:szCs w:val="16"/>
        </w:rPr>
        <w:t>7 January 2025</w:t>
      </w:r>
      <w:r w:rsidRPr="00FD426A">
        <w:rPr>
          <w:sz w:val="16"/>
          <w:szCs w:val="16"/>
        </w:rPr>
        <w:t>.</w:t>
      </w:r>
    </w:p>
  </w:footnote>
  <w:footnote w:id="13">
    <w:p w14:paraId="4CC15D80" w14:textId="19745642" w:rsidR="00BA79B9" w:rsidRPr="00AF7956" w:rsidRDefault="00BA79B9">
      <w:pPr>
        <w:pStyle w:val="FootnoteText"/>
        <w:rPr>
          <w:sz w:val="16"/>
          <w:szCs w:val="16"/>
        </w:rPr>
      </w:pPr>
      <w:r w:rsidRPr="00AF7956">
        <w:rPr>
          <w:rStyle w:val="FootnoteReference"/>
          <w:sz w:val="16"/>
          <w:szCs w:val="16"/>
        </w:rPr>
        <w:footnoteRef/>
      </w:r>
      <w:r w:rsidRPr="00AF7956">
        <w:rPr>
          <w:sz w:val="16"/>
          <w:szCs w:val="16"/>
        </w:rPr>
        <w:t xml:space="preserve"> Eight of the ten providers bid for all five lots</w:t>
      </w:r>
      <w:r w:rsidR="00AF7956" w:rsidRPr="00AF7956">
        <w:rPr>
          <w:sz w:val="16"/>
          <w:szCs w:val="16"/>
        </w:rPr>
        <w:t>.</w:t>
      </w:r>
      <w:r w:rsidR="00AF7956">
        <w:rPr>
          <w:sz w:val="16"/>
          <w:szCs w:val="16"/>
        </w:rPr>
        <w:t xml:space="preserve"> In total, 44 bids were submitted for the five lots.</w:t>
      </w:r>
    </w:p>
  </w:footnote>
  <w:footnote w:id="14">
    <w:p w14:paraId="55E28128" w14:textId="6CC89317" w:rsidR="00353A78" w:rsidRPr="00730F02" w:rsidRDefault="00353A78">
      <w:pPr>
        <w:pStyle w:val="FootnoteText"/>
        <w:rPr>
          <w:sz w:val="16"/>
          <w:szCs w:val="16"/>
        </w:rPr>
      </w:pPr>
      <w:r w:rsidRPr="00730F02">
        <w:rPr>
          <w:rStyle w:val="FootnoteReference"/>
          <w:sz w:val="16"/>
          <w:szCs w:val="16"/>
        </w:rPr>
        <w:footnoteRef/>
      </w:r>
      <w:r w:rsidRPr="00730F02">
        <w:rPr>
          <w:sz w:val="16"/>
          <w:szCs w:val="16"/>
        </w:rPr>
        <w:t xml:space="preserve"> </w:t>
      </w:r>
      <w:r w:rsidR="00F40070" w:rsidRPr="00881150">
        <w:rPr>
          <w:sz w:val="16"/>
          <w:szCs w:val="16"/>
        </w:rPr>
        <w:t>NHS GM, Competition Outcome Report, May 2025</w:t>
      </w:r>
      <w:r w:rsidR="00F40070">
        <w:rPr>
          <w:sz w:val="16"/>
          <w:szCs w:val="16"/>
        </w:rPr>
        <w:t>;</w:t>
      </w:r>
      <w:r>
        <w:rPr>
          <w:sz w:val="16"/>
          <w:szCs w:val="16"/>
        </w:rPr>
        <w:t xml:space="preserve"> </w:t>
      </w:r>
      <w:r w:rsidR="00100725" w:rsidRPr="00730F02">
        <w:rPr>
          <w:sz w:val="16"/>
          <w:szCs w:val="16"/>
        </w:rPr>
        <w:t xml:space="preserve">NHS GM, </w:t>
      </w:r>
      <w:r w:rsidR="00B748AA" w:rsidRPr="00730F02">
        <w:rPr>
          <w:sz w:val="16"/>
          <w:szCs w:val="16"/>
        </w:rPr>
        <w:t xml:space="preserve">Internal email </w:t>
      </w:r>
      <w:r w:rsidR="008B65CC" w:rsidRPr="00730F02">
        <w:rPr>
          <w:sz w:val="16"/>
          <w:szCs w:val="16"/>
        </w:rPr>
        <w:t>“milestones”</w:t>
      </w:r>
      <w:r w:rsidR="00556A2F" w:rsidRPr="00730F02">
        <w:rPr>
          <w:sz w:val="16"/>
          <w:szCs w:val="16"/>
        </w:rPr>
        <w:t>, 29 May 2025</w:t>
      </w:r>
      <w:r w:rsidR="0037422C">
        <w:rPr>
          <w:sz w:val="16"/>
          <w:szCs w:val="16"/>
        </w:rPr>
        <w:t xml:space="preserve">. </w:t>
      </w:r>
    </w:p>
  </w:footnote>
  <w:footnote w:id="15">
    <w:p w14:paraId="17C0834B" w14:textId="7FF870CF" w:rsidR="00E95C81" w:rsidRPr="00316804" w:rsidRDefault="00E95C81" w:rsidP="00657AA1">
      <w:pPr>
        <w:pStyle w:val="FootnoteText"/>
        <w:rPr>
          <w:sz w:val="16"/>
          <w:szCs w:val="16"/>
        </w:rPr>
      </w:pPr>
      <w:r w:rsidRPr="00316804">
        <w:rPr>
          <w:rStyle w:val="FootnoteReference"/>
          <w:sz w:val="16"/>
          <w:szCs w:val="16"/>
        </w:rPr>
        <w:footnoteRef/>
      </w:r>
      <w:r w:rsidRPr="00316804">
        <w:rPr>
          <w:sz w:val="16"/>
          <w:szCs w:val="16"/>
        </w:rPr>
        <w:t xml:space="preserve"> About Health is </w:t>
      </w:r>
      <w:r w:rsidR="00812941">
        <w:rPr>
          <w:sz w:val="16"/>
          <w:szCs w:val="16"/>
        </w:rPr>
        <w:t xml:space="preserve">a provider of </w:t>
      </w:r>
      <w:r w:rsidR="001023D3">
        <w:rPr>
          <w:sz w:val="16"/>
          <w:szCs w:val="16"/>
        </w:rPr>
        <w:t xml:space="preserve">community dermatology </w:t>
      </w:r>
      <w:r w:rsidR="001023D3" w:rsidRPr="00657AA1">
        <w:rPr>
          <w:sz w:val="16"/>
          <w:szCs w:val="16"/>
        </w:rPr>
        <w:t>services</w:t>
      </w:r>
      <w:r w:rsidR="000A55E9" w:rsidRPr="00657AA1">
        <w:rPr>
          <w:sz w:val="16"/>
          <w:szCs w:val="16"/>
        </w:rPr>
        <w:t xml:space="preserve">. </w:t>
      </w:r>
      <w:r w:rsidR="0005653C" w:rsidRPr="00657AA1">
        <w:rPr>
          <w:sz w:val="16"/>
          <w:szCs w:val="16"/>
        </w:rPr>
        <w:t>Some f</w:t>
      </w:r>
      <w:r w:rsidRPr="00657AA1">
        <w:rPr>
          <w:sz w:val="16"/>
          <w:szCs w:val="16"/>
        </w:rPr>
        <w:t>urther information</w:t>
      </w:r>
      <w:r w:rsidRPr="00316804">
        <w:rPr>
          <w:sz w:val="16"/>
          <w:szCs w:val="16"/>
        </w:rPr>
        <w:t xml:space="preserve"> can be found on </w:t>
      </w:r>
      <w:r w:rsidR="0005653C">
        <w:rPr>
          <w:sz w:val="16"/>
          <w:szCs w:val="16"/>
        </w:rPr>
        <w:t xml:space="preserve">the </w:t>
      </w:r>
      <w:r w:rsidRPr="00316804">
        <w:rPr>
          <w:sz w:val="16"/>
          <w:szCs w:val="16"/>
        </w:rPr>
        <w:t>website</w:t>
      </w:r>
      <w:r w:rsidR="00F025F8">
        <w:rPr>
          <w:sz w:val="16"/>
          <w:szCs w:val="16"/>
        </w:rPr>
        <w:t xml:space="preserve"> </w:t>
      </w:r>
      <w:r w:rsidR="0005653C">
        <w:rPr>
          <w:sz w:val="16"/>
          <w:szCs w:val="16"/>
        </w:rPr>
        <w:t xml:space="preserve">of its parent company, PHL Group at </w:t>
      </w:r>
      <w:hyperlink r:id="rId8" w:history="1">
        <w:r w:rsidR="00657AA1" w:rsidRPr="00116FBF">
          <w:rPr>
            <w:rStyle w:val="Hyperlink"/>
            <w:sz w:val="16"/>
            <w:szCs w:val="16"/>
          </w:rPr>
          <w:t>https://phlgroup.co.uk/pioneerabouthealth/</w:t>
        </w:r>
      </w:hyperlink>
      <w:r w:rsidR="00657AA1">
        <w:rPr>
          <w:sz w:val="16"/>
          <w:szCs w:val="16"/>
        </w:rPr>
        <w:t>.</w:t>
      </w:r>
    </w:p>
  </w:footnote>
  <w:footnote w:id="16">
    <w:p w14:paraId="7CB20C1A" w14:textId="5C7F6CDD" w:rsidR="00C01A0B" w:rsidRPr="00E57E22" w:rsidRDefault="00C01A0B" w:rsidP="00C01A0B">
      <w:pPr>
        <w:pStyle w:val="FootnoteText"/>
        <w:rPr>
          <w:sz w:val="16"/>
          <w:szCs w:val="16"/>
        </w:rPr>
      </w:pPr>
      <w:r w:rsidRPr="00925BE3">
        <w:rPr>
          <w:rStyle w:val="FootnoteReference"/>
          <w:sz w:val="16"/>
          <w:szCs w:val="16"/>
        </w:rPr>
        <w:footnoteRef/>
      </w:r>
      <w:r w:rsidRPr="00925BE3">
        <w:rPr>
          <w:sz w:val="16"/>
          <w:szCs w:val="16"/>
        </w:rPr>
        <w:t xml:space="preserve"> Totally </w:t>
      </w:r>
      <w:r w:rsidR="00606A28">
        <w:rPr>
          <w:sz w:val="16"/>
          <w:szCs w:val="16"/>
        </w:rPr>
        <w:t>pl</w:t>
      </w:r>
      <w:r>
        <w:rPr>
          <w:sz w:val="16"/>
          <w:szCs w:val="16"/>
        </w:rPr>
        <w:t>c</w:t>
      </w:r>
      <w:r w:rsidRPr="00925BE3">
        <w:rPr>
          <w:sz w:val="16"/>
          <w:szCs w:val="16"/>
        </w:rPr>
        <w:t xml:space="preserve"> provided a range of healthcare services in community settings, GP surgeries and prisons</w:t>
      </w:r>
      <w:r w:rsidR="002F12FC">
        <w:rPr>
          <w:sz w:val="16"/>
          <w:szCs w:val="16"/>
        </w:rPr>
        <w:t xml:space="preserve"> before going into administration on 6 June 2025.</w:t>
      </w:r>
    </w:p>
  </w:footnote>
  <w:footnote w:id="17">
    <w:p w14:paraId="08D9C1D4" w14:textId="77777777" w:rsidR="00C01A0B" w:rsidRPr="00E57E22" w:rsidRDefault="00C01A0B" w:rsidP="00C01A0B">
      <w:pPr>
        <w:pStyle w:val="FootnoteText"/>
        <w:rPr>
          <w:sz w:val="16"/>
          <w:szCs w:val="16"/>
        </w:rPr>
      </w:pPr>
      <w:r w:rsidRPr="00375E18">
        <w:rPr>
          <w:rStyle w:val="FootnoteReference"/>
          <w:sz w:val="16"/>
          <w:szCs w:val="16"/>
        </w:rPr>
        <w:footnoteRef/>
      </w:r>
      <w:r w:rsidRPr="00375E18">
        <w:rPr>
          <w:sz w:val="16"/>
          <w:szCs w:val="16"/>
        </w:rPr>
        <w:t xml:space="preserve"> PHL Group offers healthcare solutions and services to the NHS and private healthcare organisations</w:t>
      </w:r>
      <w:r>
        <w:rPr>
          <w:sz w:val="16"/>
          <w:szCs w:val="16"/>
        </w:rPr>
        <w:t xml:space="preserve">. Further information on PHL Group can be found on its website at </w:t>
      </w:r>
      <w:hyperlink r:id="rId9" w:history="1">
        <w:r w:rsidRPr="009508AA">
          <w:rPr>
            <w:rStyle w:val="Hyperlink"/>
            <w:sz w:val="16"/>
            <w:szCs w:val="16"/>
          </w:rPr>
          <w:t>https://phlgroup.co.uk/</w:t>
        </w:r>
      </w:hyperlink>
      <w:r>
        <w:rPr>
          <w:sz w:val="16"/>
          <w:szCs w:val="16"/>
        </w:rPr>
        <w:t>.</w:t>
      </w:r>
    </w:p>
  </w:footnote>
  <w:footnote w:id="18">
    <w:p w14:paraId="27316607" w14:textId="13E083E0" w:rsidR="00150E5E" w:rsidRPr="00150E5E" w:rsidRDefault="00150E5E">
      <w:pPr>
        <w:pStyle w:val="FootnoteText"/>
        <w:rPr>
          <w:sz w:val="16"/>
          <w:szCs w:val="16"/>
        </w:rPr>
      </w:pPr>
      <w:r w:rsidRPr="00405A24">
        <w:rPr>
          <w:rStyle w:val="FootnoteReference"/>
          <w:sz w:val="16"/>
          <w:szCs w:val="16"/>
        </w:rPr>
        <w:footnoteRef/>
      </w:r>
      <w:r w:rsidRPr="00405A24">
        <w:rPr>
          <w:sz w:val="16"/>
          <w:szCs w:val="16"/>
        </w:rPr>
        <w:t xml:space="preserve"> </w:t>
      </w:r>
      <w:r w:rsidR="00603289" w:rsidRPr="00405A24">
        <w:rPr>
          <w:sz w:val="16"/>
          <w:szCs w:val="16"/>
        </w:rPr>
        <w:t xml:space="preserve">NHS GM, </w:t>
      </w:r>
      <w:r w:rsidR="0068112A" w:rsidRPr="00405A24">
        <w:rPr>
          <w:i/>
          <w:iCs/>
          <w:sz w:val="16"/>
          <w:szCs w:val="16"/>
        </w:rPr>
        <w:t>Internal email correspondence</w:t>
      </w:r>
      <w:r w:rsidR="0068112A" w:rsidRPr="00405A24">
        <w:rPr>
          <w:sz w:val="16"/>
          <w:szCs w:val="16"/>
        </w:rPr>
        <w:t>,</w:t>
      </w:r>
      <w:r w:rsidR="004A60E2" w:rsidRPr="00405A24">
        <w:rPr>
          <w:sz w:val="16"/>
          <w:szCs w:val="16"/>
        </w:rPr>
        <w:t xml:space="preserve"> </w:t>
      </w:r>
      <w:r w:rsidR="00405A24" w:rsidRPr="00405A24">
        <w:rPr>
          <w:sz w:val="16"/>
          <w:szCs w:val="16"/>
        </w:rPr>
        <w:t>5 June 2025.</w:t>
      </w:r>
    </w:p>
  </w:footnote>
  <w:footnote w:id="19">
    <w:p w14:paraId="19131967" w14:textId="6983E83E" w:rsidR="00DF5747" w:rsidRPr="00E243C3" w:rsidRDefault="00DF5747">
      <w:pPr>
        <w:pStyle w:val="FootnoteText"/>
        <w:rPr>
          <w:sz w:val="16"/>
          <w:szCs w:val="16"/>
        </w:rPr>
      </w:pPr>
      <w:r w:rsidRPr="00E243C3">
        <w:rPr>
          <w:rStyle w:val="FootnoteReference"/>
          <w:sz w:val="16"/>
          <w:szCs w:val="16"/>
        </w:rPr>
        <w:footnoteRef/>
      </w:r>
      <w:r w:rsidRPr="00E243C3">
        <w:rPr>
          <w:sz w:val="16"/>
          <w:szCs w:val="16"/>
        </w:rPr>
        <w:t xml:space="preserve"> NHS GM, </w:t>
      </w:r>
      <w:r w:rsidRPr="00E243C3">
        <w:rPr>
          <w:i/>
          <w:sz w:val="16"/>
          <w:szCs w:val="16"/>
        </w:rPr>
        <w:t>Response to Panel questions</w:t>
      </w:r>
      <w:r w:rsidRPr="00E243C3">
        <w:rPr>
          <w:sz w:val="16"/>
          <w:szCs w:val="16"/>
        </w:rPr>
        <w:t xml:space="preserve">, </w:t>
      </w:r>
      <w:r w:rsidR="00C659E4">
        <w:rPr>
          <w:sz w:val="16"/>
          <w:szCs w:val="16"/>
        </w:rPr>
        <w:t xml:space="preserve">6 November 2025 and </w:t>
      </w:r>
      <w:r w:rsidR="005E2C9F" w:rsidRPr="00E243C3">
        <w:rPr>
          <w:sz w:val="16"/>
          <w:szCs w:val="16"/>
        </w:rPr>
        <w:t>19</w:t>
      </w:r>
      <w:r w:rsidRPr="00E243C3">
        <w:rPr>
          <w:sz w:val="16"/>
          <w:szCs w:val="16"/>
        </w:rPr>
        <w:t xml:space="preserve"> November 2025</w:t>
      </w:r>
      <w:r w:rsidR="00073C27">
        <w:rPr>
          <w:sz w:val="16"/>
          <w:szCs w:val="16"/>
        </w:rPr>
        <w:t>.</w:t>
      </w:r>
    </w:p>
  </w:footnote>
  <w:footnote w:id="20">
    <w:p w14:paraId="1E9A6B04" w14:textId="75A2B85F" w:rsidR="00EB3DED" w:rsidRPr="00EB3DED" w:rsidRDefault="00EB3DED">
      <w:pPr>
        <w:pStyle w:val="FootnoteText"/>
        <w:rPr>
          <w:sz w:val="16"/>
          <w:szCs w:val="16"/>
        </w:rPr>
      </w:pPr>
      <w:r w:rsidRPr="00EB3DED">
        <w:rPr>
          <w:rStyle w:val="FootnoteReference"/>
          <w:sz w:val="16"/>
          <w:szCs w:val="16"/>
        </w:rPr>
        <w:footnoteRef/>
      </w:r>
      <w:r w:rsidRPr="00EB3DED">
        <w:rPr>
          <w:sz w:val="16"/>
          <w:szCs w:val="16"/>
        </w:rPr>
        <w:t xml:space="preserve"> PHL Group’s announcement of the acquisition can be found at </w:t>
      </w:r>
      <w:hyperlink r:id="rId10" w:history="1">
        <w:r w:rsidRPr="00EB3DED">
          <w:rPr>
            <w:rStyle w:val="Hyperlink"/>
            <w:sz w:val="16"/>
            <w:szCs w:val="16"/>
          </w:rPr>
          <w:t>https://phlgroup.co.uk/phl-group-acquires-the-trading-subsidiaries-of-totally-plc/</w:t>
        </w:r>
      </w:hyperlink>
      <w:r w:rsidRPr="00EB3DED">
        <w:rPr>
          <w:sz w:val="16"/>
          <w:szCs w:val="16"/>
        </w:rPr>
        <w:t>.</w:t>
      </w:r>
    </w:p>
  </w:footnote>
  <w:footnote w:id="21">
    <w:p w14:paraId="04B8CE44" w14:textId="77777777" w:rsidR="005E6B00" w:rsidRPr="000F3763" w:rsidRDefault="005E6B00" w:rsidP="005E6B00">
      <w:pPr>
        <w:pStyle w:val="FootnoteText"/>
        <w:rPr>
          <w:sz w:val="16"/>
          <w:szCs w:val="16"/>
        </w:rPr>
      </w:pPr>
      <w:r w:rsidRPr="000F3763">
        <w:rPr>
          <w:rStyle w:val="FootnoteReference"/>
          <w:sz w:val="16"/>
          <w:szCs w:val="16"/>
        </w:rPr>
        <w:footnoteRef/>
      </w:r>
      <w:r w:rsidRPr="000F3763">
        <w:rPr>
          <w:sz w:val="16"/>
          <w:szCs w:val="16"/>
        </w:rPr>
        <w:t xml:space="preserve"> NHS GM, </w:t>
      </w:r>
      <w:r w:rsidRPr="000F3763">
        <w:rPr>
          <w:i/>
          <w:sz w:val="16"/>
          <w:szCs w:val="16"/>
        </w:rPr>
        <w:t>Letter to About Health</w:t>
      </w:r>
      <w:r w:rsidRPr="000F3763">
        <w:rPr>
          <w:sz w:val="16"/>
          <w:szCs w:val="16"/>
        </w:rPr>
        <w:t>, 21 October 2025.</w:t>
      </w:r>
    </w:p>
  </w:footnote>
  <w:footnote w:id="22">
    <w:p w14:paraId="48472EC1" w14:textId="40B839AB" w:rsidR="00774E5F" w:rsidRPr="00CC006C" w:rsidRDefault="00774E5F">
      <w:pPr>
        <w:pStyle w:val="FootnoteText"/>
        <w:rPr>
          <w:sz w:val="16"/>
          <w:szCs w:val="16"/>
        </w:rPr>
      </w:pPr>
      <w:r w:rsidRPr="00CC006C">
        <w:rPr>
          <w:rStyle w:val="FootnoteReference"/>
          <w:sz w:val="16"/>
          <w:szCs w:val="16"/>
        </w:rPr>
        <w:footnoteRef/>
      </w:r>
      <w:r w:rsidRPr="00CC006C">
        <w:rPr>
          <w:sz w:val="16"/>
          <w:szCs w:val="16"/>
        </w:rPr>
        <w:t xml:space="preserve"> </w:t>
      </w:r>
      <w:r w:rsidR="00F333F6" w:rsidRPr="00CC006C">
        <w:rPr>
          <w:sz w:val="16"/>
          <w:szCs w:val="16"/>
        </w:rPr>
        <w:t xml:space="preserve">Representations were also made to NHS GM by another unsuccessful bidder. This bidder </w:t>
      </w:r>
      <w:r w:rsidR="00CF6F51">
        <w:rPr>
          <w:sz w:val="16"/>
          <w:szCs w:val="16"/>
        </w:rPr>
        <w:t xml:space="preserve">did not make </w:t>
      </w:r>
      <w:r w:rsidR="00F333F6" w:rsidRPr="00CC006C">
        <w:rPr>
          <w:sz w:val="16"/>
          <w:szCs w:val="16"/>
        </w:rPr>
        <w:t xml:space="preserve">any representations to the Panel </w:t>
      </w:r>
      <w:r w:rsidR="00CF6F51">
        <w:rPr>
          <w:sz w:val="16"/>
          <w:szCs w:val="16"/>
        </w:rPr>
        <w:t xml:space="preserve">following NHS GM’s </w:t>
      </w:r>
      <w:r w:rsidR="001553C3">
        <w:rPr>
          <w:sz w:val="16"/>
          <w:szCs w:val="16"/>
        </w:rPr>
        <w:t xml:space="preserve">further decision </w:t>
      </w:r>
      <w:r w:rsidR="003670AF">
        <w:rPr>
          <w:sz w:val="16"/>
          <w:szCs w:val="16"/>
        </w:rPr>
        <w:t>about the provider selection process, and as a result is not discussed further in this report</w:t>
      </w:r>
      <w:r w:rsidR="00CF6F51">
        <w:rPr>
          <w:sz w:val="16"/>
          <w:szCs w:val="16"/>
        </w:rPr>
        <w:t>.</w:t>
      </w:r>
    </w:p>
  </w:footnote>
  <w:footnote w:id="23">
    <w:p w14:paraId="72C59876" w14:textId="1119A5F4" w:rsidR="00AA76F3" w:rsidRPr="000F3763" w:rsidRDefault="00AA76F3">
      <w:pPr>
        <w:pStyle w:val="FootnoteText"/>
        <w:rPr>
          <w:sz w:val="16"/>
          <w:szCs w:val="16"/>
        </w:rPr>
      </w:pPr>
      <w:r w:rsidRPr="006129C8">
        <w:rPr>
          <w:rStyle w:val="FootnoteReference"/>
          <w:sz w:val="16"/>
          <w:szCs w:val="16"/>
        </w:rPr>
        <w:footnoteRef/>
      </w:r>
      <w:r w:rsidRPr="006129C8">
        <w:rPr>
          <w:sz w:val="16"/>
          <w:szCs w:val="16"/>
        </w:rPr>
        <w:t xml:space="preserve"> NHS GM, </w:t>
      </w:r>
      <w:r w:rsidR="00C05C13" w:rsidRPr="00C05C13">
        <w:rPr>
          <w:i/>
          <w:iCs/>
          <w:sz w:val="16"/>
          <w:szCs w:val="16"/>
        </w:rPr>
        <w:t xml:space="preserve">Response to </w:t>
      </w:r>
      <w:r w:rsidR="006E236D" w:rsidRPr="00C05C13">
        <w:rPr>
          <w:i/>
          <w:iCs/>
          <w:sz w:val="16"/>
          <w:szCs w:val="16"/>
        </w:rPr>
        <w:t>CHEC</w:t>
      </w:r>
      <w:r w:rsidR="00C05C13" w:rsidRPr="00C05C13">
        <w:rPr>
          <w:i/>
          <w:iCs/>
          <w:sz w:val="16"/>
          <w:szCs w:val="16"/>
        </w:rPr>
        <w:t>’s</w:t>
      </w:r>
      <w:r w:rsidR="00C05C13">
        <w:rPr>
          <w:i/>
          <w:sz w:val="16"/>
          <w:szCs w:val="16"/>
        </w:rPr>
        <w:t xml:space="preserve"> request for information</w:t>
      </w:r>
      <w:r w:rsidR="006E236D" w:rsidRPr="000F3763">
        <w:rPr>
          <w:sz w:val="16"/>
          <w:szCs w:val="16"/>
        </w:rPr>
        <w:t>, 18 September 2025.</w:t>
      </w:r>
    </w:p>
  </w:footnote>
  <w:footnote w:id="24">
    <w:p w14:paraId="33677A7D" w14:textId="55E0BABE" w:rsidR="00426946" w:rsidRPr="00642598" w:rsidRDefault="00426946" w:rsidP="00426946">
      <w:pPr>
        <w:pStyle w:val="FootnoteText"/>
        <w:rPr>
          <w:sz w:val="16"/>
          <w:szCs w:val="16"/>
        </w:rPr>
      </w:pPr>
      <w:r w:rsidRPr="00642598">
        <w:rPr>
          <w:rStyle w:val="FootnoteReference"/>
          <w:sz w:val="16"/>
          <w:szCs w:val="16"/>
        </w:rPr>
        <w:footnoteRef/>
      </w:r>
      <w:r w:rsidRPr="00642598">
        <w:rPr>
          <w:sz w:val="16"/>
          <w:szCs w:val="16"/>
        </w:rPr>
        <w:t xml:space="preserve"> </w:t>
      </w:r>
      <w:r w:rsidR="00642598" w:rsidRPr="00642598">
        <w:rPr>
          <w:sz w:val="16"/>
          <w:szCs w:val="16"/>
        </w:rPr>
        <w:t xml:space="preserve">CHEC, </w:t>
      </w:r>
      <w:r w:rsidR="00642598" w:rsidRPr="00642598">
        <w:rPr>
          <w:i/>
          <w:iCs/>
          <w:sz w:val="16"/>
          <w:szCs w:val="16"/>
        </w:rPr>
        <w:t>Representations to NHS GM</w:t>
      </w:r>
      <w:r w:rsidR="00642598" w:rsidRPr="00642598">
        <w:rPr>
          <w:sz w:val="16"/>
          <w:szCs w:val="16"/>
        </w:rPr>
        <w:t>, 25 September 2025.</w:t>
      </w:r>
    </w:p>
  </w:footnote>
  <w:footnote w:id="25">
    <w:p w14:paraId="0C2314AD" w14:textId="0EB849B7" w:rsidR="00A54B76" w:rsidRPr="00C72C2B" w:rsidRDefault="00A54B76">
      <w:pPr>
        <w:pStyle w:val="FootnoteText"/>
        <w:rPr>
          <w:sz w:val="16"/>
          <w:szCs w:val="16"/>
        </w:rPr>
      </w:pPr>
      <w:r w:rsidRPr="00B8187D">
        <w:rPr>
          <w:rStyle w:val="FootnoteReference"/>
          <w:sz w:val="16"/>
          <w:szCs w:val="16"/>
        </w:rPr>
        <w:footnoteRef/>
      </w:r>
      <w:r w:rsidRPr="00B8187D">
        <w:rPr>
          <w:sz w:val="16"/>
          <w:szCs w:val="16"/>
        </w:rPr>
        <w:t xml:space="preserve"> </w:t>
      </w:r>
      <w:r w:rsidR="00642598" w:rsidRPr="00B8187D">
        <w:rPr>
          <w:sz w:val="16"/>
          <w:szCs w:val="16"/>
        </w:rPr>
        <w:t xml:space="preserve">CHEC, </w:t>
      </w:r>
      <w:r w:rsidR="00645F5A" w:rsidRPr="00B8187D">
        <w:rPr>
          <w:i/>
          <w:iCs/>
          <w:sz w:val="16"/>
          <w:szCs w:val="16"/>
        </w:rPr>
        <w:t>Representations to</w:t>
      </w:r>
      <w:r w:rsidR="00B8187D" w:rsidRPr="00B8187D">
        <w:rPr>
          <w:i/>
          <w:iCs/>
          <w:sz w:val="16"/>
          <w:szCs w:val="16"/>
        </w:rPr>
        <w:t xml:space="preserve"> NHS GM</w:t>
      </w:r>
      <w:r w:rsidR="00B8187D" w:rsidRPr="00B8187D">
        <w:rPr>
          <w:sz w:val="16"/>
          <w:szCs w:val="16"/>
        </w:rPr>
        <w:t>, 9 October 2025.</w:t>
      </w:r>
    </w:p>
  </w:footnote>
  <w:footnote w:id="26">
    <w:p w14:paraId="7C0E3FC4" w14:textId="77777777" w:rsidR="00357097" w:rsidRPr="001A2DB4" w:rsidRDefault="00357097" w:rsidP="00357097">
      <w:pPr>
        <w:pStyle w:val="FootnoteText"/>
        <w:rPr>
          <w:sz w:val="16"/>
          <w:szCs w:val="16"/>
        </w:rPr>
      </w:pPr>
      <w:r w:rsidRPr="001A2DB4">
        <w:rPr>
          <w:rStyle w:val="FootnoteReference"/>
          <w:sz w:val="16"/>
          <w:szCs w:val="16"/>
        </w:rPr>
        <w:footnoteRef/>
      </w:r>
      <w:r w:rsidRPr="001A2DB4">
        <w:rPr>
          <w:sz w:val="16"/>
          <w:szCs w:val="16"/>
        </w:rPr>
        <w:t xml:space="preserve"> NHS England, </w:t>
      </w:r>
      <w:r w:rsidRPr="001A2DB4">
        <w:rPr>
          <w:i/>
          <w:iCs/>
          <w:sz w:val="16"/>
          <w:szCs w:val="16"/>
        </w:rPr>
        <w:t>The Provider Selection Regime: statutory guidance</w:t>
      </w:r>
      <w:r w:rsidRPr="001A2DB4">
        <w:rPr>
          <w:sz w:val="16"/>
          <w:szCs w:val="16"/>
        </w:rPr>
        <w:t xml:space="preserve">, </w:t>
      </w:r>
      <w:r>
        <w:rPr>
          <w:sz w:val="16"/>
          <w:szCs w:val="16"/>
        </w:rPr>
        <w:t>April 2025</w:t>
      </w:r>
      <w:r w:rsidRPr="001A2DB4">
        <w:rPr>
          <w:sz w:val="16"/>
          <w:szCs w:val="16"/>
        </w:rPr>
        <w:t>.</w:t>
      </w:r>
    </w:p>
  </w:footnote>
  <w:footnote w:id="27">
    <w:p w14:paraId="7951F3AB" w14:textId="1E98F4D8" w:rsidR="00907E7A" w:rsidRPr="002605FF" w:rsidRDefault="00907E7A">
      <w:pPr>
        <w:pStyle w:val="FootnoteText"/>
        <w:rPr>
          <w:sz w:val="16"/>
          <w:szCs w:val="16"/>
        </w:rPr>
      </w:pPr>
      <w:r w:rsidRPr="002605FF">
        <w:rPr>
          <w:rStyle w:val="FootnoteReference"/>
          <w:sz w:val="16"/>
          <w:szCs w:val="16"/>
        </w:rPr>
        <w:footnoteRef/>
      </w:r>
      <w:r w:rsidRPr="002605FF">
        <w:rPr>
          <w:sz w:val="16"/>
          <w:szCs w:val="16"/>
        </w:rPr>
        <w:t xml:space="preserve"> </w:t>
      </w:r>
      <w:r w:rsidR="002605FF" w:rsidRPr="002605FF">
        <w:rPr>
          <w:sz w:val="16"/>
          <w:szCs w:val="16"/>
        </w:rPr>
        <w:t xml:space="preserve">NHS GM, </w:t>
      </w:r>
      <w:r w:rsidR="002605FF" w:rsidRPr="002605FF">
        <w:rPr>
          <w:i/>
          <w:iCs/>
          <w:sz w:val="16"/>
          <w:szCs w:val="16"/>
        </w:rPr>
        <w:t>Tender outcome letter to About Health</w:t>
      </w:r>
      <w:r w:rsidR="002605FF" w:rsidRPr="002605FF">
        <w:rPr>
          <w:sz w:val="16"/>
          <w:szCs w:val="16"/>
        </w:rPr>
        <w:t>, 12 August 2025.</w:t>
      </w:r>
    </w:p>
  </w:footnote>
  <w:footnote w:id="28">
    <w:p w14:paraId="0F61A74C" w14:textId="1BF8C905" w:rsidR="00946DDE" w:rsidRPr="00B50DC7" w:rsidRDefault="00946DDE" w:rsidP="00946DDE">
      <w:pPr>
        <w:pStyle w:val="FootnoteText"/>
        <w:rPr>
          <w:sz w:val="16"/>
          <w:szCs w:val="16"/>
        </w:rPr>
      </w:pPr>
      <w:r w:rsidRPr="00B50DC7">
        <w:rPr>
          <w:rStyle w:val="FootnoteReference"/>
          <w:sz w:val="16"/>
          <w:szCs w:val="16"/>
        </w:rPr>
        <w:footnoteRef/>
      </w:r>
      <w:r w:rsidRPr="00B50DC7">
        <w:rPr>
          <w:sz w:val="16"/>
          <w:szCs w:val="16"/>
        </w:rPr>
        <w:t xml:space="preserve"> </w:t>
      </w:r>
      <w:r w:rsidR="005D422E" w:rsidRPr="005A3DFA">
        <w:rPr>
          <w:sz w:val="16"/>
          <w:szCs w:val="16"/>
        </w:rPr>
        <w:t>It appears that this request may have been prompted by CHEC’s representations given the more extensive due diligence queries that were made following these representations</w:t>
      </w:r>
      <w:r w:rsidR="00B50DC7" w:rsidRPr="005A3DFA">
        <w:rPr>
          <w:sz w:val="16"/>
          <w:szCs w:val="16"/>
        </w:rPr>
        <w:t xml:space="preserve">. </w:t>
      </w:r>
      <w:r w:rsidRPr="00B50DC7">
        <w:rPr>
          <w:sz w:val="16"/>
          <w:szCs w:val="16"/>
        </w:rPr>
        <w:t>The minutes of NHS GM’s PSR Representation Panel meeting on 15 September 2025 say that “all elements of the representations can be picked up as part of the due diligence process</w:t>
      </w:r>
      <w:r w:rsidR="009E4E9D" w:rsidRPr="00B50DC7">
        <w:rPr>
          <w:sz w:val="16"/>
          <w:szCs w:val="16"/>
        </w:rPr>
        <w:t>”</w:t>
      </w:r>
      <w:r w:rsidRPr="00B50DC7">
        <w:rPr>
          <w:sz w:val="16"/>
          <w:szCs w:val="16"/>
        </w:rPr>
        <w:t>.</w:t>
      </w:r>
    </w:p>
  </w:footnote>
  <w:footnote w:id="29">
    <w:p w14:paraId="6037BDF1" w14:textId="22C42703" w:rsidR="00983354" w:rsidRPr="00110A7F" w:rsidRDefault="00983354">
      <w:pPr>
        <w:pStyle w:val="FootnoteText"/>
        <w:rPr>
          <w:sz w:val="16"/>
          <w:szCs w:val="16"/>
        </w:rPr>
      </w:pPr>
      <w:r w:rsidRPr="00110A7F">
        <w:rPr>
          <w:rStyle w:val="FootnoteReference"/>
          <w:sz w:val="16"/>
          <w:szCs w:val="16"/>
        </w:rPr>
        <w:footnoteRef/>
      </w:r>
      <w:r w:rsidRPr="00110A7F">
        <w:rPr>
          <w:sz w:val="16"/>
          <w:szCs w:val="16"/>
        </w:rPr>
        <w:t xml:space="preserve"> NHS GM, </w:t>
      </w:r>
      <w:r w:rsidRPr="00110A7F">
        <w:rPr>
          <w:i/>
          <w:iCs/>
          <w:sz w:val="16"/>
          <w:szCs w:val="16"/>
        </w:rPr>
        <w:t>Meeting with the Panel</w:t>
      </w:r>
      <w:r w:rsidRPr="00110A7F">
        <w:rPr>
          <w:sz w:val="16"/>
          <w:szCs w:val="16"/>
        </w:rPr>
        <w:t xml:space="preserve">, </w:t>
      </w:r>
      <w:r w:rsidR="00110A7F" w:rsidRPr="00110A7F">
        <w:rPr>
          <w:sz w:val="16"/>
          <w:szCs w:val="16"/>
        </w:rPr>
        <w:t>1 December 2025.</w:t>
      </w:r>
    </w:p>
  </w:footnote>
  <w:footnote w:id="30">
    <w:p w14:paraId="541CAF19" w14:textId="77777777" w:rsidR="008844F0" w:rsidRPr="00110A7F" w:rsidRDefault="008844F0" w:rsidP="008844F0">
      <w:pPr>
        <w:pStyle w:val="FootnoteText"/>
        <w:rPr>
          <w:sz w:val="16"/>
          <w:szCs w:val="16"/>
        </w:rPr>
      </w:pPr>
      <w:r w:rsidRPr="00110A7F">
        <w:rPr>
          <w:rStyle w:val="FootnoteReference"/>
          <w:sz w:val="16"/>
          <w:szCs w:val="16"/>
        </w:rPr>
        <w:footnoteRef/>
      </w:r>
      <w:r w:rsidRPr="00110A7F">
        <w:rPr>
          <w:sz w:val="16"/>
          <w:szCs w:val="16"/>
        </w:rPr>
        <w:t xml:space="preserve"> NHS GM, </w:t>
      </w:r>
      <w:r w:rsidRPr="00110A7F">
        <w:rPr>
          <w:i/>
          <w:iCs/>
          <w:sz w:val="16"/>
          <w:szCs w:val="16"/>
        </w:rPr>
        <w:t>Meeting with the Panel</w:t>
      </w:r>
      <w:r w:rsidRPr="00110A7F">
        <w:rPr>
          <w:sz w:val="16"/>
          <w:szCs w:val="16"/>
        </w:rPr>
        <w:t>, 1 December 2025.</w:t>
      </w:r>
    </w:p>
  </w:footnote>
  <w:footnote w:id="31">
    <w:p w14:paraId="72C20E45" w14:textId="61DE165F" w:rsidR="00F60E48" w:rsidRPr="00CC006C" w:rsidRDefault="00F60E48" w:rsidP="00F60E48">
      <w:pPr>
        <w:pStyle w:val="FootnoteText"/>
        <w:rPr>
          <w:sz w:val="16"/>
          <w:szCs w:val="16"/>
        </w:rPr>
      </w:pPr>
      <w:r w:rsidRPr="00CC006C">
        <w:rPr>
          <w:rStyle w:val="FootnoteReference"/>
          <w:sz w:val="16"/>
          <w:szCs w:val="16"/>
        </w:rPr>
        <w:footnoteRef/>
      </w:r>
      <w:r w:rsidRPr="00CC006C">
        <w:rPr>
          <w:sz w:val="16"/>
          <w:szCs w:val="16"/>
        </w:rPr>
        <w:t xml:space="preserve"> PHL, </w:t>
      </w:r>
      <w:r w:rsidRPr="00CC006C">
        <w:rPr>
          <w:i/>
          <w:iCs/>
          <w:sz w:val="16"/>
          <w:szCs w:val="16"/>
        </w:rPr>
        <w:t>Letter to NHS GM</w:t>
      </w:r>
      <w:r>
        <w:rPr>
          <w:i/>
          <w:iCs/>
          <w:sz w:val="16"/>
          <w:szCs w:val="16"/>
        </w:rPr>
        <w:t xml:space="preserve"> responding to due diligence questions</w:t>
      </w:r>
      <w:r w:rsidRPr="00CC006C">
        <w:rPr>
          <w:sz w:val="16"/>
          <w:szCs w:val="16"/>
        </w:rPr>
        <w:t>, 26 September 2025.</w:t>
      </w:r>
    </w:p>
  </w:footnote>
  <w:footnote w:id="32">
    <w:p w14:paraId="145887DC" w14:textId="4A0561BE" w:rsidR="007B7F14" w:rsidRPr="00CC006C" w:rsidRDefault="007B7F14" w:rsidP="007B7F14">
      <w:pPr>
        <w:pStyle w:val="FootnoteText"/>
        <w:rPr>
          <w:sz w:val="16"/>
          <w:szCs w:val="16"/>
        </w:rPr>
      </w:pPr>
      <w:r w:rsidRPr="00CC006C">
        <w:rPr>
          <w:rStyle w:val="FootnoteReference"/>
          <w:sz w:val="16"/>
          <w:szCs w:val="16"/>
        </w:rPr>
        <w:footnoteRef/>
      </w:r>
      <w:r w:rsidRPr="00CC006C">
        <w:rPr>
          <w:sz w:val="16"/>
          <w:szCs w:val="16"/>
        </w:rPr>
        <w:t xml:space="preserve"> PHL, </w:t>
      </w:r>
      <w:r w:rsidRPr="00CC006C">
        <w:rPr>
          <w:i/>
          <w:iCs/>
          <w:sz w:val="16"/>
          <w:szCs w:val="16"/>
        </w:rPr>
        <w:t>Letter to NHS GM</w:t>
      </w:r>
      <w:r>
        <w:rPr>
          <w:i/>
          <w:iCs/>
          <w:sz w:val="16"/>
          <w:szCs w:val="16"/>
        </w:rPr>
        <w:t xml:space="preserve"> responding to due diligence questions</w:t>
      </w:r>
      <w:r w:rsidRPr="00CC006C">
        <w:rPr>
          <w:sz w:val="16"/>
          <w:szCs w:val="16"/>
        </w:rPr>
        <w:t>, 7 October 2025.</w:t>
      </w:r>
    </w:p>
  </w:footnote>
  <w:footnote w:id="33">
    <w:p w14:paraId="48B312FA" w14:textId="77777777" w:rsidR="0099254C" w:rsidRPr="000F3763" w:rsidRDefault="0099254C" w:rsidP="0099254C">
      <w:pPr>
        <w:pStyle w:val="FootnoteText"/>
        <w:rPr>
          <w:sz w:val="16"/>
          <w:szCs w:val="16"/>
        </w:rPr>
      </w:pPr>
      <w:r w:rsidRPr="000F3763">
        <w:rPr>
          <w:rStyle w:val="FootnoteReference"/>
          <w:sz w:val="16"/>
          <w:szCs w:val="16"/>
        </w:rPr>
        <w:footnoteRef/>
      </w:r>
      <w:r w:rsidRPr="000F3763">
        <w:rPr>
          <w:sz w:val="16"/>
          <w:szCs w:val="16"/>
        </w:rPr>
        <w:t xml:space="preserve"> </w:t>
      </w:r>
      <w:r>
        <w:rPr>
          <w:sz w:val="16"/>
          <w:szCs w:val="16"/>
        </w:rPr>
        <w:t>PHL</w:t>
      </w:r>
      <w:r w:rsidRPr="0041470E">
        <w:rPr>
          <w:sz w:val="16"/>
          <w:szCs w:val="16"/>
        </w:rPr>
        <w:t xml:space="preserve">, </w:t>
      </w:r>
      <w:r w:rsidRPr="0041470E">
        <w:rPr>
          <w:i/>
          <w:iCs/>
          <w:sz w:val="16"/>
          <w:szCs w:val="16"/>
        </w:rPr>
        <w:t>Response to NHS GM due diligence questions</w:t>
      </w:r>
      <w:r w:rsidRPr="0041470E">
        <w:rPr>
          <w:sz w:val="16"/>
          <w:szCs w:val="16"/>
        </w:rPr>
        <w:t>, 29 September 2025.</w:t>
      </w:r>
    </w:p>
  </w:footnote>
  <w:footnote w:id="34">
    <w:p w14:paraId="2CA36A95" w14:textId="77777777" w:rsidR="00E140B8" w:rsidRPr="007D3648" w:rsidRDefault="00E140B8" w:rsidP="00E140B8">
      <w:pPr>
        <w:pStyle w:val="FootnoteText"/>
        <w:rPr>
          <w:sz w:val="16"/>
          <w:szCs w:val="16"/>
        </w:rPr>
      </w:pPr>
      <w:r w:rsidRPr="007D3648">
        <w:rPr>
          <w:rStyle w:val="FootnoteReference"/>
          <w:sz w:val="16"/>
          <w:szCs w:val="16"/>
        </w:rPr>
        <w:footnoteRef/>
      </w:r>
      <w:r w:rsidRPr="007D3648">
        <w:rPr>
          <w:sz w:val="16"/>
          <w:szCs w:val="16"/>
        </w:rPr>
        <w:t xml:space="preserve"> NHS GM, </w:t>
      </w:r>
      <w:r w:rsidRPr="007D3648">
        <w:rPr>
          <w:i/>
          <w:sz w:val="16"/>
          <w:szCs w:val="16"/>
        </w:rPr>
        <w:t>Internal email correspondence</w:t>
      </w:r>
      <w:r w:rsidRPr="007D3648">
        <w:rPr>
          <w:sz w:val="16"/>
          <w:szCs w:val="16"/>
        </w:rPr>
        <w:t>, 1 October 2025.</w:t>
      </w:r>
    </w:p>
  </w:footnote>
  <w:footnote w:id="35">
    <w:p w14:paraId="26197B17" w14:textId="77777777" w:rsidR="00337C70" w:rsidRPr="00CC006C" w:rsidRDefault="00337C70" w:rsidP="00337C70">
      <w:pPr>
        <w:pStyle w:val="FootnoteText"/>
        <w:rPr>
          <w:sz w:val="16"/>
          <w:szCs w:val="16"/>
        </w:rPr>
      </w:pPr>
      <w:r w:rsidRPr="00CC006C">
        <w:rPr>
          <w:rStyle w:val="FootnoteReference"/>
          <w:sz w:val="16"/>
          <w:szCs w:val="16"/>
        </w:rPr>
        <w:footnoteRef/>
      </w:r>
      <w:r w:rsidRPr="00CC006C">
        <w:rPr>
          <w:sz w:val="16"/>
          <w:szCs w:val="16"/>
        </w:rPr>
        <w:t xml:space="preserve"> PHL, </w:t>
      </w:r>
      <w:r w:rsidRPr="00CC006C">
        <w:rPr>
          <w:i/>
          <w:iCs/>
          <w:sz w:val="16"/>
          <w:szCs w:val="16"/>
        </w:rPr>
        <w:t>Letter to NHS GM</w:t>
      </w:r>
      <w:r>
        <w:rPr>
          <w:i/>
          <w:iCs/>
          <w:sz w:val="16"/>
          <w:szCs w:val="16"/>
        </w:rPr>
        <w:t xml:space="preserve"> responding to due diligence questions</w:t>
      </w:r>
      <w:r w:rsidRPr="00CC006C">
        <w:rPr>
          <w:sz w:val="16"/>
          <w:szCs w:val="16"/>
        </w:rPr>
        <w:t>, 7 October 2025.</w:t>
      </w:r>
    </w:p>
  </w:footnote>
  <w:footnote w:id="36">
    <w:p w14:paraId="3FABC7BE" w14:textId="77777777" w:rsidR="00F90407" w:rsidRPr="005B0523" w:rsidRDefault="00F90407" w:rsidP="00F90407">
      <w:pPr>
        <w:pStyle w:val="FootnoteText"/>
        <w:rPr>
          <w:sz w:val="16"/>
          <w:szCs w:val="16"/>
        </w:rPr>
      </w:pPr>
      <w:r w:rsidRPr="005B0523">
        <w:rPr>
          <w:rStyle w:val="FootnoteReference"/>
          <w:sz w:val="16"/>
          <w:szCs w:val="16"/>
        </w:rPr>
        <w:footnoteRef/>
      </w:r>
      <w:r w:rsidRPr="005B0523">
        <w:rPr>
          <w:sz w:val="16"/>
          <w:szCs w:val="16"/>
        </w:rPr>
        <w:t xml:space="preserve"> CHEC, </w:t>
      </w:r>
      <w:r w:rsidRPr="005B0523">
        <w:rPr>
          <w:i/>
          <w:iCs/>
          <w:sz w:val="16"/>
          <w:szCs w:val="16"/>
        </w:rPr>
        <w:t>Representations to NHS GM</w:t>
      </w:r>
      <w:r w:rsidRPr="005B0523">
        <w:rPr>
          <w:sz w:val="16"/>
          <w:szCs w:val="16"/>
        </w:rPr>
        <w:t>, 18 August 2025.</w:t>
      </w:r>
    </w:p>
  </w:footnote>
  <w:footnote w:id="37">
    <w:p w14:paraId="304A135F" w14:textId="62B907C2" w:rsidR="00DE44EE" w:rsidRPr="00ED23AD" w:rsidRDefault="00DE44EE">
      <w:pPr>
        <w:pStyle w:val="FootnoteText"/>
        <w:rPr>
          <w:sz w:val="16"/>
          <w:szCs w:val="16"/>
        </w:rPr>
      </w:pPr>
      <w:r w:rsidRPr="00ED23AD">
        <w:rPr>
          <w:rStyle w:val="FootnoteReference"/>
          <w:sz w:val="16"/>
          <w:szCs w:val="16"/>
        </w:rPr>
        <w:footnoteRef/>
      </w:r>
      <w:r w:rsidRPr="00ED23AD">
        <w:rPr>
          <w:sz w:val="16"/>
          <w:szCs w:val="16"/>
        </w:rPr>
        <w:t xml:space="preserve"> </w:t>
      </w:r>
      <w:r w:rsidR="00CF0585" w:rsidRPr="00ED23AD">
        <w:rPr>
          <w:sz w:val="16"/>
          <w:szCs w:val="16"/>
        </w:rPr>
        <w:t xml:space="preserve">References in this report to NHS GM’s PSR Representation Panel use its full name (i.e. PSR Representation Panel), while the Independent Patient Choice and Procurement Panel </w:t>
      </w:r>
      <w:r w:rsidR="00ED23AD" w:rsidRPr="00ED23AD">
        <w:rPr>
          <w:sz w:val="16"/>
          <w:szCs w:val="16"/>
        </w:rPr>
        <w:t>is referred to as ‘the Panel’.</w:t>
      </w:r>
    </w:p>
  </w:footnote>
  <w:footnote w:id="38">
    <w:p w14:paraId="43BAEA88" w14:textId="4C1A0CBF" w:rsidR="009D2AD6" w:rsidRPr="00141284" w:rsidRDefault="009D2AD6">
      <w:pPr>
        <w:pStyle w:val="FootnoteText"/>
        <w:rPr>
          <w:sz w:val="16"/>
          <w:szCs w:val="16"/>
        </w:rPr>
      </w:pPr>
      <w:r w:rsidRPr="00141284">
        <w:rPr>
          <w:rStyle w:val="FootnoteReference"/>
          <w:sz w:val="16"/>
          <w:szCs w:val="16"/>
        </w:rPr>
        <w:footnoteRef/>
      </w:r>
      <w:r w:rsidRPr="00141284">
        <w:rPr>
          <w:sz w:val="16"/>
          <w:szCs w:val="16"/>
        </w:rPr>
        <w:t xml:space="preserve"> NHS GM, </w:t>
      </w:r>
      <w:r w:rsidR="00141284" w:rsidRPr="00141284">
        <w:rPr>
          <w:i/>
          <w:iCs/>
          <w:sz w:val="16"/>
          <w:szCs w:val="16"/>
        </w:rPr>
        <w:t>PSR Representation Panel minutes</w:t>
      </w:r>
      <w:r w:rsidR="00141284" w:rsidRPr="00141284">
        <w:rPr>
          <w:sz w:val="16"/>
          <w:szCs w:val="16"/>
        </w:rPr>
        <w:t>, 15 September 2025.</w:t>
      </w:r>
    </w:p>
  </w:footnote>
  <w:footnote w:id="39">
    <w:p w14:paraId="62D672CB" w14:textId="5A7B36D3" w:rsidR="0055574B" w:rsidRPr="001D6CAC" w:rsidRDefault="0055574B">
      <w:pPr>
        <w:pStyle w:val="FootnoteText"/>
        <w:rPr>
          <w:sz w:val="16"/>
          <w:szCs w:val="16"/>
        </w:rPr>
      </w:pPr>
      <w:r w:rsidRPr="001D6CAC">
        <w:rPr>
          <w:rStyle w:val="FootnoteReference"/>
          <w:sz w:val="16"/>
          <w:szCs w:val="16"/>
        </w:rPr>
        <w:footnoteRef/>
      </w:r>
      <w:r w:rsidRPr="001D6CAC">
        <w:rPr>
          <w:sz w:val="16"/>
          <w:szCs w:val="16"/>
        </w:rPr>
        <w:t xml:space="preserve"> </w:t>
      </w:r>
      <w:r w:rsidR="00C51670" w:rsidRPr="001D6CAC">
        <w:rPr>
          <w:sz w:val="16"/>
          <w:szCs w:val="16"/>
        </w:rPr>
        <w:t xml:space="preserve">NHS GM, </w:t>
      </w:r>
      <w:r w:rsidR="001D6CAC" w:rsidRPr="001D6CAC">
        <w:rPr>
          <w:i/>
          <w:iCs/>
          <w:sz w:val="16"/>
          <w:szCs w:val="16"/>
        </w:rPr>
        <w:t>Response to CHEC representation</w:t>
      </w:r>
      <w:r w:rsidR="001D6CAC" w:rsidRPr="001D6CAC">
        <w:rPr>
          <w:sz w:val="16"/>
          <w:szCs w:val="16"/>
        </w:rPr>
        <w:t>, undated.</w:t>
      </w:r>
    </w:p>
  </w:footnote>
  <w:footnote w:id="40">
    <w:p w14:paraId="2786680E" w14:textId="5D805DDA" w:rsidR="002C2A1F" w:rsidRPr="002F0D19" w:rsidRDefault="002C2A1F">
      <w:pPr>
        <w:pStyle w:val="FootnoteText"/>
        <w:rPr>
          <w:sz w:val="16"/>
          <w:szCs w:val="16"/>
        </w:rPr>
      </w:pPr>
      <w:r w:rsidRPr="002F0D19">
        <w:rPr>
          <w:rStyle w:val="FootnoteReference"/>
          <w:sz w:val="16"/>
          <w:szCs w:val="16"/>
        </w:rPr>
        <w:footnoteRef/>
      </w:r>
      <w:r w:rsidRPr="002F0D19">
        <w:rPr>
          <w:sz w:val="16"/>
          <w:szCs w:val="16"/>
        </w:rPr>
        <w:t xml:space="preserve"> </w:t>
      </w:r>
      <w:r w:rsidR="002F0D19" w:rsidRPr="002F0D19">
        <w:rPr>
          <w:sz w:val="16"/>
          <w:szCs w:val="16"/>
        </w:rPr>
        <w:t xml:space="preserve">NHS GM, </w:t>
      </w:r>
      <w:r w:rsidR="002F0D19" w:rsidRPr="002F0D19">
        <w:rPr>
          <w:i/>
          <w:iCs/>
          <w:sz w:val="16"/>
          <w:szCs w:val="16"/>
        </w:rPr>
        <w:t>Letter to CHEC: Disclosure of documents and information</w:t>
      </w:r>
      <w:r w:rsidR="002F0D19" w:rsidRPr="002F0D19">
        <w:rPr>
          <w:sz w:val="16"/>
          <w:szCs w:val="16"/>
        </w:rPr>
        <w:t>, 18 September 2025.</w:t>
      </w:r>
    </w:p>
  </w:footnote>
  <w:footnote w:id="41">
    <w:p w14:paraId="33BA05AA" w14:textId="6CC338DD" w:rsidR="006C160D" w:rsidRPr="00227FDB" w:rsidRDefault="006C160D" w:rsidP="006C160D">
      <w:pPr>
        <w:pStyle w:val="FootnoteText"/>
        <w:rPr>
          <w:sz w:val="16"/>
          <w:szCs w:val="16"/>
        </w:rPr>
      </w:pPr>
      <w:r w:rsidRPr="00227FDB">
        <w:rPr>
          <w:rStyle w:val="FootnoteReference"/>
          <w:sz w:val="16"/>
          <w:szCs w:val="16"/>
        </w:rPr>
        <w:footnoteRef/>
      </w:r>
      <w:r w:rsidRPr="00227FDB">
        <w:rPr>
          <w:sz w:val="16"/>
          <w:szCs w:val="16"/>
        </w:rPr>
        <w:t xml:space="preserve"> NHS GM, </w:t>
      </w:r>
      <w:r w:rsidR="002F0D19" w:rsidRPr="002F0D19">
        <w:rPr>
          <w:i/>
          <w:iCs/>
          <w:sz w:val="16"/>
          <w:szCs w:val="16"/>
        </w:rPr>
        <w:t xml:space="preserve">Letter to CHEC: </w:t>
      </w:r>
      <w:r w:rsidR="00842D1B" w:rsidRPr="002F0D19">
        <w:rPr>
          <w:i/>
          <w:iCs/>
          <w:sz w:val="16"/>
          <w:szCs w:val="16"/>
        </w:rPr>
        <w:t>Disclosure</w:t>
      </w:r>
      <w:r w:rsidR="00842D1B">
        <w:rPr>
          <w:i/>
          <w:iCs/>
          <w:sz w:val="16"/>
          <w:szCs w:val="16"/>
        </w:rPr>
        <w:t xml:space="preserve"> of documents and information</w:t>
      </w:r>
      <w:r w:rsidRPr="00227FDB">
        <w:rPr>
          <w:sz w:val="16"/>
          <w:szCs w:val="16"/>
        </w:rPr>
        <w:t>, 1</w:t>
      </w:r>
      <w:r w:rsidR="002C2A1F">
        <w:rPr>
          <w:sz w:val="16"/>
          <w:szCs w:val="16"/>
        </w:rPr>
        <w:t>8</w:t>
      </w:r>
      <w:r w:rsidRPr="00227FDB">
        <w:rPr>
          <w:sz w:val="16"/>
          <w:szCs w:val="16"/>
        </w:rPr>
        <w:t xml:space="preserve"> September 2025.</w:t>
      </w:r>
    </w:p>
  </w:footnote>
  <w:footnote w:id="42">
    <w:p w14:paraId="2C6970C2" w14:textId="77777777" w:rsidR="00E848AA" w:rsidRPr="000B29C0" w:rsidRDefault="00E848AA" w:rsidP="00E848AA">
      <w:pPr>
        <w:pStyle w:val="FootnoteText"/>
        <w:rPr>
          <w:sz w:val="16"/>
          <w:szCs w:val="16"/>
        </w:rPr>
      </w:pPr>
      <w:r w:rsidRPr="000B29C0">
        <w:rPr>
          <w:rStyle w:val="FootnoteReference"/>
          <w:sz w:val="16"/>
          <w:szCs w:val="16"/>
        </w:rPr>
        <w:footnoteRef/>
      </w:r>
      <w:r w:rsidRPr="000B29C0">
        <w:rPr>
          <w:sz w:val="16"/>
          <w:szCs w:val="16"/>
        </w:rPr>
        <w:t xml:space="preserve"> The Panel notes that such an approach would be impractical given that Regulation 4, for example, sets out a wide range of general procurement principles such as transparency, fairness and proportionality.</w:t>
      </w:r>
    </w:p>
  </w:footnote>
  <w:footnote w:id="43">
    <w:p w14:paraId="105EECDA" w14:textId="77777777" w:rsidR="000A09C1" w:rsidRPr="00227FDB" w:rsidRDefault="000A09C1" w:rsidP="000A09C1">
      <w:pPr>
        <w:pStyle w:val="FootnoteText"/>
        <w:rPr>
          <w:sz w:val="16"/>
          <w:szCs w:val="16"/>
        </w:rPr>
      </w:pPr>
      <w:r w:rsidRPr="00227FDB">
        <w:rPr>
          <w:rStyle w:val="FootnoteReference"/>
          <w:sz w:val="16"/>
          <w:szCs w:val="16"/>
        </w:rPr>
        <w:footnoteRef/>
      </w:r>
      <w:r w:rsidRPr="00227FDB">
        <w:rPr>
          <w:sz w:val="16"/>
          <w:szCs w:val="16"/>
        </w:rPr>
        <w:t xml:space="preserve"> NHS GM, </w:t>
      </w:r>
      <w:r w:rsidRPr="002F0D19">
        <w:rPr>
          <w:i/>
          <w:iCs/>
          <w:sz w:val="16"/>
          <w:szCs w:val="16"/>
        </w:rPr>
        <w:t>Letter to CHEC: Disclosure</w:t>
      </w:r>
      <w:r>
        <w:rPr>
          <w:i/>
          <w:iCs/>
          <w:sz w:val="16"/>
          <w:szCs w:val="16"/>
        </w:rPr>
        <w:t xml:space="preserve"> of documents and information</w:t>
      </w:r>
      <w:r w:rsidRPr="00227FDB">
        <w:rPr>
          <w:sz w:val="16"/>
          <w:szCs w:val="16"/>
        </w:rPr>
        <w:t>, 1</w:t>
      </w:r>
      <w:r>
        <w:rPr>
          <w:sz w:val="16"/>
          <w:szCs w:val="16"/>
        </w:rPr>
        <w:t>8</w:t>
      </w:r>
      <w:r w:rsidRPr="00227FDB">
        <w:rPr>
          <w:sz w:val="16"/>
          <w:szCs w:val="16"/>
        </w:rPr>
        <w:t xml:space="preserve"> September 2025.</w:t>
      </w:r>
    </w:p>
  </w:footnote>
  <w:footnote w:id="44">
    <w:p w14:paraId="0BE4478E" w14:textId="77777777" w:rsidR="009E3454" w:rsidRPr="002E6D9F" w:rsidRDefault="009E3454" w:rsidP="009E3454">
      <w:pPr>
        <w:pStyle w:val="FootnoteText"/>
        <w:rPr>
          <w:sz w:val="16"/>
          <w:szCs w:val="16"/>
        </w:rPr>
      </w:pPr>
      <w:r w:rsidRPr="002E6D9F">
        <w:rPr>
          <w:rStyle w:val="FootnoteReference"/>
          <w:sz w:val="16"/>
          <w:szCs w:val="16"/>
        </w:rPr>
        <w:footnoteRef/>
      </w:r>
      <w:r w:rsidRPr="002E6D9F">
        <w:rPr>
          <w:sz w:val="16"/>
          <w:szCs w:val="16"/>
        </w:rPr>
        <w:t xml:space="preserve"> CHEC, </w:t>
      </w:r>
      <w:r w:rsidRPr="002E6D9F">
        <w:rPr>
          <w:i/>
          <w:iCs/>
          <w:sz w:val="16"/>
          <w:szCs w:val="16"/>
        </w:rPr>
        <w:t>Representations to NHS GM</w:t>
      </w:r>
      <w:r w:rsidRPr="002E6D9F">
        <w:rPr>
          <w:sz w:val="16"/>
          <w:szCs w:val="16"/>
        </w:rPr>
        <w:t>, 25 September 2025.</w:t>
      </w:r>
    </w:p>
  </w:footnote>
  <w:footnote w:id="45">
    <w:p w14:paraId="7192F7D5" w14:textId="336B6FE6" w:rsidR="00FB6A98" w:rsidRPr="009C0F15" w:rsidRDefault="00FB6A98" w:rsidP="00FB6A98">
      <w:pPr>
        <w:pStyle w:val="FootnoteText"/>
        <w:rPr>
          <w:sz w:val="16"/>
          <w:szCs w:val="16"/>
        </w:rPr>
      </w:pPr>
      <w:r w:rsidRPr="009C0F15">
        <w:rPr>
          <w:rStyle w:val="FootnoteReference"/>
          <w:sz w:val="16"/>
          <w:szCs w:val="16"/>
        </w:rPr>
        <w:footnoteRef/>
      </w:r>
      <w:r w:rsidRPr="009C0F15">
        <w:rPr>
          <w:sz w:val="16"/>
          <w:szCs w:val="16"/>
        </w:rPr>
        <w:t xml:space="preserve"> NHS GM, </w:t>
      </w:r>
      <w:r w:rsidRPr="009C0F15">
        <w:rPr>
          <w:i/>
          <w:iCs/>
          <w:sz w:val="16"/>
          <w:szCs w:val="16"/>
        </w:rPr>
        <w:t>PSR Representation Panel minutes</w:t>
      </w:r>
      <w:r w:rsidR="0083552D">
        <w:rPr>
          <w:i/>
          <w:iCs/>
          <w:sz w:val="16"/>
          <w:szCs w:val="16"/>
        </w:rPr>
        <w:t xml:space="preserve"> of seco</w:t>
      </w:r>
      <w:r w:rsidR="00BE7BB9">
        <w:rPr>
          <w:i/>
          <w:iCs/>
          <w:sz w:val="16"/>
          <w:szCs w:val="16"/>
        </w:rPr>
        <w:t>nd meeting</w:t>
      </w:r>
      <w:r w:rsidRPr="009C0F15">
        <w:rPr>
          <w:sz w:val="16"/>
          <w:szCs w:val="16"/>
        </w:rPr>
        <w:t>, 6 October 2025.</w:t>
      </w:r>
    </w:p>
  </w:footnote>
  <w:footnote w:id="46">
    <w:p w14:paraId="224C41E2" w14:textId="77777777" w:rsidR="00D0517D" w:rsidRPr="000F3763" w:rsidRDefault="00D0517D" w:rsidP="00D0517D">
      <w:pPr>
        <w:pStyle w:val="FootnoteText"/>
        <w:rPr>
          <w:sz w:val="16"/>
          <w:szCs w:val="16"/>
        </w:rPr>
      </w:pPr>
      <w:r w:rsidRPr="000F3763">
        <w:rPr>
          <w:rStyle w:val="FootnoteReference"/>
          <w:sz w:val="16"/>
          <w:szCs w:val="16"/>
        </w:rPr>
        <w:footnoteRef/>
      </w:r>
      <w:r w:rsidRPr="000F3763">
        <w:rPr>
          <w:sz w:val="16"/>
          <w:szCs w:val="16"/>
        </w:rPr>
        <w:t xml:space="preserve"> CHEC, </w:t>
      </w:r>
      <w:r w:rsidRPr="000F3763">
        <w:rPr>
          <w:i/>
          <w:sz w:val="16"/>
          <w:szCs w:val="16"/>
        </w:rPr>
        <w:t>Representations to NHS GM</w:t>
      </w:r>
      <w:r w:rsidRPr="000F3763">
        <w:rPr>
          <w:sz w:val="16"/>
          <w:szCs w:val="16"/>
        </w:rPr>
        <w:t>, 9 October 2025.</w:t>
      </w:r>
    </w:p>
  </w:footnote>
  <w:footnote w:id="47">
    <w:p w14:paraId="1D6E1CBE" w14:textId="77777777" w:rsidR="00B93BD5" w:rsidRPr="006E025D" w:rsidRDefault="00B93BD5" w:rsidP="00B93BD5">
      <w:pPr>
        <w:pStyle w:val="FootnoteText"/>
        <w:rPr>
          <w:sz w:val="16"/>
          <w:szCs w:val="16"/>
        </w:rPr>
      </w:pPr>
      <w:r w:rsidRPr="006E025D">
        <w:rPr>
          <w:rStyle w:val="FootnoteReference"/>
          <w:sz w:val="16"/>
          <w:szCs w:val="16"/>
        </w:rPr>
        <w:footnoteRef/>
      </w:r>
      <w:r w:rsidRPr="006E025D">
        <w:rPr>
          <w:sz w:val="16"/>
          <w:szCs w:val="16"/>
        </w:rPr>
        <w:t xml:space="preserve"> NHS GM, </w:t>
      </w:r>
      <w:r w:rsidRPr="00CB6246">
        <w:rPr>
          <w:i/>
          <w:iCs/>
          <w:sz w:val="16"/>
          <w:szCs w:val="16"/>
        </w:rPr>
        <w:t>Response to CHEC’s</w:t>
      </w:r>
      <w:r>
        <w:rPr>
          <w:i/>
          <w:iCs/>
          <w:sz w:val="16"/>
          <w:szCs w:val="16"/>
        </w:rPr>
        <w:t xml:space="preserve"> representations</w:t>
      </w:r>
      <w:r w:rsidRPr="006E025D">
        <w:rPr>
          <w:sz w:val="16"/>
          <w:szCs w:val="16"/>
        </w:rPr>
        <w:t>, 21 October 2025.</w:t>
      </w:r>
    </w:p>
  </w:footnote>
  <w:footnote w:id="48">
    <w:p w14:paraId="6BEF3848" w14:textId="77777777" w:rsidR="00827FD0" w:rsidRPr="006E025D" w:rsidRDefault="00827FD0" w:rsidP="00827FD0">
      <w:pPr>
        <w:pStyle w:val="FootnoteText"/>
        <w:rPr>
          <w:sz w:val="16"/>
          <w:szCs w:val="16"/>
        </w:rPr>
      </w:pPr>
      <w:r w:rsidRPr="006E025D">
        <w:rPr>
          <w:rStyle w:val="FootnoteReference"/>
          <w:sz w:val="16"/>
          <w:szCs w:val="16"/>
        </w:rPr>
        <w:footnoteRef/>
      </w:r>
      <w:r w:rsidRPr="006E025D">
        <w:rPr>
          <w:sz w:val="16"/>
          <w:szCs w:val="16"/>
        </w:rPr>
        <w:t xml:space="preserve"> NHS GM, </w:t>
      </w:r>
      <w:r w:rsidRPr="00CB6246">
        <w:rPr>
          <w:i/>
          <w:iCs/>
          <w:sz w:val="16"/>
          <w:szCs w:val="16"/>
        </w:rPr>
        <w:t>Response to CHEC’s</w:t>
      </w:r>
      <w:r>
        <w:rPr>
          <w:i/>
          <w:iCs/>
          <w:sz w:val="16"/>
          <w:szCs w:val="16"/>
        </w:rPr>
        <w:t xml:space="preserve"> representations</w:t>
      </w:r>
      <w:r w:rsidRPr="006E025D">
        <w:rPr>
          <w:sz w:val="16"/>
          <w:szCs w:val="16"/>
        </w:rPr>
        <w:t>, 21 October 2025.</w:t>
      </w:r>
    </w:p>
  </w:footnote>
  <w:footnote w:id="49">
    <w:p w14:paraId="0D0D705F" w14:textId="77777777" w:rsidR="00AC315A" w:rsidRPr="006E025D" w:rsidRDefault="00AC315A" w:rsidP="00AC315A">
      <w:pPr>
        <w:pStyle w:val="FootnoteText"/>
        <w:rPr>
          <w:sz w:val="16"/>
          <w:szCs w:val="16"/>
        </w:rPr>
      </w:pPr>
      <w:r w:rsidRPr="006E025D">
        <w:rPr>
          <w:rStyle w:val="FootnoteReference"/>
          <w:sz w:val="16"/>
          <w:szCs w:val="16"/>
        </w:rPr>
        <w:footnoteRef/>
      </w:r>
      <w:r w:rsidRPr="006E025D">
        <w:rPr>
          <w:sz w:val="16"/>
          <w:szCs w:val="16"/>
        </w:rPr>
        <w:t xml:space="preserve"> NHS GM, </w:t>
      </w:r>
      <w:r w:rsidRPr="00CB6246">
        <w:rPr>
          <w:i/>
          <w:iCs/>
          <w:sz w:val="16"/>
          <w:szCs w:val="16"/>
        </w:rPr>
        <w:t>Response to CHEC’s</w:t>
      </w:r>
      <w:r>
        <w:rPr>
          <w:i/>
          <w:iCs/>
          <w:sz w:val="16"/>
          <w:szCs w:val="16"/>
        </w:rPr>
        <w:t xml:space="preserve"> representations</w:t>
      </w:r>
      <w:r w:rsidRPr="006E025D">
        <w:rPr>
          <w:sz w:val="16"/>
          <w:szCs w:val="16"/>
        </w:rPr>
        <w:t>, 21 October 2025.</w:t>
      </w:r>
    </w:p>
  </w:footnote>
  <w:footnote w:id="50">
    <w:p w14:paraId="579C9F03" w14:textId="77777777" w:rsidR="00AC315A" w:rsidRPr="00E97AFC" w:rsidRDefault="00AC315A" w:rsidP="00AC315A">
      <w:pPr>
        <w:pStyle w:val="FootnoteText"/>
        <w:rPr>
          <w:sz w:val="16"/>
          <w:szCs w:val="16"/>
        </w:rPr>
      </w:pPr>
      <w:r w:rsidRPr="00E97AFC">
        <w:rPr>
          <w:rStyle w:val="FootnoteReference"/>
          <w:sz w:val="16"/>
          <w:szCs w:val="16"/>
        </w:rPr>
        <w:footnoteRef/>
      </w:r>
      <w:r w:rsidRPr="00E97AFC">
        <w:rPr>
          <w:sz w:val="16"/>
          <w:szCs w:val="16"/>
        </w:rPr>
        <w:t xml:space="preserve"> NHS GM, </w:t>
      </w:r>
      <w:r w:rsidRPr="00E97AFC">
        <w:rPr>
          <w:i/>
          <w:iCs/>
          <w:sz w:val="16"/>
          <w:szCs w:val="16"/>
        </w:rPr>
        <w:t>Letter to CHEC</w:t>
      </w:r>
      <w:r w:rsidRPr="00E97AFC">
        <w:rPr>
          <w:sz w:val="16"/>
          <w:szCs w:val="16"/>
        </w:rPr>
        <w:t>, 28 October 2025.</w:t>
      </w:r>
    </w:p>
  </w:footnote>
  <w:footnote w:id="51">
    <w:p w14:paraId="2E8D2044" w14:textId="77777777" w:rsidR="00AC315A" w:rsidRPr="00E97AFC" w:rsidRDefault="00AC315A" w:rsidP="00AC315A">
      <w:pPr>
        <w:pStyle w:val="FootnoteText"/>
        <w:rPr>
          <w:sz w:val="16"/>
          <w:szCs w:val="16"/>
        </w:rPr>
      </w:pPr>
      <w:r w:rsidRPr="00E97AFC">
        <w:rPr>
          <w:rStyle w:val="FootnoteReference"/>
          <w:sz w:val="16"/>
          <w:szCs w:val="16"/>
        </w:rPr>
        <w:footnoteRef/>
      </w:r>
      <w:r w:rsidRPr="00E97AFC">
        <w:rPr>
          <w:sz w:val="16"/>
          <w:szCs w:val="16"/>
        </w:rPr>
        <w:t xml:space="preserve"> NHS GM, </w:t>
      </w:r>
      <w:r w:rsidRPr="00E97AFC">
        <w:rPr>
          <w:i/>
          <w:iCs/>
          <w:sz w:val="16"/>
          <w:szCs w:val="16"/>
        </w:rPr>
        <w:t>Letter to CHEC</w:t>
      </w:r>
      <w:r w:rsidRPr="00E97AFC">
        <w:rPr>
          <w:sz w:val="16"/>
          <w:szCs w:val="16"/>
        </w:rPr>
        <w:t>, 28 October 2025.</w:t>
      </w:r>
    </w:p>
  </w:footnote>
  <w:footnote w:id="52">
    <w:p w14:paraId="771B92F0" w14:textId="77777777" w:rsidR="00AC315A" w:rsidRPr="00796647" w:rsidRDefault="00AC315A" w:rsidP="00AC315A">
      <w:pPr>
        <w:pStyle w:val="FootnoteText"/>
        <w:rPr>
          <w:sz w:val="16"/>
          <w:szCs w:val="16"/>
        </w:rPr>
      </w:pPr>
      <w:r w:rsidRPr="00796647">
        <w:rPr>
          <w:rStyle w:val="FootnoteReference"/>
          <w:sz w:val="16"/>
          <w:szCs w:val="16"/>
        </w:rPr>
        <w:footnoteRef/>
      </w:r>
      <w:r w:rsidRPr="00796647">
        <w:rPr>
          <w:sz w:val="16"/>
          <w:szCs w:val="16"/>
        </w:rPr>
        <w:t xml:space="preserve"> NHS GM</w:t>
      </w:r>
      <w:r w:rsidRPr="0072259D">
        <w:rPr>
          <w:i/>
          <w:iCs/>
          <w:sz w:val="16"/>
          <w:szCs w:val="16"/>
        </w:rPr>
        <w:t>, Response to Panel questions</w:t>
      </w:r>
      <w:r>
        <w:rPr>
          <w:sz w:val="16"/>
          <w:szCs w:val="16"/>
        </w:rPr>
        <w:t xml:space="preserve">, 27 November </w:t>
      </w:r>
      <w:r w:rsidRPr="00796647">
        <w:rPr>
          <w:sz w:val="16"/>
          <w:szCs w:val="16"/>
        </w:rPr>
        <w:t>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C11"/>
    <w:multiLevelType w:val="multilevel"/>
    <w:tmpl w:val="BC7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5119F"/>
    <w:multiLevelType w:val="multilevel"/>
    <w:tmpl w:val="5016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A42DF"/>
    <w:multiLevelType w:val="hybridMultilevel"/>
    <w:tmpl w:val="72E8A22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 w15:restartNumberingAfterBreak="0">
    <w:nsid w:val="0AAF144B"/>
    <w:multiLevelType w:val="multilevel"/>
    <w:tmpl w:val="69D0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6096B"/>
    <w:multiLevelType w:val="multilevel"/>
    <w:tmpl w:val="E5B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76A7A"/>
    <w:multiLevelType w:val="hybridMultilevel"/>
    <w:tmpl w:val="3A32D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18499D"/>
    <w:multiLevelType w:val="multilevel"/>
    <w:tmpl w:val="89AACC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2123D5"/>
    <w:multiLevelType w:val="hybridMultilevel"/>
    <w:tmpl w:val="C986CE14"/>
    <w:lvl w:ilvl="0" w:tplc="E88C0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17EDB"/>
    <w:multiLevelType w:val="hybridMultilevel"/>
    <w:tmpl w:val="D8EC7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4905FD"/>
    <w:multiLevelType w:val="hybridMultilevel"/>
    <w:tmpl w:val="E2E4C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AF22DB"/>
    <w:multiLevelType w:val="hybridMultilevel"/>
    <w:tmpl w:val="62D27E6E"/>
    <w:lvl w:ilvl="0" w:tplc="90BCF8E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FCB6ED7"/>
    <w:multiLevelType w:val="multilevel"/>
    <w:tmpl w:val="F99E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D5B42"/>
    <w:multiLevelType w:val="multilevel"/>
    <w:tmpl w:val="95EA96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B34F74"/>
    <w:multiLevelType w:val="hybridMultilevel"/>
    <w:tmpl w:val="7CBA5A84"/>
    <w:lvl w:ilvl="0" w:tplc="DE06504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AC91F19"/>
    <w:multiLevelType w:val="hybridMultilevel"/>
    <w:tmpl w:val="57327004"/>
    <w:lvl w:ilvl="0" w:tplc="E3501A90">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D405A"/>
    <w:multiLevelType w:val="hybridMultilevel"/>
    <w:tmpl w:val="60F612FE"/>
    <w:lvl w:ilvl="0" w:tplc="E7646B4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7C84068"/>
    <w:multiLevelType w:val="multilevel"/>
    <w:tmpl w:val="3FD4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BB04E7"/>
    <w:multiLevelType w:val="hybridMultilevel"/>
    <w:tmpl w:val="F3F4A0F6"/>
    <w:lvl w:ilvl="0" w:tplc="C6AE96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A145AA0"/>
    <w:multiLevelType w:val="multilevel"/>
    <w:tmpl w:val="08F4CFC0"/>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8D45E2"/>
    <w:multiLevelType w:val="multilevel"/>
    <w:tmpl w:val="62502D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401121F"/>
    <w:multiLevelType w:val="hybridMultilevel"/>
    <w:tmpl w:val="EBA6EFD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BF06A0"/>
    <w:multiLevelType w:val="hybridMultilevel"/>
    <w:tmpl w:val="B2D65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2D045B"/>
    <w:multiLevelType w:val="hybridMultilevel"/>
    <w:tmpl w:val="99386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241EE6"/>
    <w:multiLevelType w:val="hybridMultilevel"/>
    <w:tmpl w:val="3A4E41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C3E37B1"/>
    <w:multiLevelType w:val="multilevel"/>
    <w:tmpl w:val="87D8E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DD1054"/>
    <w:multiLevelType w:val="hybridMultilevel"/>
    <w:tmpl w:val="46EE8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4A128C"/>
    <w:multiLevelType w:val="multilevel"/>
    <w:tmpl w:val="702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0D6AC9"/>
    <w:multiLevelType w:val="multilevel"/>
    <w:tmpl w:val="B89857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1A4D45"/>
    <w:multiLevelType w:val="multilevel"/>
    <w:tmpl w:val="416665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1D4A84"/>
    <w:multiLevelType w:val="multilevel"/>
    <w:tmpl w:val="EE3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E52BDA"/>
    <w:multiLevelType w:val="multilevel"/>
    <w:tmpl w:val="F726231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93D518B"/>
    <w:multiLevelType w:val="multilevel"/>
    <w:tmpl w:val="2B2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18795C"/>
    <w:multiLevelType w:val="multilevel"/>
    <w:tmpl w:val="05B0B1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C46181"/>
    <w:multiLevelType w:val="hybridMultilevel"/>
    <w:tmpl w:val="CFC06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A800CA"/>
    <w:multiLevelType w:val="multilevel"/>
    <w:tmpl w:val="F67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83614F"/>
    <w:multiLevelType w:val="multilevel"/>
    <w:tmpl w:val="CBDC576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83F4A"/>
    <w:multiLevelType w:val="multilevel"/>
    <w:tmpl w:val="608EB8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AB2230"/>
    <w:multiLevelType w:val="multilevel"/>
    <w:tmpl w:val="6BD2B4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B554A1"/>
    <w:multiLevelType w:val="hybridMultilevel"/>
    <w:tmpl w:val="51246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B20286"/>
    <w:multiLevelType w:val="hybridMultilevel"/>
    <w:tmpl w:val="E0524E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DAE5B7C"/>
    <w:multiLevelType w:val="hybridMultilevel"/>
    <w:tmpl w:val="B4606540"/>
    <w:lvl w:ilvl="0" w:tplc="204EC21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DC42BDA"/>
    <w:multiLevelType w:val="multilevel"/>
    <w:tmpl w:val="1B5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8C5F3B"/>
    <w:multiLevelType w:val="multilevel"/>
    <w:tmpl w:val="43E05F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4118">
    <w:abstractNumId w:val="7"/>
  </w:num>
  <w:num w:numId="2" w16cid:durableId="565452540">
    <w:abstractNumId w:val="30"/>
  </w:num>
  <w:num w:numId="3" w16cid:durableId="1416172334">
    <w:abstractNumId w:val="8"/>
  </w:num>
  <w:num w:numId="4" w16cid:durableId="900334188">
    <w:abstractNumId w:val="14"/>
  </w:num>
  <w:num w:numId="5" w16cid:durableId="1793481299">
    <w:abstractNumId w:val="39"/>
  </w:num>
  <w:num w:numId="6" w16cid:durableId="1603801842">
    <w:abstractNumId w:val="20"/>
  </w:num>
  <w:num w:numId="7" w16cid:durableId="2054231302">
    <w:abstractNumId w:val="22"/>
  </w:num>
  <w:num w:numId="8" w16cid:durableId="1308901028">
    <w:abstractNumId w:val="25"/>
  </w:num>
  <w:num w:numId="9" w16cid:durableId="126898089">
    <w:abstractNumId w:val="21"/>
  </w:num>
  <w:num w:numId="10" w16cid:durableId="1550723874">
    <w:abstractNumId w:val="38"/>
  </w:num>
  <w:num w:numId="11" w16cid:durableId="1392537924">
    <w:abstractNumId w:val="9"/>
  </w:num>
  <w:num w:numId="12" w16cid:durableId="737557888">
    <w:abstractNumId w:val="5"/>
  </w:num>
  <w:num w:numId="13" w16cid:durableId="461778125">
    <w:abstractNumId w:val="24"/>
  </w:num>
  <w:num w:numId="14" w16cid:durableId="1878614608">
    <w:abstractNumId w:val="36"/>
  </w:num>
  <w:num w:numId="15" w16cid:durableId="328140713">
    <w:abstractNumId w:val="27"/>
  </w:num>
  <w:num w:numId="16" w16cid:durableId="871109765">
    <w:abstractNumId w:val="12"/>
  </w:num>
  <w:num w:numId="17" w16cid:durableId="349261236">
    <w:abstractNumId w:val="37"/>
  </w:num>
  <w:num w:numId="18" w16cid:durableId="998071897">
    <w:abstractNumId w:val="19"/>
  </w:num>
  <w:num w:numId="19" w16cid:durableId="1110080296">
    <w:abstractNumId w:val="28"/>
  </w:num>
  <w:num w:numId="20" w16cid:durableId="905409433">
    <w:abstractNumId w:val="42"/>
  </w:num>
  <w:num w:numId="21" w16cid:durableId="124275021">
    <w:abstractNumId w:val="6"/>
  </w:num>
  <w:num w:numId="22" w16cid:durableId="150103781">
    <w:abstractNumId w:val="32"/>
  </w:num>
  <w:num w:numId="23" w16cid:durableId="657421175">
    <w:abstractNumId w:val="33"/>
  </w:num>
  <w:num w:numId="24" w16cid:durableId="2097243970">
    <w:abstractNumId w:val="41"/>
  </w:num>
  <w:num w:numId="25" w16cid:durableId="1038359202">
    <w:abstractNumId w:val="11"/>
  </w:num>
  <w:num w:numId="26" w16cid:durableId="651370492">
    <w:abstractNumId w:val="23"/>
  </w:num>
  <w:num w:numId="27" w16cid:durableId="1358240404">
    <w:abstractNumId w:val="26"/>
  </w:num>
  <w:num w:numId="28" w16cid:durableId="893739112">
    <w:abstractNumId w:val="29"/>
  </w:num>
  <w:num w:numId="29" w16cid:durableId="481504201">
    <w:abstractNumId w:val="16"/>
  </w:num>
  <w:num w:numId="30" w16cid:durableId="1934775992">
    <w:abstractNumId w:val="2"/>
  </w:num>
  <w:num w:numId="31" w16cid:durableId="1216968217">
    <w:abstractNumId w:val="17"/>
  </w:num>
  <w:num w:numId="32" w16cid:durableId="1017999502">
    <w:abstractNumId w:val="10"/>
  </w:num>
  <w:num w:numId="33" w16cid:durableId="1480415925">
    <w:abstractNumId w:val="40"/>
  </w:num>
  <w:num w:numId="34" w16cid:durableId="141000368">
    <w:abstractNumId w:val="4"/>
  </w:num>
  <w:num w:numId="35" w16cid:durableId="165486663">
    <w:abstractNumId w:val="0"/>
  </w:num>
  <w:num w:numId="36" w16cid:durableId="1889605284">
    <w:abstractNumId w:val="1"/>
  </w:num>
  <w:num w:numId="37" w16cid:durableId="1159074269">
    <w:abstractNumId w:val="31"/>
  </w:num>
  <w:num w:numId="38" w16cid:durableId="459567497">
    <w:abstractNumId w:val="3"/>
  </w:num>
  <w:num w:numId="39" w16cid:durableId="1723482921">
    <w:abstractNumId w:val="34"/>
  </w:num>
  <w:num w:numId="40" w16cid:durableId="189492283">
    <w:abstractNumId w:val="13"/>
  </w:num>
  <w:num w:numId="41" w16cid:durableId="201947053">
    <w:abstractNumId w:val="15"/>
  </w:num>
  <w:num w:numId="42" w16cid:durableId="1487477283">
    <w:abstractNumId w:val="18"/>
  </w:num>
  <w:num w:numId="43" w16cid:durableId="2141920038">
    <w:abstractNumId w:val="14"/>
  </w:num>
  <w:num w:numId="44" w16cid:durableId="268971836">
    <w:abstractNumId w:val="14"/>
  </w:num>
  <w:num w:numId="45" w16cid:durableId="431901580">
    <w:abstractNumId w:val="14"/>
  </w:num>
  <w:num w:numId="46" w16cid:durableId="1789667277">
    <w:abstractNumId w:val="14"/>
  </w:num>
  <w:num w:numId="47" w16cid:durableId="821430074">
    <w:abstractNumId w:val="14"/>
  </w:num>
  <w:num w:numId="48" w16cid:durableId="318729515">
    <w:abstractNumId w:val="14"/>
  </w:num>
  <w:num w:numId="49" w16cid:durableId="1752968810">
    <w:abstractNumId w:val="14"/>
  </w:num>
  <w:num w:numId="50" w16cid:durableId="950093960">
    <w:abstractNumId w:val="14"/>
  </w:num>
  <w:num w:numId="51" w16cid:durableId="1465276609">
    <w:abstractNumId w:val="14"/>
  </w:num>
  <w:num w:numId="52" w16cid:durableId="1701055744">
    <w:abstractNumId w:val="14"/>
  </w:num>
  <w:num w:numId="53" w16cid:durableId="318002965">
    <w:abstractNumId w:val="14"/>
  </w:num>
  <w:num w:numId="54" w16cid:durableId="416170277">
    <w:abstractNumId w:val="14"/>
  </w:num>
  <w:num w:numId="55" w16cid:durableId="1469087619">
    <w:abstractNumId w:val="14"/>
  </w:num>
  <w:num w:numId="56" w16cid:durableId="1415737287">
    <w:abstractNumId w:val="14"/>
  </w:num>
  <w:num w:numId="57" w16cid:durableId="1832519790">
    <w:abstractNumId w:val="14"/>
  </w:num>
  <w:num w:numId="58" w16cid:durableId="1132290781">
    <w:abstractNumId w:val="14"/>
  </w:num>
  <w:num w:numId="59" w16cid:durableId="2051950501">
    <w:abstractNumId w:val="14"/>
  </w:num>
  <w:num w:numId="60" w16cid:durableId="178739183">
    <w:abstractNumId w:val="14"/>
  </w:num>
  <w:num w:numId="61" w16cid:durableId="767579608">
    <w:abstractNumId w:val="14"/>
  </w:num>
  <w:num w:numId="62" w16cid:durableId="1358967946">
    <w:abstractNumId w:val="14"/>
  </w:num>
  <w:num w:numId="63" w16cid:durableId="293221905">
    <w:abstractNumId w:val="14"/>
  </w:num>
  <w:num w:numId="64" w16cid:durableId="452598271">
    <w:abstractNumId w:val="14"/>
  </w:num>
  <w:num w:numId="65" w16cid:durableId="1583225187">
    <w:abstractNumId w:val="14"/>
  </w:num>
  <w:num w:numId="66" w16cid:durableId="778374140">
    <w:abstractNumId w:val="14"/>
  </w:num>
  <w:num w:numId="67" w16cid:durableId="540941586">
    <w:abstractNumId w:val="14"/>
  </w:num>
  <w:num w:numId="68" w16cid:durableId="115224866">
    <w:abstractNumId w:val="14"/>
  </w:num>
  <w:num w:numId="69" w16cid:durableId="1179807884">
    <w:abstractNumId w:val="14"/>
  </w:num>
  <w:num w:numId="70" w16cid:durableId="538930810">
    <w:abstractNumId w:val="14"/>
  </w:num>
  <w:num w:numId="71" w16cid:durableId="1921720733">
    <w:abstractNumId w:val="14"/>
  </w:num>
  <w:num w:numId="72" w16cid:durableId="1448239006">
    <w:abstractNumId w:val="14"/>
  </w:num>
  <w:num w:numId="73" w16cid:durableId="2005040194">
    <w:abstractNumId w:val="14"/>
  </w:num>
  <w:num w:numId="74" w16cid:durableId="798302194">
    <w:abstractNumId w:val="14"/>
  </w:num>
  <w:num w:numId="75" w16cid:durableId="1998458910">
    <w:abstractNumId w:val="14"/>
  </w:num>
  <w:num w:numId="76" w16cid:durableId="505094498">
    <w:abstractNumId w:val="14"/>
  </w:num>
  <w:num w:numId="77" w16cid:durableId="1373655993">
    <w:abstractNumId w:val="14"/>
  </w:num>
  <w:num w:numId="78" w16cid:durableId="146552410">
    <w:abstractNumId w:val="14"/>
  </w:num>
  <w:num w:numId="79" w16cid:durableId="1568026960">
    <w:abstractNumId w:val="14"/>
  </w:num>
  <w:num w:numId="80" w16cid:durableId="1922636796">
    <w:abstractNumId w:val="14"/>
  </w:num>
  <w:num w:numId="81" w16cid:durableId="48191000">
    <w:abstractNumId w:val="14"/>
  </w:num>
  <w:num w:numId="82" w16cid:durableId="1354696512">
    <w:abstractNumId w:val="14"/>
  </w:num>
  <w:num w:numId="83" w16cid:durableId="185675100">
    <w:abstractNumId w:val="14"/>
  </w:num>
  <w:num w:numId="84" w16cid:durableId="1906253662">
    <w:abstractNumId w:val="14"/>
  </w:num>
  <w:num w:numId="85" w16cid:durableId="926310152">
    <w:abstractNumId w:val="14"/>
  </w:num>
  <w:num w:numId="86" w16cid:durableId="676201619">
    <w:abstractNumId w:val="14"/>
  </w:num>
  <w:num w:numId="87" w16cid:durableId="1695114928">
    <w:abstractNumId w:val="14"/>
  </w:num>
  <w:num w:numId="88" w16cid:durableId="1202521063">
    <w:abstractNumId w:val="14"/>
  </w:num>
  <w:num w:numId="89" w16cid:durableId="1624651498">
    <w:abstractNumId w:val="14"/>
  </w:num>
  <w:num w:numId="90" w16cid:durableId="1682971327">
    <w:abstractNumId w:val="14"/>
  </w:num>
  <w:num w:numId="91" w16cid:durableId="725614795">
    <w:abstractNumId w:val="14"/>
  </w:num>
  <w:num w:numId="92" w16cid:durableId="1905331958">
    <w:abstractNumId w:val="14"/>
  </w:num>
  <w:num w:numId="93" w16cid:durableId="939678749">
    <w:abstractNumId w:val="14"/>
  </w:num>
  <w:num w:numId="94" w16cid:durableId="6837437">
    <w:abstractNumId w:val="14"/>
  </w:num>
  <w:num w:numId="95" w16cid:durableId="1064716928">
    <w:abstractNumId w:val="14"/>
  </w:num>
  <w:num w:numId="96" w16cid:durableId="213008197">
    <w:abstractNumId w:val="14"/>
  </w:num>
  <w:num w:numId="97" w16cid:durableId="49109998">
    <w:abstractNumId w:val="14"/>
  </w:num>
  <w:num w:numId="98" w16cid:durableId="1660501771">
    <w:abstractNumId w:val="14"/>
  </w:num>
  <w:num w:numId="99" w16cid:durableId="1963611652">
    <w:abstractNumId w:val="14"/>
  </w:num>
  <w:num w:numId="100" w16cid:durableId="682587979">
    <w:abstractNumId w:val="14"/>
  </w:num>
  <w:num w:numId="101" w16cid:durableId="1042095763">
    <w:abstractNumId w:val="14"/>
  </w:num>
  <w:num w:numId="102" w16cid:durableId="1098528585">
    <w:abstractNumId w:val="14"/>
  </w:num>
  <w:num w:numId="103" w16cid:durableId="1862157943">
    <w:abstractNumId w:val="14"/>
  </w:num>
  <w:num w:numId="104" w16cid:durableId="136605468">
    <w:abstractNumId w:val="14"/>
  </w:num>
  <w:num w:numId="105" w16cid:durableId="2081246490">
    <w:abstractNumId w:val="14"/>
  </w:num>
  <w:num w:numId="106" w16cid:durableId="371543934">
    <w:abstractNumId w:val="14"/>
  </w:num>
  <w:num w:numId="107" w16cid:durableId="1013605508">
    <w:abstractNumId w:val="14"/>
  </w:num>
  <w:num w:numId="108" w16cid:durableId="1110126912">
    <w:abstractNumId w:val="14"/>
  </w:num>
  <w:num w:numId="109" w16cid:durableId="1349989032">
    <w:abstractNumId w:val="14"/>
  </w:num>
  <w:num w:numId="110" w16cid:durableId="1538854549">
    <w:abstractNumId w:val="14"/>
  </w:num>
  <w:num w:numId="111" w16cid:durableId="121920006">
    <w:abstractNumId w:val="14"/>
  </w:num>
  <w:num w:numId="112" w16cid:durableId="2129008091">
    <w:abstractNumId w:val="14"/>
  </w:num>
  <w:num w:numId="113" w16cid:durableId="1682662602">
    <w:abstractNumId w:val="14"/>
  </w:num>
  <w:num w:numId="114" w16cid:durableId="111436101">
    <w:abstractNumId w:val="14"/>
  </w:num>
  <w:num w:numId="115" w16cid:durableId="227889232">
    <w:abstractNumId w:val="14"/>
  </w:num>
  <w:num w:numId="116" w16cid:durableId="1762722730">
    <w:abstractNumId w:val="14"/>
  </w:num>
  <w:num w:numId="117" w16cid:durableId="1082871542">
    <w:abstractNumId w:val="14"/>
  </w:num>
  <w:num w:numId="118" w16cid:durableId="1493449773">
    <w:abstractNumId w:val="14"/>
  </w:num>
  <w:num w:numId="119" w16cid:durableId="880361639">
    <w:abstractNumId w:val="14"/>
  </w:num>
  <w:num w:numId="120" w16cid:durableId="1482843151">
    <w:abstractNumId w:val="14"/>
  </w:num>
  <w:num w:numId="121" w16cid:durableId="1339580879">
    <w:abstractNumId w:val="14"/>
  </w:num>
  <w:num w:numId="122" w16cid:durableId="218715325">
    <w:abstractNumId w:val="14"/>
  </w:num>
  <w:num w:numId="123" w16cid:durableId="2095587490">
    <w:abstractNumId w:val="14"/>
  </w:num>
  <w:num w:numId="124" w16cid:durableId="1008097842">
    <w:abstractNumId w:val="14"/>
  </w:num>
  <w:num w:numId="125" w16cid:durableId="332075320">
    <w:abstractNumId w:val="14"/>
  </w:num>
  <w:num w:numId="126" w16cid:durableId="2106463381">
    <w:abstractNumId w:val="14"/>
  </w:num>
  <w:num w:numId="127" w16cid:durableId="1895967731">
    <w:abstractNumId w:val="14"/>
  </w:num>
  <w:num w:numId="128" w16cid:durableId="1519538963">
    <w:abstractNumId w:val="14"/>
  </w:num>
  <w:num w:numId="129" w16cid:durableId="1938707919">
    <w:abstractNumId w:val="14"/>
  </w:num>
  <w:num w:numId="130" w16cid:durableId="791705511">
    <w:abstractNumId w:val="14"/>
  </w:num>
  <w:num w:numId="131" w16cid:durableId="2073384862">
    <w:abstractNumId w:val="14"/>
  </w:num>
  <w:num w:numId="132" w16cid:durableId="928343270">
    <w:abstractNumId w:val="14"/>
  </w:num>
  <w:num w:numId="133" w16cid:durableId="2141652671">
    <w:abstractNumId w:val="14"/>
  </w:num>
  <w:num w:numId="134" w16cid:durableId="1986625203">
    <w:abstractNumId w:val="14"/>
  </w:num>
  <w:num w:numId="135" w16cid:durableId="958217418">
    <w:abstractNumId w:val="14"/>
  </w:num>
  <w:num w:numId="136" w16cid:durableId="1620606925">
    <w:abstractNumId w:val="14"/>
  </w:num>
  <w:num w:numId="137" w16cid:durableId="774977816">
    <w:abstractNumId w:val="14"/>
  </w:num>
  <w:num w:numId="138" w16cid:durableId="1118523234">
    <w:abstractNumId w:val="3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WZ+axiB2FqSidaTp1cpujme3vuW/QhkJoTK2gy/2YRRurctrjKTnTuAl3MzZK72mUaxWLyE2XxtA3WjTMGHgQ==" w:salt="NUvEXx+t1kAWVlNoo/yI/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18"/>
    <w:rsid w:val="00000006"/>
    <w:rsid w:val="00000040"/>
    <w:rsid w:val="00000254"/>
    <w:rsid w:val="00000BE1"/>
    <w:rsid w:val="00000D24"/>
    <w:rsid w:val="00000F11"/>
    <w:rsid w:val="0000113C"/>
    <w:rsid w:val="00001EB3"/>
    <w:rsid w:val="00002165"/>
    <w:rsid w:val="000026A6"/>
    <w:rsid w:val="00002CF9"/>
    <w:rsid w:val="00002D52"/>
    <w:rsid w:val="00003183"/>
    <w:rsid w:val="000032BD"/>
    <w:rsid w:val="00003573"/>
    <w:rsid w:val="0000384E"/>
    <w:rsid w:val="00003A73"/>
    <w:rsid w:val="00003BDD"/>
    <w:rsid w:val="0000444F"/>
    <w:rsid w:val="000045B6"/>
    <w:rsid w:val="0000463D"/>
    <w:rsid w:val="000048D0"/>
    <w:rsid w:val="000049B6"/>
    <w:rsid w:val="00004DC0"/>
    <w:rsid w:val="00004EE3"/>
    <w:rsid w:val="00004FCC"/>
    <w:rsid w:val="0000545E"/>
    <w:rsid w:val="0000596A"/>
    <w:rsid w:val="00005DEA"/>
    <w:rsid w:val="000060CD"/>
    <w:rsid w:val="00006252"/>
    <w:rsid w:val="0000627B"/>
    <w:rsid w:val="00006616"/>
    <w:rsid w:val="00006D02"/>
    <w:rsid w:val="00006EBD"/>
    <w:rsid w:val="00007107"/>
    <w:rsid w:val="0000716E"/>
    <w:rsid w:val="000072D7"/>
    <w:rsid w:val="00007763"/>
    <w:rsid w:val="00007EB9"/>
    <w:rsid w:val="00010072"/>
    <w:rsid w:val="00010134"/>
    <w:rsid w:val="000107E3"/>
    <w:rsid w:val="00010B43"/>
    <w:rsid w:val="0001104D"/>
    <w:rsid w:val="00011393"/>
    <w:rsid w:val="00011C0A"/>
    <w:rsid w:val="0001214F"/>
    <w:rsid w:val="000121CA"/>
    <w:rsid w:val="00012891"/>
    <w:rsid w:val="00012979"/>
    <w:rsid w:val="00012DCD"/>
    <w:rsid w:val="00013C46"/>
    <w:rsid w:val="000141FC"/>
    <w:rsid w:val="000147D6"/>
    <w:rsid w:val="00014864"/>
    <w:rsid w:val="00014F01"/>
    <w:rsid w:val="000150E0"/>
    <w:rsid w:val="000152E4"/>
    <w:rsid w:val="000153DB"/>
    <w:rsid w:val="00015536"/>
    <w:rsid w:val="000156CC"/>
    <w:rsid w:val="000156DF"/>
    <w:rsid w:val="00015A2A"/>
    <w:rsid w:val="00015ADF"/>
    <w:rsid w:val="00015D5F"/>
    <w:rsid w:val="00015DC7"/>
    <w:rsid w:val="00015E4C"/>
    <w:rsid w:val="000161E5"/>
    <w:rsid w:val="000161F1"/>
    <w:rsid w:val="0001638D"/>
    <w:rsid w:val="000163ED"/>
    <w:rsid w:val="00016B1B"/>
    <w:rsid w:val="00016C95"/>
    <w:rsid w:val="00016D1B"/>
    <w:rsid w:val="0001702C"/>
    <w:rsid w:val="0001782A"/>
    <w:rsid w:val="00017956"/>
    <w:rsid w:val="000179E4"/>
    <w:rsid w:val="00017B5F"/>
    <w:rsid w:val="00017BE7"/>
    <w:rsid w:val="00020477"/>
    <w:rsid w:val="000206DC"/>
    <w:rsid w:val="00020E82"/>
    <w:rsid w:val="00020F65"/>
    <w:rsid w:val="00021489"/>
    <w:rsid w:val="00021536"/>
    <w:rsid w:val="00021E59"/>
    <w:rsid w:val="000222DB"/>
    <w:rsid w:val="00022A45"/>
    <w:rsid w:val="00022B4C"/>
    <w:rsid w:val="00022C67"/>
    <w:rsid w:val="00022F0C"/>
    <w:rsid w:val="000233A7"/>
    <w:rsid w:val="000233BC"/>
    <w:rsid w:val="000233E7"/>
    <w:rsid w:val="00023A09"/>
    <w:rsid w:val="00023B31"/>
    <w:rsid w:val="00023D56"/>
    <w:rsid w:val="00023F3B"/>
    <w:rsid w:val="000244F3"/>
    <w:rsid w:val="000245A9"/>
    <w:rsid w:val="000249A9"/>
    <w:rsid w:val="00024C04"/>
    <w:rsid w:val="000255C3"/>
    <w:rsid w:val="00025674"/>
    <w:rsid w:val="000256F4"/>
    <w:rsid w:val="00025A2F"/>
    <w:rsid w:val="0002603F"/>
    <w:rsid w:val="00026479"/>
    <w:rsid w:val="00026776"/>
    <w:rsid w:val="00027285"/>
    <w:rsid w:val="00027604"/>
    <w:rsid w:val="0002773A"/>
    <w:rsid w:val="00027897"/>
    <w:rsid w:val="000279E1"/>
    <w:rsid w:val="00027E9C"/>
    <w:rsid w:val="00030194"/>
    <w:rsid w:val="00030195"/>
    <w:rsid w:val="000301ED"/>
    <w:rsid w:val="00030665"/>
    <w:rsid w:val="00030AF7"/>
    <w:rsid w:val="00030BAF"/>
    <w:rsid w:val="0003145E"/>
    <w:rsid w:val="00031BDA"/>
    <w:rsid w:val="0003254D"/>
    <w:rsid w:val="00032653"/>
    <w:rsid w:val="000328E2"/>
    <w:rsid w:val="00033274"/>
    <w:rsid w:val="00033711"/>
    <w:rsid w:val="00033A7E"/>
    <w:rsid w:val="00034BC5"/>
    <w:rsid w:val="00034C57"/>
    <w:rsid w:val="00034DE6"/>
    <w:rsid w:val="00034F92"/>
    <w:rsid w:val="000352E3"/>
    <w:rsid w:val="000353AE"/>
    <w:rsid w:val="00035526"/>
    <w:rsid w:val="000355A5"/>
    <w:rsid w:val="00035AF2"/>
    <w:rsid w:val="0003614C"/>
    <w:rsid w:val="000363E2"/>
    <w:rsid w:val="00036AE3"/>
    <w:rsid w:val="00036F49"/>
    <w:rsid w:val="00036F55"/>
    <w:rsid w:val="00037D5D"/>
    <w:rsid w:val="00040033"/>
    <w:rsid w:val="000409C3"/>
    <w:rsid w:val="00040AAC"/>
    <w:rsid w:val="00041841"/>
    <w:rsid w:val="00041DCD"/>
    <w:rsid w:val="0004243A"/>
    <w:rsid w:val="00042588"/>
    <w:rsid w:val="000436D0"/>
    <w:rsid w:val="00043806"/>
    <w:rsid w:val="00043975"/>
    <w:rsid w:val="00043B7A"/>
    <w:rsid w:val="00043D88"/>
    <w:rsid w:val="00043EE0"/>
    <w:rsid w:val="00044110"/>
    <w:rsid w:val="00044A23"/>
    <w:rsid w:val="00044ED8"/>
    <w:rsid w:val="00044F0B"/>
    <w:rsid w:val="0004524F"/>
    <w:rsid w:val="00045CDC"/>
    <w:rsid w:val="000461CD"/>
    <w:rsid w:val="0004794D"/>
    <w:rsid w:val="00047B47"/>
    <w:rsid w:val="00047C69"/>
    <w:rsid w:val="00047C96"/>
    <w:rsid w:val="00047E70"/>
    <w:rsid w:val="000500DC"/>
    <w:rsid w:val="00050502"/>
    <w:rsid w:val="00050D82"/>
    <w:rsid w:val="000511E4"/>
    <w:rsid w:val="000513CF"/>
    <w:rsid w:val="0005276C"/>
    <w:rsid w:val="0005282A"/>
    <w:rsid w:val="00052E34"/>
    <w:rsid w:val="000532E4"/>
    <w:rsid w:val="000537F8"/>
    <w:rsid w:val="00053B9E"/>
    <w:rsid w:val="00053DAA"/>
    <w:rsid w:val="00053E53"/>
    <w:rsid w:val="00053F8D"/>
    <w:rsid w:val="000540FB"/>
    <w:rsid w:val="00054743"/>
    <w:rsid w:val="00054FE6"/>
    <w:rsid w:val="00055157"/>
    <w:rsid w:val="00055794"/>
    <w:rsid w:val="00055BCA"/>
    <w:rsid w:val="0005612D"/>
    <w:rsid w:val="0005653C"/>
    <w:rsid w:val="000570B4"/>
    <w:rsid w:val="000572A1"/>
    <w:rsid w:val="00057574"/>
    <w:rsid w:val="0005765C"/>
    <w:rsid w:val="00057A4C"/>
    <w:rsid w:val="000605CF"/>
    <w:rsid w:val="00060B01"/>
    <w:rsid w:val="00060B90"/>
    <w:rsid w:val="00060C03"/>
    <w:rsid w:val="00060DA6"/>
    <w:rsid w:val="00060E52"/>
    <w:rsid w:val="0006118A"/>
    <w:rsid w:val="000618F2"/>
    <w:rsid w:val="0006198F"/>
    <w:rsid w:val="00061BB5"/>
    <w:rsid w:val="00061FEC"/>
    <w:rsid w:val="00062009"/>
    <w:rsid w:val="0006205A"/>
    <w:rsid w:val="00062574"/>
    <w:rsid w:val="000625D1"/>
    <w:rsid w:val="0006283D"/>
    <w:rsid w:val="0006287C"/>
    <w:rsid w:val="000629D9"/>
    <w:rsid w:val="00062DED"/>
    <w:rsid w:val="00062F48"/>
    <w:rsid w:val="00062FCA"/>
    <w:rsid w:val="0006343D"/>
    <w:rsid w:val="00064665"/>
    <w:rsid w:val="00064E68"/>
    <w:rsid w:val="0006537A"/>
    <w:rsid w:val="000654C0"/>
    <w:rsid w:val="0006553B"/>
    <w:rsid w:val="0006588E"/>
    <w:rsid w:val="000658AA"/>
    <w:rsid w:val="00065A8A"/>
    <w:rsid w:val="00065B69"/>
    <w:rsid w:val="00065BC5"/>
    <w:rsid w:val="0006607C"/>
    <w:rsid w:val="0006664A"/>
    <w:rsid w:val="00066821"/>
    <w:rsid w:val="00066830"/>
    <w:rsid w:val="0006693E"/>
    <w:rsid w:val="000669F0"/>
    <w:rsid w:val="00066ADB"/>
    <w:rsid w:val="00066D64"/>
    <w:rsid w:val="0006723A"/>
    <w:rsid w:val="00067988"/>
    <w:rsid w:val="00067B88"/>
    <w:rsid w:val="0007004F"/>
    <w:rsid w:val="00070949"/>
    <w:rsid w:val="000710F2"/>
    <w:rsid w:val="000715B8"/>
    <w:rsid w:val="00072384"/>
    <w:rsid w:val="000723DE"/>
    <w:rsid w:val="0007292F"/>
    <w:rsid w:val="00072D34"/>
    <w:rsid w:val="00073444"/>
    <w:rsid w:val="00073523"/>
    <w:rsid w:val="00073904"/>
    <w:rsid w:val="00073C27"/>
    <w:rsid w:val="00073E89"/>
    <w:rsid w:val="000742FA"/>
    <w:rsid w:val="00074DAE"/>
    <w:rsid w:val="00074DB6"/>
    <w:rsid w:val="000752A9"/>
    <w:rsid w:val="0007572D"/>
    <w:rsid w:val="0007588F"/>
    <w:rsid w:val="00075E63"/>
    <w:rsid w:val="00075FD6"/>
    <w:rsid w:val="00077004"/>
    <w:rsid w:val="00077A25"/>
    <w:rsid w:val="00077D4E"/>
    <w:rsid w:val="00077D88"/>
    <w:rsid w:val="0008003D"/>
    <w:rsid w:val="00080534"/>
    <w:rsid w:val="0008063A"/>
    <w:rsid w:val="0008072E"/>
    <w:rsid w:val="00080B3F"/>
    <w:rsid w:val="00080E6C"/>
    <w:rsid w:val="00080F95"/>
    <w:rsid w:val="000813F7"/>
    <w:rsid w:val="000817D7"/>
    <w:rsid w:val="0008185A"/>
    <w:rsid w:val="000819EC"/>
    <w:rsid w:val="00081AB1"/>
    <w:rsid w:val="00081CC4"/>
    <w:rsid w:val="00082878"/>
    <w:rsid w:val="00082AEE"/>
    <w:rsid w:val="00082B33"/>
    <w:rsid w:val="00082F19"/>
    <w:rsid w:val="00083303"/>
    <w:rsid w:val="000833F8"/>
    <w:rsid w:val="00083B5F"/>
    <w:rsid w:val="00083B65"/>
    <w:rsid w:val="0008491B"/>
    <w:rsid w:val="00084A23"/>
    <w:rsid w:val="00084B98"/>
    <w:rsid w:val="0008519D"/>
    <w:rsid w:val="0008548F"/>
    <w:rsid w:val="00085B75"/>
    <w:rsid w:val="00085E2C"/>
    <w:rsid w:val="00086302"/>
    <w:rsid w:val="00086559"/>
    <w:rsid w:val="000868A6"/>
    <w:rsid w:val="00086A28"/>
    <w:rsid w:val="00086E9F"/>
    <w:rsid w:val="0008787B"/>
    <w:rsid w:val="00087A79"/>
    <w:rsid w:val="00087F4C"/>
    <w:rsid w:val="000904C4"/>
    <w:rsid w:val="000906C1"/>
    <w:rsid w:val="00091CB2"/>
    <w:rsid w:val="00092243"/>
    <w:rsid w:val="0009233F"/>
    <w:rsid w:val="00092894"/>
    <w:rsid w:val="00092EFA"/>
    <w:rsid w:val="0009370A"/>
    <w:rsid w:val="00093877"/>
    <w:rsid w:val="00093C0A"/>
    <w:rsid w:val="00094151"/>
    <w:rsid w:val="00094169"/>
    <w:rsid w:val="000943AB"/>
    <w:rsid w:val="000943F8"/>
    <w:rsid w:val="0009448B"/>
    <w:rsid w:val="000946CD"/>
    <w:rsid w:val="00094BA7"/>
    <w:rsid w:val="00095AEC"/>
    <w:rsid w:val="00095FD6"/>
    <w:rsid w:val="0009609E"/>
    <w:rsid w:val="0009647C"/>
    <w:rsid w:val="00096537"/>
    <w:rsid w:val="000965B3"/>
    <w:rsid w:val="00096614"/>
    <w:rsid w:val="0009688E"/>
    <w:rsid w:val="00096923"/>
    <w:rsid w:val="000969A8"/>
    <w:rsid w:val="000969B9"/>
    <w:rsid w:val="000969E4"/>
    <w:rsid w:val="00096CA7"/>
    <w:rsid w:val="0009748A"/>
    <w:rsid w:val="0009753C"/>
    <w:rsid w:val="000978D4"/>
    <w:rsid w:val="00097BB8"/>
    <w:rsid w:val="00097C1F"/>
    <w:rsid w:val="000A01AF"/>
    <w:rsid w:val="000A01F1"/>
    <w:rsid w:val="000A0436"/>
    <w:rsid w:val="000A044A"/>
    <w:rsid w:val="000A0693"/>
    <w:rsid w:val="000A07B7"/>
    <w:rsid w:val="000A09C1"/>
    <w:rsid w:val="000A110D"/>
    <w:rsid w:val="000A12E0"/>
    <w:rsid w:val="000A141B"/>
    <w:rsid w:val="000A14B7"/>
    <w:rsid w:val="000A19A3"/>
    <w:rsid w:val="000A1AF9"/>
    <w:rsid w:val="000A1B72"/>
    <w:rsid w:val="000A1E91"/>
    <w:rsid w:val="000A2125"/>
    <w:rsid w:val="000A2514"/>
    <w:rsid w:val="000A25C9"/>
    <w:rsid w:val="000A28FA"/>
    <w:rsid w:val="000A2BD2"/>
    <w:rsid w:val="000A2E0E"/>
    <w:rsid w:val="000A31F0"/>
    <w:rsid w:val="000A32E2"/>
    <w:rsid w:val="000A393F"/>
    <w:rsid w:val="000A3D0A"/>
    <w:rsid w:val="000A465B"/>
    <w:rsid w:val="000A48AB"/>
    <w:rsid w:val="000A4A35"/>
    <w:rsid w:val="000A4DB4"/>
    <w:rsid w:val="000A55E9"/>
    <w:rsid w:val="000A57FF"/>
    <w:rsid w:val="000A5D61"/>
    <w:rsid w:val="000A61FF"/>
    <w:rsid w:val="000A6B3B"/>
    <w:rsid w:val="000A6BAA"/>
    <w:rsid w:val="000A6CE0"/>
    <w:rsid w:val="000A6FBA"/>
    <w:rsid w:val="000A76C5"/>
    <w:rsid w:val="000A7902"/>
    <w:rsid w:val="000B0909"/>
    <w:rsid w:val="000B0DC3"/>
    <w:rsid w:val="000B1340"/>
    <w:rsid w:val="000B1B28"/>
    <w:rsid w:val="000B2267"/>
    <w:rsid w:val="000B2324"/>
    <w:rsid w:val="000B29C0"/>
    <w:rsid w:val="000B2B5D"/>
    <w:rsid w:val="000B2C93"/>
    <w:rsid w:val="000B2CA4"/>
    <w:rsid w:val="000B3207"/>
    <w:rsid w:val="000B3A21"/>
    <w:rsid w:val="000B3CE2"/>
    <w:rsid w:val="000B3EF0"/>
    <w:rsid w:val="000B4000"/>
    <w:rsid w:val="000B4114"/>
    <w:rsid w:val="000B45C2"/>
    <w:rsid w:val="000B48B2"/>
    <w:rsid w:val="000B4940"/>
    <w:rsid w:val="000B4FF4"/>
    <w:rsid w:val="000B5D0C"/>
    <w:rsid w:val="000B5D2C"/>
    <w:rsid w:val="000B63F1"/>
    <w:rsid w:val="000B6E08"/>
    <w:rsid w:val="000B6F27"/>
    <w:rsid w:val="000B76CC"/>
    <w:rsid w:val="000B7A60"/>
    <w:rsid w:val="000B7B89"/>
    <w:rsid w:val="000B7C73"/>
    <w:rsid w:val="000B7D86"/>
    <w:rsid w:val="000C03F4"/>
    <w:rsid w:val="000C0604"/>
    <w:rsid w:val="000C082E"/>
    <w:rsid w:val="000C0F4D"/>
    <w:rsid w:val="000C134C"/>
    <w:rsid w:val="000C152B"/>
    <w:rsid w:val="000C1942"/>
    <w:rsid w:val="000C1AB9"/>
    <w:rsid w:val="000C216D"/>
    <w:rsid w:val="000C22F0"/>
    <w:rsid w:val="000C2429"/>
    <w:rsid w:val="000C2538"/>
    <w:rsid w:val="000C2E17"/>
    <w:rsid w:val="000C3E15"/>
    <w:rsid w:val="000C3E99"/>
    <w:rsid w:val="000C3F8F"/>
    <w:rsid w:val="000C4654"/>
    <w:rsid w:val="000C4C16"/>
    <w:rsid w:val="000C51EF"/>
    <w:rsid w:val="000C5C46"/>
    <w:rsid w:val="000C6033"/>
    <w:rsid w:val="000C6574"/>
    <w:rsid w:val="000C6C9E"/>
    <w:rsid w:val="000C7248"/>
    <w:rsid w:val="000C7333"/>
    <w:rsid w:val="000C74C3"/>
    <w:rsid w:val="000C769A"/>
    <w:rsid w:val="000C76F0"/>
    <w:rsid w:val="000C7C15"/>
    <w:rsid w:val="000D035D"/>
    <w:rsid w:val="000D04B0"/>
    <w:rsid w:val="000D089A"/>
    <w:rsid w:val="000D095C"/>
    <w:rsid w:val="000D0E5C"/>
    <w:rsid w:val="000D0EED"/>
    <w:rsid w:val="000D1372"/>
    <w:rsid w:val="000D1449"/>
    <w:rsid w:val="000D17B1"/>
    <w:rsid w:val="000D1CAF"/>
    <w:rsid w:val="000D2069"/>
    <w:rsid w:val="000D22A5"/>
    <w:rsid w:val="000D2581"/>
    <w:rsid w:val="000D2960"/>
    <w:rsid w:val="000D2ACD"/>
    <w:rsid w:val="000D2DFA"/>
    <w:rsid w:val="000D310A"/>
    <w:rsid w:val="000D32C6"/>
    <w:rsid w:val="000D33DC"/>
    <w:rsid w:val="000D34C7"/>
    <w:rsid w:val="000D3611"/>
    <w:rsid w:val="000D39CF"/>
    <w:rsid w:val="000D3AD1"/>
    <w:rsid w:val="000D3E50"/>
    <w:rsid w:val="000D3F95"/>
    <w:rsid w:val="000D3FA0"/>
    <w:rsid w:val="000D4248"/>
    <w:rsid w:val="000D4576"/>
    <w:rsid w:val="000D45BF"/>
    <w:rsid w:val="000D47C4"/>
    <w:rsid w:val="000D47F0"/>
    <w:rsid w:val="000D60AE"/>
    <w:rsid w:val="000D6139"/>
    <w:rsid w:val="000D62E0"/>
    <w:rsid w:val="000D6337"/>
    <w:rsid w:val="000D635C"/>
    <w:rsid w:val="000D63F6"/>
    <w:rsid w:val="000D68E8"/>
    <w:rsid w:val="000D6BB4"/>
    <w:rsid w:val="000D79A2"/>
    <w:rsid w:val="000D7A29"/>
    <w:rsid w:val="000D7AD4"/>
    <w:rsid w:val="000D7B9E"/>
    <w:rsid w:val="000E06B9"/>
    <w:rsid w:val="000E08BA"/>
    <w:rsid w:val="000E0D70"/>
    <w:rsid w:val="000E0FA4"/>
    <w:rsid w:val="000E0FB8"/>
    <w:rsid w:val="000E0FC6"/>
    <w:rsid w:val="000E122D"/>
    <w:rsid w:val="000E176A"/>
    <w:rsid w:val="000E1ABD"/>
    <w:rsid w:val="000E1F7C"/>
    <w:rsid w:val="000E1FEE"/>
    <w:rsid w:val="000E2078"/>
    <w:rsid w:val="000E21E2"/>
    <w:rsid w:val="000E2226"/>
    <w:rsid w:val="000E2236"/>
    <w:rsid w:val="000E2A03"/>
    <w:rsid w:val="000E2B66"/>
    <w:rsid w:val="000E2C23"/>
    <w:rsid w:val="000E2D7D"/>
    <w:rsid w:val="000E34E6"/>
    <w:rsid w:val="000E3C3B"/>
    <w:rsid w:val="000E40F5"/>
    <w:rsid w:val="000E4A13"/>
    <w:rsid w:val="000E4B23"/>
    <w:rsid w:val="000E4D83"/>
    <w:rsid w:val="000E4E9A"/>
    <w:rsid w:val="000E596D"/>
    <w:rsid w:val="000E5E38"/>
    <w:rsid w:val="000E611B"/>
    <w:rsid w:val="000E6B47"/>
    <w:rsid w:val="000E6B7D"/>
    <w:rsid w:val="000E76DA"/>
    <w:rsid w:val="000E793D"/>
    <w:rsid w:val="000F04C7"/>
    <w:rsid w:val="000F07A7"/>
    <w:rsid w:val="000F09C1"/>
    <w:rsid w:val="000F0C06"/>
    <w:rsid w:val="000F1071"/>
    <w:rsid w:val="000F1597"/>
    <w:rsid w:val="000F187D"/>
    <w:rsid w:val="000F1C13"/>
    <w:rsid w:val="000F1CEE"/>
    <w:rsid w:val="000F1F84"/>
    <w:rsid w:val="000F22E0"/>
    <w:rsid w:val="000F2972"/>
    <w:rsid w:val="000F3360"/>
    <w:rsid w:val="000F3656"/>
    <w:rsid w:val="000F3763"/>
    <w:rsid w:val="000F3DC1"/>
    <w:rsid w:val="000F4A63"/>
    <w:rsid w:val="000F4FC5"/>
    <w:rsid w:val="000F5167"/>
    <w:rsid w:val="000F5B16"/>
    <w:rsid w:val="000F5EA6"/>
    <w:rsid w:val="000F6150"/>
    <w:rsid w:val="000F63D6"/>
    <w:rsid w:val="000F6F53"/>
    <w:rsid w:val="000F7179"/>
    <w:rsid w:val="000F7A5F"/>
    <w:rsid w:val="000F7C23"/>
    <w:rsid w:val="000F7D0C"/>
    <w:rsid w:val="0010024B"/>
    <w:rsid w:val="00100314"/>
    <w:rsid w:val="00100413"/>
    <w:rsid w:val="00100495"/>
    <w:rsid w:val="0010053B"/>
    <w:rsid w:val="00100725"/>
    <w:rsid w:val="00100919"/>
    <w:rsid w:val="00100B8A"/>
    <w:rsid w:val="00100C64"/>
    <w:rsid w:val="00100C8A"/>
    <w:rsid w:val="00100DE2"/>
    <w:rsid w:val="001013C0"/>
    <w:rsid w:val="0010189D"/>
    <w:rsid w:val="00101DA1"/>
    <w:rsid w:val="001022ED"/>
    <w:rsid w:val="001022FD"/>
    <w:rsid w:val="001023D3"/>
    <w:rsid w:val="001027D3"/>
    <w:rsid w:val="00102839"/>
    <w:rsid w:val="00102A01"/>
    <w:rsid w:val="00102A75"/>
    <w:rsid w:val="00102D5C"/>
    <w:rsid w:val="00103711"/>
    <w:rsid w:val="00103D4C"/>
    <w:rsid w:val="001040DE"/>
    <w:rsid w:val="00104AE2"/>
    <w:rsid w:val="00105134"/>
    <w:rsid w:val="00105284"/>
    <w:rsid w:val="0010550D"/>
    <w:rsid w:val="001056B6"/>
    <w:rsid w:val="00105D24"/>
    <w:rsid w:val="001061FB"/>
    <w:rsid w:val="00106541"/>
    <w:rsid w:val="0010682D"/>
    <w:rsid w:val="00106933"/>
    <w:rsid w:val="00106F67"/>
    <w:rsid w:val="00107338"/>
    <w:rsid w:val="0010762C"/>
    <w:rsid w:val="001077C0"/>
    <w:rsid w:val="001078C9"/>
    <w:rsid w:val="00110A7F"/>
    <w:rsid w:val="00110A84"/>
    <w:rsid w:val="00110B62"/>
    <w:rsid w:val="00110BC0"/>
    <w:rsid w:val="00110D40"/>
    <w:rsid w:val="00110E98"/>
    <w:rsid w:val="0011139F"/>
    <w:rsid w:val="00111643"/>
    <w:rsid w:val="00111813"/>
    <w:rsid w:val="001118CB"/>
    <w:rsid w:val="00111B40"/>
    <w:rsid w:val="00111EAA"/>
    <w:rsid w:val="00112080"/>
    <w:rsid w:val="001128C4"/>
    <w:rsid w:val="00112A88"/>
    <w:rsid w:val="0011333B"/>
    <w:rsid w:val="00113406"/>
    <w:rsid w:val="00113641"/>
    <w:rsid w:val="00113A7F"/>
    <w:rsid w:val="00113BEE"/>
    <w:rsid w:val="00113C42"/>
    <w:rsid w:val="00114A21"/>
    <w:rsid w:val="00114C8D"/>
    <w:rsid w:val="00114E05"/>
    <w:rsid w:val="0011547F"/>
    <w:rsid w:val="00115542"/>
    <w:rsid w:val="00115590"/>
    <w:rsid w:val="00115633"/>
    <w:rsid w:val="001156A4"/>
    <w:rsid w:val="00115B8F"/>
    <w:rsid w:val="00115BA1"/>
    <w:rsid w:val="00116038"/>
    <w:rsid w:val="00116105"/>
    <w:rsid w:val="001166AF"/>
    <w:rsid w:val="00116868"/>
    <w:rsid w:val="00116BA7"/>
    <w:rsid w:val="00116BE0"/>
    <w:rsid w:val="00117089"/>
    <w:rsid w:val="00117145"/>
    <w:rsid w:val="00117320"/>
    <w:rsid w:val="001177D2"/>
    <w:rsid w:val="00120046"/>
    <w:rsid w:val="001201CE"/>
    <w:rsid w:val="00120655"/>
    <w:rsid w:val="00120AD5"/>
    <w:rsid w:val="00120C04"/>
    <w:rsid w:val="0012101F"/>
    <w:rsid w:val="001211F9"/>
    <w:rsid w:val="00121644"/>
    <w:rsid w:val="001218C1"/>
    <w:rsid w:val="0012193F"/>
    <w:rsid w:val="00121EB0"/>
    <w:rsid w:val="001228C1"/>
    <w:rsid w:val="00122911"/>
    <w:rsid w:val="00122B99"/>
    <w:rsid w:val="00122D86"/>
    <w:rsid w:val="00123317"/>
    <w:rsid w:val="00123401"/>
    <w:rsid w:val="00123F91"/>
    <w:rsid w:val="00124932"/>
    <w:rsid w:val="00124995"/>
    <w:rsid w:val="00124AD9"/>
    <w:rsid w:val="00124D5E"/>
    <w:rsid w:val="00124E66"/>
    <w:rsid w:val="0012510C"/>
    <w:rsid w:val="001253FC"/>
    <w:rsid w:val="00126066"/>
    <w:rsid w:val="0012630B"/>
    <w:rsid w:val="0012651E"/>
    <w:rsid w:val="0012677C"/>
    <w:rsid w:val="0012681C"/>
    <w:rsid w:val="00126BF6"/>
    <w:rsid w:val="00126E64"/>
    <w:rsid w:val="00126F6A"/>
    <w:rsid w:val="001271AA"/>
    <w:rsid w:val="00127E36"/>
    <w:rsid w:val="00127F62"/>
    <w:rsid w:val="00127FD0"/>
    <w:rsid w:val="001302D3"/>
    <w:rsid w:val="00130894"/>
    <w:rsid w:val="0013094E"/>
    <w:rsid w:val="00130C02"/>
    <w:rsid w:val="001318B1"/>
    <w:rsid w:val="00131A64"/>
    <w:rsid w:val="00131D9D"/>
    <w:rsid w:val="00131FBE"/>
    <w:rsid w:val="0013203F"/>
    <w:rsid w:val="001322A3"/>
    <w:rsid w:val="00132405"/>
    <w:rsid w:val="00132E8A"/>
    <w:rsid w:val="00133164"/>
    <w:rsid w:val="001333AE"/>
    <w:rsid w:val="0013374E"/>
    <w:rsid w:val="001337BC"/>
    <w:rsid w:val="00133E96"/>
    <w:rsid w:val="00134012"/>
    <w:rsid w:val="00134744"/>
    <w:rsid w:val="00134776"/>
    <w:rsid w:val="001355EB"/>
    <w:rsid w:val="0013565B"/>
    <w:rsid w:val="00135660"/>
    <w:rsid w:val="00135947"/>
    <w:rsid w:val="00135A91"/>
    <w:rsid w:val="00135BBD"/>
    <w:rsid w:val="00135DB3"/>
    <w:rsid w:val="00135FE2"/>
    <w:rsid w:val="00136145"/>
    <w:rsid w:val="0013619A"/>
    <w:rsid w:val="001366C9"/>
    <w:rsid w:val="00136978"/>
    <w:rsid w:val="00136E71"/>
    <w:rsid w:val="00136FB6"/>
    <w:rsid w:val="0013734E"/>
    <w:rsid w:val="001373A9"/>
    <w:rsid w:val="001376B8"/>
    <w:rsid w:val="0013776C"/>
    <w:rsid w:val="00137D83"/>
    <w:rsid w:val="00137FC2"/>
    <w:rsid w:val="001404F9"/>
    <w:rsid w:val="0014072D"/>
    <w:rsid w:val="00140C4E"/>
    <w:rsid w:val="00140C8F"/>
    <w:rsid w:val="00140F5B"/>
    <w:rsid w:val="00141284"/>
    <w:rsid w:val="001414E3"/>
    <w:rsid w:val="001418FE"/>
    <w:rsid w:val="00141D34"/>
    <w:rsid w:val="00141D6D"/>
    <w:rsid w:val="001422D7"/>
    <w:rsid w:val="001423A5"/>
    <w:rsid w:val="001427AA"/>
    <w:rsid w:val="001427BD"/>
    <w:rsid w:val="00142D29"/>
    <w:rsid w:val="00142F53"/>
    <w:rsid w:val="001430C7"/>
    <w:rsid w:val="00143147"/>
    <w:rsid w:val="00143422"/>
    <w:rsid w:val="00143EFC"/>
    <w:rsid w:val="00143FD6"/>
    <w:rsid w:val="0014470B"/>
    <w:rsid w:val="001447B9"/>
    <w:rsid w:val="001447D7"/>
    <w:rsid w:val="00144878"/>
    <w:rsid w:val="00144C0C"/>
    <w:rsid w:val="0014513B"/>
    <w:rsid w:val="00145A47"/>
    <w:rsid w:val="00145C0F"/>
    <w:rsid w:val="001461B1"/>
    <w:rsid w:val="001469D6"/>
    <w:rsid w:val="00147030"/>
    <w:rsid w:val="001470E3"/>
    <w:rsid w:val="00147D19"/>
    <w:rsid w:val="00147E9F"/>
    <w:rsid w:val="001508F7"/>
    <w:rsid w:val="001509CF"/>
    <w:rsid w:val="00150A99"/>
    <w:rsid w:val="00150D84"/>
    <w:rsid w:val="00150E5E"/>
    <w:rsid w:val="00150FBE"/>
    <w:rsid w:val="0015128B"/>
    <w:rsid w:val="00151836"/>
    <w:rsid w:val="00151A95"/>
    <w:rsid w:val="00151B47"/>
    <w:rsid w:val="00151D2A"/>
    <w:rsid w:val="001523D0"/>
    <w:rsid w:val="00152685"/>
    <w:rsid w:val="00152DE8"/>
    <w:rsid w:val="001532A4"/>
    <w:rsid w:val="00153765"/>
    <w:rsid w:val="00153DCE"/>
    <w:rsid w:val="00154044"/>
    <w:rsid w:val="0015407E"/>
    <w:rsid w:val="00154384"/>
    <w:rsid w:val="00154E4E"/>
    <w:rsid w:val="00154FF1"/>
    <w:rsid w:val="001550E2"/>
    <w:rsid w:val="001553C3"/>
    <w:rsid w:val="0015556C"/>
    <w:rsid w:val="001559C4"/>
    <w:rsid w:val="00155A06"/>
    <w:rsid w:val="00155CEC"/>
    <w:rsid w:val="00155DB2"/>
    <w:rsid w:val="00155EBE"/>
    <w:rsid w:val="001562AA"/>
    <w:rsid w:val="001569A5"/>
    <w:rsid w:val="00156CF0"/>
    <w:rsid w:val="00156E7D"/>
    <w:rsid w:val="001570D4"/>
    <w:rsid w:val="00157350"/>
    <w:rsid w:val="001575D4"/>
    <w:rsid w:val="00157A54"/>
    <w:rsid w:val="00157DF6"/>
    <w:rsid w:val="0016032C"/>
    <w:rsid w:val="00160493"/>
    <w:rsid w:val="00160724"/>
    <w:rsid w:val="001608A1"/>
    <w:rsid w:val="001609BB"/>
    <w:rsid w:val="00160C1B"/>
    <w:rsid w:val="001611B4"/>
    <w:rsid w:val="001613DC"/>
    <w:rsid w:val="0016190B"/>
    <w:rsid w:val="00161A43"/>
    <w:rsid w:val="00161F4C"/>
    <w:rsid w:val="00162459"/>
    <w:rsid w:val="001624B5"/>
    <w:rsid w:val="00162E2E"/>
    <w:rsid w:val="001641C7"/>
    <w:rsid w:val="001642E8"/>
    <w:rsid w:val="001643A6"/>
    <w:rsid w:val="00164659"/>
    <w:rsid w:val="00164F0F"/>
    <w:rsid w:val="00165853"/>
    <w:rsid w:val="00165E6F"/>
    <w:rsid w:val="00167ABC"/>
    <w:rsid w:val="00167DB7"/>
    <w:rsid w:val="001701C5"/>
    <w:rsid w:val="00170313"/>
    <w:rsid w:val="00170782"/>
    <w:rsid w:val="00171019"/>
    <w:rsid w:val="001710AF"/>
    <w:rsid w:val="001716A5"/>
    <w:rsid w:val="001717E0"/>
    <w:rsid w:val="00171D3A"/>
    <w:rsid w:val="00171E61"/>
    <w:rsid w:val="00171F09"/>
    <w:rsid w:val="00171F67"/>
    <w:rsid w:val="00172456"/>
    <w:rsid w:val="001726D6"/>
    <w:rsid w:val="0017275D"/>
    <w:rsid w:val="0017330C"/>
    <w:rsid w:val="001734A6"/>
    <w:rsid w:val="00173643"/>
    <w:rsid w:val="001736C3"/>
    <w:rsid w:val="00173A50"/>
    <w:rsid w:val="00173AFC"/>
    <w:rsid w:val="00174251"/>
    <w:rsid w:val="00174A71"/>
    <w:rsid w:val="00174D1B"/>
    <w:rsid w:val="001751A3"/>
    <w:rsid w:val="0017534E"/>
    <w:rsid w:val="001757DB"/>
    <w:rsid w:val="001758CB"/>
    <w:rsid w:val="00175D98"/>
    <w:rsid w:val="00175FF5"/>
    <w:rsid w:val="0017663C"/>
    <w:rsid w:val="001768C0"/>
    <w:rsid w:val="00176948"/>
    <w:rsid w:val="00177083"/>
    <w:rsid w:val="001774D5"/>
    <w:rsid w:val="0017750F"/>
    <w:rsid w:val="00177A71"/>
    <w:rsid w:val="00177B35"/>
    <w:rsid w:val="00177BE9"/>
    <w:rsid w:val="00180150"/>
    <w:rsid w:val="0018069E"/>
    <w:rsid w:val="00180873"/>
    <w:rsid w:val="00180E87"/>
    <w:rsid w:val="001811D7"/>
    <w:rsid w:val="001816A8"/>
    <w:rsid w:val="00181910"/>
    <w:rsid w:val="001819C9"/>
    <w:rsid w:val="001821C6"/>
    <w:rsid w:val="001822E2"/>
    <w:rsid w:val="0018238A"/>
    <w:rsid w:val="00182A4C"/>
    <w:rsid w:val="00182BCC"/>
    <w:rsid w:val="00182F79"/>
    <w:rsid w:val="00183163"/>
    <w:rsid w:val="0018325F"/>
    <w:rsid w:val="00183469"/>
    <w:rsid w:val="00183BD2"/>
    <w:rsid w:val="001840E4"/>
    <w:rsid w:val="001843B5"/>
    <w:rsid w:val="001844EC"/>
    <w:rsid w:val="00184683"/>
    <w:rsid w:val="00184DE5"/>
    <w:rsid w:val="001858A5"/>
    <w:rsid w:val="00185A40"/>
    <w:rsid w:val="00185E9A"/>
    <w:rsid w:val="00186266"/>
    <w:rsid w:val="00186396"/>
    <w:rsid w:val="0018698F"/>
    <w:rsid w:val="00186BED"/>
    <w:rsid w:val="00186D5C"/>
    <w:rsid w:val="001877D8"/>
    <w:rsid w:val="00187DA8"/>
    <w:rsid w:val="0019018B"/>
    <w:rsid w:val="00190994"/>
    <w:rsid w:val="00190E74"/>
    <w:rsid w:val="00191044"/>
    <w:rsid w:val="00191DE0"/>
    <w:rsid w:val="00191DF7"/>
    <w:rsid w:val="00191F4A"/>
    <w:rsid w:val="00191F4F"/>
    <w:rsid w:val="0019220F"/>
    <w:rsid w:val="001927D6"/>
    <w:rsid w:val="0019293C"/>
    <w:rsid w:val="00192CAD"/>
    <w:rsid w:val="00192DEE"/>
    <w:rsid w:val="0019308B"/>
    <w:rsid w:val="00193311"/>
    <w:rsid w:val="001938EF"/>
    <w:rsid w:val="00194897"/>
    <w:rsid w:val="001949AD"/>
    <w:rsid w:val="00194C8C"/>
    <w:rsid w:val="0019511C"/>
    <w:rsid w:val="0019551E"/>
    <w:rsid w:val="00195822"/>
    <w:rsid w:val="00195BEF"/>
    <w:rsid w:val="00196868"/>
    <w:rsid w:val="00196B81"/>
    <w:rsid w:val="00197907"/>
    <w:rsid w:val="00197990"/>
    <w:rsid w:val="00197BEF"/>
    <w:rsid w:val="00197C2F"/>
    <w:rsid w:val="00197EC0"/>
    <w:rsid w:val="00197EC6"/>
    <w:rsid w:val="00197ECF"/>
    <w:rsid w:val="001A05E2"/>
    <w:rsid w:val="001A08C3"/>
    <w:rsid w:val="001A0B24"/>
    <w:rsid w:val="001A182D"/>
    <w:rsid w:val="001A1A27"/>
    <w:rsid w:val="001A271A"/>
    <w:rsid w:val="001A2CE9"/>
    <w:rsid w:val="001A2D11"/>
    <w:rsid w:val="001A2FF1"/>
    <w:rsid w:val="001A3152"/>
    <w:rsid w:val="001A3381"/>
    <w:rsid w:val="001A3618"/>
    <w:rsid w:val="001A44BB"/>
    <w:rsid w:val="001A4C84"/>
    <w:rsid w:val="001A53D9"/>
    <w:rsid w:val="001A53F2"/>
    <w:rsid w:val="001A5D79"/>
    <w:rsid w:val="001A5EF4"/>
    <w:rsid w:val="001A5F59"/>
    <w:rsid w:val="001A66A4"/>
    <w:rsid w:val="001A6992"/>
    <w:rsid w:val="001A6F6D"/>
    <w:rsid w:val="001A7057"/>
    <w:rsid w:val="001A72B7"/>
    <w:rsid w:val="001A75C4"/>
    <w:rsid w:val="001A7AD2"/>
    <w:rsid w:val="001A7B81"/>
    <w:rsid w:val="001A7CF0"/>
    <w:rsid w:val="001B0304"/>
    <w:rsid w:val="001B044E"/>
    <w:rsid w:val="001B06D6"/>
    <w:rsid w:val="001B0838"/>
    <w:rsid w:val="001B0A59"/>
    <w:rsid w:val="001B167B"/>
    <w:rsid w:val="001B17F3"/>
    <w:rsid w:val="001B1BB7"/>
    <w:rsid w:val="001B1EEE"/>
    <w:rsid w:val="001B28DF"/>
    <w:rsid w:val="001B2C33"/>
    <w:rsid w:val="001B32CB"/>
    <w:rsid w:val="001B33C3"/>
    <w:rsid w:val="001B3690"/>
    <w:rsid w:val="001B372C"/>
    <w:rsid w:val="001B379B"/>
    <w:rsid w:val="001B3AD9"/>
    <w:rsid w:val="001B3AE8"/>
    <w:rsid w:val="001B40AD"/>
    <w:rsid w:val="001B42A1"/>
    <w:rsid w:val="001B4DA3"/>
    <w:rsid w:val="001B5044"/>
    <w:rsid w:val="001B527B"/>
    <w:rsid w:val="001B52D6"/>
    <w:rsid w:val="001B59B8"/>
    <w:rsid w:val="001B5ADB"/>
    <w:rsid w:val="001B65A3"/>
    <w:rsid w:val="001B6AB4"/>
    <w:rsid w:val="001B6B6A"/>
    <w:rsid w:val="001B715E"/>
    <w:rsid w:val="001B7696"/>
    <w:rsid w:val="001B7A5A"/>
    <w:rsid w:val="001B7C7E"/>
    <w:rsid w:val="001C02D9"/>
    <w:rsid w:val="001C0416"/>
    <w:rsid w:val="001C073B"/>
    <w:rsid w:val="001C0B6B"/>
    <w:rsid w:val="001C0CB7"/>
    <w:rsid w:val="001C0E21"/>
    <w:rsid w:val="001C1063"/>
    <w:rsid w:val="001C136F"/>
    <w:rsid w:val="001C188E"/>
    <w:rsid w:val="001C1AE7"/>
    <w:rsid w:val="001C24AB"/>
    <w:rsid w:val="001C24BA"/>
    <w:rsid w:val="001C295C"/>
    <w:rsid w:val="001C2B6B"/>
    <w:rsid w:val="001C2D4D"/>
    <w:rsid w:val="001C3024"/>
    <w:rsid w:val="001C3222"/>
    <w:rsid w:val="001C322C"/>
    <w:rsid w:val="001C410D"/>
    <w:rsid w:val="001C42CE"/>
    <w:rsid w:val="001C4815"/>
    <w:rsid w:val="001C4AF0"/>
    <w:rsid w:val="001C4B89"/>
    <w:rsid w:val="001C5278"/>
    <w:rsid w:val="001C52A4"/>
    <w:rsid w:val="001C589C"/>
    <w:rsid w:val="001C5991"/>
    <w:rsid w:val="001C5A4F"/>
    <w:rsid w:val="001C5B36"/>
    <w:rsid w:val="001C5CFF"/>
    <w:rsid w:val="001C5F2D"/>
    <w:rsid w:val="001C6207"/>
    <w:rsid w:val="001C62BE"/>
    <w:rsid w:val="001C65C9"/>
    <w:rsid w:val="001C68B3"/>
    <w:rsid w:val="001C68FA"/>
    <w:rsid w:val="001C6D1D"/>
    <w:rsid w:val="001C6F54"/>
    <w:rsid w:val="001C6F8D"/>
    <w:rsid w:val="001C6F98"/>
    <w:rsid w:val="001C7530"/>
    <w:rsid w:val="001D0015"/>
    <w:rsid w:val="001D04C3"/>
    <w:rsid w:val="001D0E60"/>
    <w:rsid w:val="001D1322"/>
    <w:rsid w:val="001D17B4"/>
    <w:rsid w:val="001D17E3"/>
    <w:rsid w:val="001D249B"/>
    <w:rsid w:val="001D25BD"/>
    <w:rsid w:val="001D2F6A"/>
    <w:rsid w:val="001D32BE"/>
    <w:rsid w:val="001D38F0"/>
    <w:rsid w:val="001D3C93"/>
    <w:rsid w:val="001D3D86"/>
    <w:rsid w:val="001D4949"/>
    <w:rsid w:val="001D49AE"/>
    <w:rsid w:val="001D4C78"/>
    <w:rsid w:val="001D4CC6"/>
    <w:rsid w:val="001D51B7"/>
    <w:rsid w:val="001D521C"/>
    <w:rsid w:val="001D5237"/>
    <w:rsid w:val="001D5483"/>
    <w:rsid w:val="001D56DA"/>
    <w:rsid w:val="001D5874"/>
    <w:rsid w:val="001D5B24"/>
    <w:rsid w:val="001D5C13"/>
    <w:rsid w:val="001D5D3C"/>
    <w:rsid w:val="001D6374"/>
    <w:rsid w:val="001D6682"/>
    <w:rsid w:val="001D6C0E"/>
    <w:rsid w:val="001D6CAC"/>
    <w:rsid w:val="001D761E"/>
    <w:rsid w:val="001D7808"/>
    <w:rsid w:val="001D7863"/>
    <w:rsid w:val="001D7AA1"/>
    <w:rsid w:val="001D7DB3"/>
    <w:rsid w:val="001E088F"/>
    <w:rsid w:val="001E0FC8"/>
    <w:rsid w:val="001E1136"/>
    <w:rsid w:val="001E1154"/>
    <w:rsid w:val="001E1370"/>
    <w:rsid w:val="001E1536"/>
    <w:rsid w:val="001E1AED"/>
    <w:rsid w:val="001E1BD2"/>
    <w:rsid w:val="001E1FAC"/>
    <w:rsid w:val="001E2202"/>
    <w:rsid w:val="001E22DA"/>
    <w:rsid w:val="001E2C06"/>
    <w:rsid w:val="001E302E"/>
    <w:rsid w:val="001E3211"/>
    <w:rsid w:val="001E42B6"/>
    <w:rsid w:val="001E43CC"/>
    <w:rsid w:val="001E4763"/>
    <w:rsid w:val="001E4A1D"/>
    <w:rsid w:val="001E4B20"/>
    <w:rsid w:val="001E59CB"/>
    <w:rsid w:val="001E5C16"/>
    <w:rsid w:val="001E5DB3"/>
    <w:rsid w:val="001E5E6A"/>
    <w:rsid w:val="001E6096"/>
    <w:rsid w:val="001E6347"/>
    <w:rsid w:val="001E6523"/>
    <w:rsid w:val="001E685C"/>
    <w:rsid w:val="001E732B"/>
    <w:rsid w:val="001E7D72"/>
    <w:rsid w:val="001F0A3A"/>
    <w:rsid w:val="001F0F01"/>
    <w:rsid w:val="001F1466"/>
    <w:rsid w:val="001F151F"/>
    <w:rsid w:val="001F1E44"/>
    <w:rsid w:val="001F1F26"/>
    <w:rsid w:val="001F1F4C"/>
    <w:rsid w:val="001F2579"/>
    <w:rsid w:val="001F27C7"/>
    <w:rsid w:val="001F29D2"/>
    <w:rsid w:val="001F2BF1"/>
    <w:rsid w:val="001F3269"/>
    <w:rsid w:val="001F3769"/>
    <w:rsid w:val="001F3786"/>
    <w:rsid w:val="001F3885"/>
    <w:rsid w:val="001F3CF6"/>
    <w:rsid w:val="001F4498"/>
    <w:rsid w:val="001F48AF"/>
    <w:rsid w:val="001F4B3E"/>
    <w:rsid w:val="001F5270"/>
    <w:rsid w:val="001F5788"/>
    <w:rsid w:val="001F5F0B"/>
    <w:rsid w:val="001F65D2"/>
    <w:rsid w:val="001F669C"/>
    <w:rsid w:val="001F6DBB"/>
    <w:rsid w:val="001F769A"/>
    <w:rsid w:val="001F7840"/>
    <w:rsid w:val="0020003B"/>
    <w:rsid w:val="0020019C"/>
    <w:rsid w:val="0020029A"/>
    <w:rsid w:val="002008D4"/>
    <w:rsid w:val="00200A52"/>
    <w:rsid w:val="002015F7"/>
    <w:rsid w:val="00201B91"/>
    <w:rsid w:val="00201DD7"/>
    <w:rsid w:val="00201F1E"/>
    <w:rsid w:val="00201FBE"/>
    <w:rsid w:val="0020276B"/>
    <w:rsid w:val="0020289C"/>
    <w:rsid w:val="00202A98"/>
    <w:rsid w:val="00202BBF"/>
    <w:rsid w:val="002030D0"/>
    <w:rsid w:val="00203116"/>
    <w:rsid w:val="002031CD"/>
    <w:rsid w:val="002034D5"/>
    <w:rsid w:val="00203656"/>
    <w:rsid w:val="002036F2"/>
    <w:rsid w:val="00203C99"/>
    <w:rsid w:val="00203CAD"/>
    <w:rsid w:val="00203CC5"/>
    <w:rsid w:val="00204213"/>
    <w:rsid w:val="00204282"/>
    <w:rsid w:val="002046EA"/>
    <w:rsid w:val="00204A06"/>
    <w:rsid w:val="00204DF9"/>
    <w:rsid w:val="00205C09"/>
    <w:rsid w:val="00205D48"/>
    <w:rsid w:val="00206050"/>
    <w:rsid w:val="00206075"/>
    <w:rsid w:val="00206322"/>
    <w:rsid w:val="00206751"/>
    <w:rsid w:val="002070CD"/>
    <w:rsid w:val="002071F5"/>
    <w:rsid w:val="00207271"/>
    <w:rsid w:val="00207297"/>
    <w:rsid w:val="0020747A"/>
    <w:rsid w:val="00207900"/>
    <w:rsid w:val="00207A4C"/>
    <w:rsid w:val="00207FFC"/>
    <w:rsid w:val="00210835"/>
    <w:rsid w:val="00210967"/>
    <w:rsid w:val="002109D7"/>
    <w:rsid w:val="00210B31"/>
    <w:rsid w:val="002116A1"/>
    <w:rsid w:val="002116A5"/>
    <w:rsid w:val="00211804"/>
    <w:rsid w:val="00211B66"/>
    <w:rsid w:val="00212232"/>
    <w:rsid w:val="002122BE"/>
    <w:rsid w:val="00212605"/>
    <w:rsid w:val="00212655"/>
    <w:rsid w:val="00212A45"/>
    <w:rsid w:val="00212DC5"/>
    <w:rsid w:val="002139BB"/>
    <w:rsid w:val="00213A09"/>
    <w:rsid w:val="00213F77"/>
    <w:rsid w:val="00214027"/>
    <w:rsid w:val="002145F9"/>
    <w:rsid w:val="00214836"/>
    <w:rsid w:val="00214EF7"/>
    <w:rsid w:val="0021597C"/>
    <w:rsid w:val="00215A8C"/>
    <w:rsid w:val="00215FE8"/>
    <w:rsid w:val="00216CE9"/>
    <w:rsid w:val="00216F12"/>
    <w:rsid w:val="002173EF"/>
    <w:rsid w:val="00217451"/>
    <w:rsid w:val="002174FE"/>
    <w:rsid w:val="00217A38"/>
    <w:rsid w:val="00217B65"/>
    <w:rsid w:val="00217FB5"/>
    <w:rsid w:val="002201F9"/>
    <w:rsid w:val="002205E0"/>
    <w:rsid w:val="002206F6"/>
    <w:rsid w:val="00220983"/>
    <w:rsid w:val="002209D0"/>
    <w:rsid w:val="00220E32"/>
    <w:rsid w:val="0022116A"/>
    <w:rsid w:val="0022161A"/>
    <w:rsid w:val="00221735"/>
    <w:rsid w:val="00221A6F"/>
    <w:rsid w:val="00221EFB"/>
    <w:rsid w:val="002221F7"/>
    <w:rsid w:val="00222501"/>
    <w:rsid w:val="002228E4"/>
    <w:rsid w:val="002231EB"/>
    <w:rsid w:val="00223AF4"/>
    <w:rsid w:val="00223B11"/>
    <w:rsid w:val="00223DC7"/>
    <w:rsid w:val="0022418C"/>
    <w:rsid w:val="0022453C"/>
    <w:rsid w:val="0022484A"/>
    <w:rsid w:val="00224CEA"/>
    <w:rsid w:val="00225B03"/>
    <w:rsid w:val="00225DC2"/>
    <w:rsid w:val="00225DD2"/>
    <w:rsid w:val="00226B81"/>
    <w:rsid w:val="00227FDB"/>
    <w:rsid w:val="00230020"/>
    <w:rsid w:val="002304EC"/>
    <w:rsid w:val="00230A9A"/>
    <w:rsid w:val="002310A3"/>
    <w:rsid w:val="002314B5"/>
    <w:rsid w:val="00231D34"/>
    <w:rsid w:val="00232490"/>
    <w:rsid w:val="002324A4"/>
    <w:rsid w:val="00232970"/>
    <w:rsid w:val="002330D9"/>
    <w:rsid w:val="002331E2"/>
    <w:rsid w:val="00233632"/>
    <w:rsid w:val="002336C1"/>
    <w:rsid w:val="00233B84"/>
    <w:rsid w:val="00233F5F"/>
    <w:rsid w:val="002347B1"/>
    <w:rsid w:val="00234856"/>
    <w:rsid w:val="00234DF8"/>
    <w:rsid w:val="002350CC"/>
    <w:rsid w:val="00235B4A"/>
    <w:rsid w:val="002361FC"/>
    <w:rsid w:val="0023654A"/>
    <w:rsid w:val="002369D0"/>
    <w:rsid w:val="00236B34"/>
    <w:rsid w:val="00236F85"/>
    <w:rsid w:val="00237236"/>
    <w:rsid w:val="00237298"/>
    <w:rsid w:val="002373B3"/>
    <w:rsid w:val="0023747C"/>
    <w:rsid w:val="0023790F"/>
    <w:rsid w:val="00237C39"/>
    <w:rsid w:val="00237DCB"/>
    <w:rsid w:val="00237E0D"/>
    <w:rsid w:val="00237E69"/>
    <w:rsid w:val="00240038"/>
    <w:rsid w:val="00240407"/>
    <w:rsid w:val="00240427"/>
    <w:rsid w:val="00240D72"/>
    <w:rsid w:val="002410D5"/>
    <w:rsid w:val="0024185B"/>
    <w:rsid w:val="00241A31"/>
    <w:rsid w:val="00241D2C"/>
    <w:rsid w:val="00241F5F"/>
    <w:rsid w:val="00242D1E"/>
    <w:rsid w:val="00243198"/>
    <w:rsid w:val="00243989"/>
    <w:rsid w:val="002439A3"/>
    <w:rsid w:val="00243A23"/>
    <w:rsid w:val="00243A50"/>
    <w:rsid w:val="00244A9D"/>
    <w:rsid w:val="00245527"/>
    <w:rsid w:val="00245A79"/>
    <w:rsid w:val="00245BBA"/>
    <w:rsid w:val="00245CD1"/>
    <w:rsid w:val="00245D39"/>
    <w:rsid w:val="00245F08"/>
    <w:rsid w:val="002460D9"/>
    <w:rsid w:val="002463F2"/>
    <w:rsid w:val="0024675A"/>
    <w:rsid w:val="00246AD7"/>
    <w:rsid w:val="00246D61"/>
    <w:rsid w:val="00246F13"/>
    <w:rsid w:val="002472BD"/>
    <w:rsid w:val="0024747A"/>
    <w:rsid w:val="0024756D"/>
    <w:rsid w:val="00247967"/>
    <w:rsid w:val="00247BA9"/>
    <w:rsid w:val="00247EB9"/>
    <w:rsid w:val="002503E9"/>
    <w:rsid w:val="002505E1"/>
    <w:rsid w:val="0025060B"/>
    <w:rsid w:val="00250A56"/>
    <w:rsid w:val="00250ACD"/>
    <w:rsid w:val="002510D1"/>
    <w:rsid w:val="00251122"/>
    <w:rsid w:val="0025157B"/>
    <w:rsid w:val="002515A1"/>
    <w:rsid w:val="00251CA1"/>
    <w:rsid w:val="00251CA2"/>
    <w:rsid w:val="00251CB0"/>
    <w:rsid w:val="002520B4"/>
    <w:rsid w:val="00252530"/>
    <w:rsid w:val="00252B26"/>
    <w:rsid w:val="00252F98"/>
    <w:rsid w:val="0025322A"/>
    <w:rsid w:val="00253612"/>
    <w:rsid w:val="002538E6"/>
    <w:rsid w:val="00253ABA"/>
    <w:rsid w:val="00253AE0"/>
    <w:rsid w:val="00253E59"/>
    <w:rsid w:val="00253FAD"/>
    <w:rsid w:val="00254B49"/>
    <w:rsid w:val="00254D5C"/>
    <w:rsid w:val="0025549F"/>
    <w:rsid w:val="00255703"/>
    <w:rsid w:val="00255739"/>
    <w:rsid w:val="00255778"/>
    <w:rsid w:val="00255882"/>
    <w:rsid w:val="00255ABD"/>
    <w:rsid w:val="00255B42"/>
    <w:rsid w:val="00255D8C"/>
    <w:rsid w:val="00255FAE"/>
    <w:rsid w:val="00256504"/>
    <w:rsid w:val="00256865"/>
    <w:rsid w:val="0025692C"/>
    <w:rsid w:val="00256DA5"/>
    <w:rsid w:val="002575AB"/>
    <w:rsid w:val="0025790D"/>
    <w:rsid w:val="00257BBA"/>
    <w:rsid w:val="00257DB6"/>
    <w:rsid w:val="00260042"/>
    <w:rsid w:val="00260151"/>
    <w:rsid w:val="002605FF"/>
    <w:rsid w:val="00260633"/>
    <w:rsid w:val="002606EC"/>
    <w:rsid w:val="00260CE9"/>
    <w:rsid w:val="00261750"/>
    <w:rsid w:val="00261AD5"/>
    <w:rsid w:val="00261DE1"/>
    <w:rsid w:val="00261F6F"/>
    <w:rsid w:val="0026201E"/>
    <w:rsid w:val="00262B73"/>
    <w:rsid w:val="00262B8A"/>
    <w:rsid w:val="00263611"/>
    <w:rsid w:val="0026366F"/>
    <w:rsid w:val="0026381B"/>
    <w:rsid w:val="00263BCD"/>
    <w:rsid w:val="002647FB"/>
    <w:rsid w:val="00265133"/>
    <w:rsid w:val="002656AD"/>
    <w:rsid w:val="00265728"/>
    <w:rsid w:val="00265759"/>
    <w:rsid w:val="002659A3"/>
    <w:rsid w:val="002659A6"/>
    <w:rsid w:val="00265E47"/>
    <w:rsid w:val="00266041"/>
    <w:rsid w:val="0026615A"/>
    <w:rsid w:val="002667DF"/>
    <w:rsid w:val="0026698D"/>
    <w:rsid w:val="00266AF9"/>
    <w:rsid w:val="00267A6C"/>
    <w:rsid w:val="00267B97"/>
    <w:rsid w:val="00267C29"/>
    <w:rsid w:val="00267C30"/>
    <w:rsid w:val="00267E54"/>
    <w:rsid w:val="00267FF1"/>
    <w:rsid w:val="00267FF2"/>
    <w:rsid w:val="00270A17"/>
    <w:rsid w:val="00270A50"/>
    <w:rsid w:val="0027113D"/>
    <w:rsid w:val="00271255"/>
    <w:rsid w:val="00271320"/>
    <w:rsid w:val="0027181E"/>
    <w:rsid w:val="00271BA9"/>
    <w:rsid w:val="00271D05"/>
    <w:rsid w:val="00271D3D"/>
    <w:rsid w:val="00271F28"/>
    <w:rsid w:val="00272271"/>
    <w:rsid w:val="00272308"/>
    <w:rsid w:val="00272464"/>
    <w:rsid w:val="00272801"/>
    <w:rsid w:val="00272EEE"/>
    <w:rsid w:val="002734B6"/>
    <w:rsid w:val="00273774"/>
    <w:rsid w:val="00273BD3"/>
    <w:rsid w:val="00273DAD"/>
    <w:rsid w:val="00273E0C"/>
    <w:rsid w:val="002740A4"/>
    <w:rsid w:val="002749BE"/>
    <w:rsid w:val="002753E2"/>
    <w:rsid w:val="00275474"/>
    <w:rsid w:val="00275AA7"/>
    <w:rsid w:val="00275BDF"/>
    <w:rsid w:val="00275F03"/>
    <w:rsid w:val="00276022"/>
    <w:rsid w:val="00276614"/>
    <w:rsid w:val="002766D4"/>
    <w:rsid w:val="00276758"/>
    <w:rsid w:val="0027677C"/>
    <w:rsid w:val="0027691E"/>
    <w:rsid w:val="00276942"/>
    <w:rsid w:val="00276C22"/>
    <w:rsid w:val="00276F76"/>
    <w:rsid w:val="002778C5"/>
    <w:rsid w:val="00277C95"/>
    <w:rsid w:val="00277D4D"/>
    <w:rsid w:val="00280196"/>
    <w:rsid w:val="00280235"/>
    <w:rsid w:val="0028094C"/>
    <w:rsid w:val="00280BFE"/>
    <w:rsid w:val="00280FE1"/>
    <w:rsid w:val="002812B4"/>
    <w:rsid w:val="00281757"/>
    <w:rsid w:val="00281955"/>
    <w:rsid w:val="00281D59"/>
    <w:rsid w:val="00281DD3"/>
    <w:rsid w:val="00282171"/>
    <w:rsid w:val="002821A6"/>
    <w:rsid w:val="00282FD3"/>
    <w:rsid w:val="00283122"/>
    <w:rsid w:val="0028417D"/>
    <w:rsid w:val="002845D4"/>
    <w:rsid w:val="00284619"/>
    <w:rsid w:val="002849E4"/>
    <w:rsid w:val="00284FCD"/>
    <w:rsid w:val="002853B6"/>
    <w:rsid w:val="00285628"/>
    <w:rsid w:val="00285957"/>
    <w:rsid w:val="00285BA6"/>
    <w:rsid w:val="00285E31"/>
    <w:rsid w:val="0028680C"/>
    <w:rsid w:val="00286A6D"/>
    <w:rsid w:val="00286C1B"/>
    <w:rsid w:val="00286E93"/>
    <w:rsid w:val="00287235"/>
    <w:rsid w:val="002874C0"/>
    <w:rsid w:val="002876AF"/>
    <w:rsid w:val="00287B40"/>
    <w:rsid w:val="00287B77"/>
    <w:rsid w:val="00290233"/>
    <w:rsid w:val="002902D9"/>
    <w:rsid w:val="00290572"/>
    <w:rsid w:val="002906A1"/>
    <w:rsid w:val="00290766"/>
    <w:rsid w:val="00290A63"/>
    <w:rsid w:val="00290FEF"/>
    <w:rsid w:val="0029149A"/>
    <w:rsid w:val="00291594"/>
    <w:rsid w:val="002929D9"/>
    <w:rsid w:val="00292FCA"/>
    <w:rsid w:val="0029307A"/>
    <w:rsid w:val="00293250"/>
    <w:rsid w:val="002936E7"/>
    <w:rsid w:val="002937B6"/>
    <w:rsid w:val="002941AE"/>
    <w:rsid w:val="0029445E"/>
    <w:rsid w:val="00294645"/>
    <w:rsid w:val="00294D68"/>
    <w:rsid w:val="00294E95"/>
    <w:rsid w:val="0029544C"/>
    <w:rsid w:val="0029556E"/>
    <w:rsid w:val="00296132"/>
    <w:rsid w:val="00296323"/>
    <w:rsid w:val="00296324"/>
    <w:rsid w:val="002968D5"/>
    <w:rsid w:val="00296D88"/>
    <w:rsid w:val="0029751E"/>
    <w:rsid w:val="002A0E42"/>
    <w:rsid w:val="002A128C"/>
    <w:rsid w:val="002A1587"/>
    <w:rsid w:val="002A1680"/>
    <w:rsid w:val="002A1C01"/>
    <w:rsid w:val="002A1CF6"/>
    <w:rsid w:val="002A2622"/>
    <w:rsid w:val="002A2F83"/>
    <w:rsid w:val="002A3A58"/>
    <w:rsid w:val="002A3D39"/>
    <w:rsid w:val="002A3E19"/>
    <w:rsid w:val="002A485D"/>
    <w:rsid w:val="002A5287"/>
    <w:rsid w:val="002A5758"/>
    <w:rsid w:val="002A587A"/>
    <w:rsid w:val="002A593C"/>
    <w:rsid w:val="002A603F"/>
    <w:rsid w:val="002A60AA"/>
    <w:rsid w:val="002A6294"/>
    <w:rsid w:val="002A63E7"/>
    <w:rsid w:val="002A6661"/>
    <w:rsid w:val="002A66E8"/>
    <w:rsid w:val="002A6875"/>
    <w:rsid w:val="002A6886"/>
    <w:rsid w:val="002A6A82"/>
    <w:rsid w:val="002A6C21"/>
    <w:rsid w:val="002A6C83"/>
    <w:rsid w:val="002A6D25"/>
    <w:rsid w:val="002A7614"/>
    <w:rsid w:val="002A793D"/>
    <w:rsid w:val="002B02CE"/>
    <w:rsid w:val="002B0777"/>
    <w:rsid w:val="002B087F"/>
    <w:rsid w:val="002B0A73"/>
    <w:rsid w:val="002B0C67"/>
    <w:rsid w:val="002B0CDC"/>
    <w:rsid w:val="002B0DBD"/>
    <w:rsid w:val="002B0F03"/>
    <w:rsid w:val="002B1270"/>
    <w:rsid w:val="002B12BB"/>
    <w:rsid w:val="002B177B"/>
    <w:rsid w:val="002B1D87"/>
    <w:rsid w:val="002B2008"/>
    <w:rsid w:val="002B2681"/>
    <w:rsid w:val="002B2921"/>
    <w:rsid w:val="002B2B22"/>
    <w:rsid w:val="002B33CF"/>
    <w:rsid w:val="002B35F7"/>
    <w:rsid w:val="002B364A"/>
    <w:rsid w:val="002B3B9D"/>
    <w:rsid w:val="002B3FBB"/>
    <w:rsid w:val="002B4DF1"/>
    <w:rsid w:val="002B52B1"/>
    <w:rsid w:val="002B5A5B"/>
    <w:rsid w:val="002B5F79"/>
    <w:rsid w:val="002B6559"/>
    <w:rsid w:val="002B672C"/>
    <w:rsid w:val="002B6C5C"/>
    <w:rsid w:val="002B6DBC"/>
    <w:rsid w:val="002B7163"/>
    <w:rsid w:val="002B7175"/>
    <w:rsid w:val="002B7526"/>
    <w:rsid w:val="002B7630"/>
    <w:rsid w:val="002B7D89"/>
    <w:rsid w:val="002C0763"/>
    <w:rsid w:val="002C0791"/>
    <w:rsid w:val="002C085D"/>
    <w:rsid w:val="002C0D33"/>
    <w:rsid w:val="002C0D66"/>
    <w:rsid w:val="002C0E33"/>
    <w:rsid w:val="002C122A"/>
    <w:rsid w:val="002C1307"/>
    <w:rsid w:val="002C1487"/>
    <w:rsid w:val="002C19F9"/>
    <w:rsid w:val="002C1A24"/>
    <w:rsid w:val="002C1BFA"/>
    <w:rsid w:val="002C1E72"/>
    <w:rsid w:val="002C2047"/>
    <w:rsid w:val="002C22E5"/>
    <w:rsid w:val="002C23EF"/>
    <w:rsid w:val="002C2571"/>
    <w:rsid w:val="002C2829"/>
    <w:rsid w:val="002C2A1F"/>
    <w:rsid w:val="002C2EDE"/>
    <w:rsid w:val="002C38DC"/>
    <w:rsid w:val="002C3FC9"/>
    <w:rsid w:val="002C402C"/>
    <w:rsid w:val="002C40F2"/>
    <w:rsid w:val="002C40F8"/>
    <w:rsid w:val="002C4334"/>
    <w:rsid w:val="002C43E3"/>
    <w:rsid w:val="002C4651"/>
    <w:rsid w:val="002C4C54"/>
    <w:rsid w:val="002C4C6D"/>
    <w:rsid w:val="002C4EC5"/>
    <w:rsid w:val="002C6018"/>
    <w:rsid w:val="002C618C"/>
    <w:rsid w:val="002C62D4"/>
    <w:rsid w:val="002C6704"/>
    <w:rsid w:val="002C6873"/>
    <w:rsid w:val="002C6BB3"/>
    <w:rsid w:val="002C6E85"/>
    <w:rsid w:val="002C6FA7"/>
    <w:rsid w:val="002C71D7"/>
    <w:rsid w:val="002C742B"/>
    <w:rsid w:val="002D092B"/>
    <w:rsid w:val="002D10B2"/>
    <w:rsid w:val="002D14CA"/>
    <w:rsid w:val="002D1829"/>
    <w:rsid w:val="002D1F2D"/>
    <w:rsid w:val="002D24B0"/>
    <w:rsid w:val="002D2526"/>
    <w:rsid w:val="002D3267"/>
    <w:rsid w:val="002D36E8"/>
    <w:rsid w:val="002D384C"/>
    <w:rsid w:val="002D3A33"/>
    <w:rsid w:val="002D4331"/>
    <w:rsid w:val="002D4474"/>
    <w:rsid w:val="002D4525"/>
    <w:rsid w:val="002D4E46"/>
    <w:rsid w:val="002D536F"/>
    <w:rsid w:val="002D54AA"/>
    <w:rsid w:val="002D676A"/>
    <w:rsid w:val="002D6979"/>
    <w:rsid w:val="002D6BC9"/>
    <w:rsid w:val="002D7797"/>
    <w:rsid w:val="002D7970"/>
    <w:rsid w:val="002D7986"/>
    <w:rsid w:val="002D7998"/>
    <w:rsid w:val="002D7B28"/>
    <w:rsid w:val="002E0084"/>
    <w:rsid w:val="002E0085"/>
    <w:rsid w:val="002E059D"/>
    <w:rsid w:val="002E0761"/>
    <w:rsid w:val="002E07AF"/>
    <w:rsid w:val="002E1437"/>
    <w:rsid w:val="002E1936"/>
    <w:rsid w:val="002E1CB5"/>
    <w:rsid w:val="002E1D96"/>
    <w:rsid w:val="002E1DBB"/>
    <w:rsid w:val="002E205E"/>
    <w:rsid w:val="002E206B"/>
    <w:rsid w:val="002E323A"/>
    <w:rsid w:val="002E366D"/>
    <w:rsid w:val="002E37AD"/>
    <w:rsid w:val="002E43C6"/>
    <w:rsid w:val="002E46AD"/>
    <w:rsid w:val="002E4B90"/>
    <w:rsid w:val="002E4D89"/>
    <w:rsid w:val="002E4E8A"/>
    <w:rsid w:val="002E52D3"/>
    <w:rsid w:val="002E5671"/>
    <w:rsid w:val="002E572D"/>
    <w:rsid w:val="002E5733"/>
    <w:rsid w:val="002E57B4"/>
    <w:rsid w:val="002E5A05"/>
    <w:rsid w:val="002E5B3E"/>
    <w:rsid w:val="002E5C9D"/>
    <w:rsid w:val="002E6010"/>
    <w:rsid w:val="002E6212"/>
    <w:rsid w:val="002E6751"/>
    <w:rsid w:val="002E6D95"/>
    <w:rsid w:val="002E6D9F"/>
    <w:rsid w:val="002E7A9D"/>
    <w:rsid w:val="002E7F15"/>
    <w:rsid w:val="002F016A"/>
    <w:rsid w:val="002F03FD"/>
    <w:rsid w:val="002F043E"/>
    <w:rsid w:val="002F0522"/>
    <w:rsid w:val="002F0540"/>
    <w:rsid w:val="002F066E"/>
    <w:rsid w:val="002F0910"/>
    <w:rsid w:val="002F0D19"/>
    <w:rsid w:val="002F0ED3"/>
    <w:rsid w:val="002F0FAC"/>
    <w:rsid w:val="002F10DF"/>
    <w:rsid w:val="002F1170"/>
    <w:rsid w:val="002F12FC"/>
    <w:rsid w:val="002F1A3E"/>
    <w:rsid w:val="002F219C"/>
    <w:rsid w:val="002F2FBF"/>
    <w:rsid w:val="002F3325"/>
    <w:rsid w:val="002F3D59"/>
    <w:rsid w:val="002F3E17"/>
    <w:rsid w:val="002F499B"/>
    <w:rsid w:val="002F54B4"/>
    <w:rsid w:val="002F576B"/>
    <w:rsid w:val="002F58BE"/>
    <w:rsid w:val="002F5BC8"/>
    <w:rsid w:val="002F5E40"/>
    <w:rsid w:val="002F640B"/>
    <w:rsid w:val="002F66C7"/>
    <w:rsid w:val="002F67DB"/>
    <w:rsid w:val="002F6C82"/>
    <w:rsid w:val="002F6E63"/>
    <w:rsid w:val="002F736C"/>
    <w:rsid w:val="002F7473"/>
    <w:rsid w:val="002F78AF"/>
    <w:rsid w:val="003000D1"/>
    <w:rsid w:val="003002BC"/>
    <w:rsid w:val="00300593"/>
    <w:rsid w:val="003007C5"/>
    <w:rsid w:val="00300C13"/>
    <w:rsid w:val="003011AD"/>
    <w:rsid w:val="003011E4"/>
    <w:rsid w:val="00301313"/>
    <w:rsid w:val="00301428"/>
    <w:rsid w:val="003016D0"/>
    <w:rsid w:val="0030180C"/>
    <w:rsid w:val="003019BC"/>
    <w:rsid w:val="003019E4"/>
    <w:rsid w:val="00301E7C"/>
    <w:rsid w:val="00302466"/>
    <w:rsid w:val="0030304E"/>
    <w:rsid w:val="003040AE"/>
    <w:rsid w:val="003043A3"/>
    <w:rsid w:val="00304436"/>
    <w:rsid w:val="00304935"/>
    <w:rsid w:val="00304AB8"/>
    <w:rsid w:val="0030507F"/>
    <w:rsid w:val="003050A3"/>
    <w:rsid w:val="003053BE"/>
    <w:rsid w:val="00305459"/>
    <w:rsid w:val="00305B9A"/>
    <w:rsid w:val="00305BAD"/>
    <w:rsid w:val="00305BE6"/>
    <w:rsid w:val="00305ED9"/>
    <w:rsid w:val="00305F45"/>
    <w:rsid w:val="00306CD7"/>
    <w:rsid w:val="00306D92"/>
    <w:rsid w:val="00306E00"/>
    <w:rsid w:val="003077D8"/>
    <w:rsid w:val="00307B84"/>
    <w:rsid w:val="00307DAC"/>
    <w:rsid w:val="00307E5E"/>
    <w:rsid w:val="00310058"/>
    <w:rsid w:val="00310450"/>
    <w:rsid w:val="0031083A"/>
    <w:rsid w:val="00311331"/>
    <w:rsid w:val="00311867"/>
    <w:rsid w:val="00311AA5"/>
    <w:rsid w:val="0031223C"/>
    <w:rsid w:val="0031229A"/>
    <w:rsid w:val="0031351F"/>
    <w:rsid w:val="00313C4F"/>
    <w:rsid w:val="00313DDF"/>
    <w:rsid w:val="00313E7A"/>
    <w:rsid w:val="003140B3"/>
    <w:rsid w:val="003144B1"/>
    <w:rsid w:val="003145BF"/>
    <w:rsid w:val="0031476D"/>
    <w:rsid w:val="003152AA"/>
    <w:rsid w:val="0031534C"/>
    <w:rsid w:val="003154DF"/>
    <w:rsid w:val="00315592"/>
    <w:rsid w:val="00315C8C"/>
    <w:rsid w:val="003163CB"/>
    <w:rsid w:val="0031666D"/>
    <w:rsid w:val="003166BA"/>
    <w:rsid w:val="00316740"/>
    <w:rsid w:val="00316804"/>
    <w:rsid w:val="00316C0C"/>
    <w:rsid w:val="00316DBD"/>
    <w:rsid w:val="003176B6"/>
    <w:rsid w:val="00317CCC"/>
    <w:rsid w:val="00317DA9"/>
    <w:rsid w:val="00320095"/>
    <w:rsid w:val="00320798"/>
    <w:rsid w:val="00320A98"/>
    <w:rsid w:val="00320F91"/>
    <w:rsid w:val="003216FC"/>
    <w:rsid w:val="00321727"/>
    <w:rsid w:val="00321B63"/>
    <w:rsid w:val="00321BF5"/>
    <w:rsid w:val="00321DAA"/>
    <w:rsid w:val="00321F83"/>
    <w:rsid w:val="00321F88"/>
    <w:rsid w:val="0032275A"/>
    <w:rsid w:val="003228F8"/>
    <w:rsid w:val="00322A44"/>
    <w:rsid w:val="00322ED3"/>
    <w:rsid w:val="003230F2"/>
    <w:rsid w:val="0032396D"/>
    <w:rsid w:val="00323B50"/>
    <w:rsid w:val="00323BB2"/>
    <w:rsid w:val="00323EF8"/>
    <w:rsid w:val="003245B7"/>
    <w:rsid w:val="003246A8"/>
    <w:rsid w:val="00324BE2"/>
    <w:rsid w:val="00324DA2"/>
    <w:rsid w:val="00324DB1"/>
    <w:rsid w:val="003250FE"/>
    <w:rsid w:val="00325139"/>
    <w:rsid w:val="0032543C"/>
    <w:rsid w:val="003259E9"/>
    <w:rsid w:val="00325DEE"/>
    <w:rsid w:val="00325FF2"/>
    <w:rsid w:val="003261A1"/>
    <w:rsid w:val="00326C7F"/>
    <w:rsid w:val="00326EB1"/>
    <w:rsid w:val="00327145"/>
    <w:rsid w:val="00327B0E"/>
    <w:rsid w:val="00327D9F"/>
    <w:rsid w:val="0033013C"/>
    <w:rsid w:val="00330312"/>
    <w:rsid w:val="0033052F"/>
    <w:rsid w:val="00330B11"/>
    <w:rsid w:val="00330B2A"/>
    <w:rsid w:val="00330F2A"/>
    <w:rsid w:val="0033169A"/>
    <w:rsid w:val="00331A50"/>
    <w:rsid w:val="00331BEF"/>
    <w:rsid w:val="00332032"/>
    <w:rsid w:val="0033206B"/>
    <w:rsid w:val="00332444"/>
    <w:rsid w:val="0033270C"/>
    <w:rsid w:val="003330F6"/>
    <w:rsid w:val="003337DF"/>
    <w:rsid w:val="00333848"/>
    <w:rsid w:val="00334801"/>
    <w:rsid w:val="00334F5E"/>
    <w:rsid w:val="003350F5"/>
    <w:rsid w:val="003358D7"/>
    <w:rsid w:val="00335F16"/>
    <w:rsid w:val="00336052"/>
    <w:rsid w:val="003361ED"/>
    <w:rsid w:val="003367C5"/>
    <w:rsid w:val="00336D7B"/>
    <w:rsid w:val="003372C9"/>
    <w:rsid w:val="003373A8"/>
    <w:rsid w:val="00337C70"/>
    <w:rsid w:val="00337CE3"/>
    <w:rsid w:val="003404C7"/>
    <w:rsid w:val="00340A3F"/>
    <w:rsid w:val="003410F3"/>
    <w:rsid w:val="00341484"/>
    <w:rsid w:val="00341DDB"/>
    <w:rsid w:val="00341E29"/>
    <w:rsid w:val="00342628"/>
    <w:rsid w:val="00342BE4"/>
    <w:rsid w:val="00342CD8"/>
    <w:rsid w:val="0034307E"/>
    <w:rsid w:val="003433E8"/>
    <w:rsid w:val="00343BB2"/>
    <w:rsid w:val="00343CC5"/>
    <w:rsid w:val="00344033"/>
    <w:rsid w:val="003445EB"/>
    <w:rsid w:val="0034475B"/>
    <w:rsid w:val="00344AB7"/>
    <w:rsid w:val="00344C45"/>
    <w:rsid w:val="00345046"/>
    <w:rsid w:val="0034511E"/>
    <w:rsid w:val="00345148"/>
    <w:rsid w:val="0034531B"/>
    <w:rsid w:val="0034568F"/>
    <w:rsid w:val="0034596C"/>
    <w:rsid w:val="00346038"/>
    <w:rsid w:val="003461A4"/>
    <w:rsid w:val="003469F3"/>
    <w:rsid w:val="003475A6"/>
    <w:rsid w:val="0034764C"/>
    <w:rsid w:val="00347A9D"/>
    <w:rsid w:val="00347DF0"/>
    <w:rsid w:val="00350176"/>
    <w:rsid w:val="003508A3"/>
    <w:rsid w:val="00350AEE"/>
    <w:rsid w:val="00350B41"/>
    <w:rsid w:val="003510EC"/>
    <w:rsid w:val="00351173"/>
    <w:rsid w:val="00351FB0"/>
    <w:rsid w:val="00351FD1"/>
    <w:rsid w:val="0035200C"/>
    <w:rsid w:val="00352413"/>
    <w:rsid w:val="003527DA"/>
    <w:rsid w:val="0035291C"/>
    <w:rsid w:val="003532AB"/>
    <w:rsid w:val="00353896"/>
    <w:rsid w:val="00353A78"/>
    <w:rsid w:val="00353E45"/>
    <w:rsid w:val="0035400C"/>
    <w:rsid w:val="003541A7"/>
    <w:rsid w:val="00354261"/>
    <w:rsid w:val="003549A4"/>
    <w:rsid w:val="003558F3"/>
    <w:rsid w:val="00355DAB"/>
    <w:rsid w:val="00355EBD"/>
    <w:rsid w:val="00355F6D"/>
    <w:rsid w:val="003566B7"/>
    <w:rsid w:val="0035685D"/>
    <w:rsid w:val="00356950"/>
    <w:rsid w:val="00356F1F"/>
    <w:rsid w:val="00357097"/>
    <w:rsid w:val="00357704"/>
    <w:rsid w:val="003577FE"/>
    <w:rsid w:val="00357902"/>
    <w:rsid w:val="00357A6A"/>
    <w:rsid w:val="00357B8C"/>
    <w:rsid w:val="00360474"/>
    <w:rsid w:val="00360993"/>
    <w:rsid w:val="00360BCB"/>
    <w:rsid w:val="003610A8"/>
    <w:rsid w:val="00361729"/>
    <w:rsid w:val="0036196E"/>
    <w:rsid w:val="00361D0B"/>
    <w:rsid w:val="00361D72"/>
    <w:rsid w:val="00361D75"/>
    <w:rsid w:val="00361F65"/>
    <w:rsid w:val="00362071"/>
    <w:rsid w:val="003620CF"/>
    <w:rsid w:val="003624D0"/>
    <w:rsid w:val="00362620"/>
    <w:rsid w:val="00362E90"/>
    <w:rsid w:val="00362F7A"/>
    <w:rsid w:val="00362FF3"/>
    <w:rsid w:val="00363342"/>
    <w:rsid w:val="003635AB"/>
    <w:rsid w:val="003636CD"/>
    <w:rsid w:val="003637A3"/>
    <w:rsid w:val="003648B1"/>
    <w:rsid w:val="00364B5B"/>
    <w:rsid w:val="00364DF6"/>
    <w:rsid w:val="00365193"/>
    <w:rsid w:val="0036577E"/>
    <w:rsid w:val="003658CF"/>
    <w:rsid w:val="00365B5A"/>
    <w:rsid w:val="0036608E"/>
    <w:rsid w:val="00366366"/>
    <w:rsid w:val="00366543"/>
    <w:rsid w:val="00366E30"/>
    <w:rsid w:val="003670AF"/>
    <w:rsid w:val="0036717A"/>
    <w:rsid w:val="0036765A"/>
    <w:rsid w:val="00369A83"/>
    <w:rsid w:val="00370086"/>
    <w:rsid w:val="00370090"/>
    <w:rsid w:val="00370312"/>
    <w:rsid w:val="003710C6"/>
    <w:rsid w:val="0037118C"/>
    <w:rsid w:val="0037131F"/>
    <w:rsid w:val="00371476"/>
    <w:rsid w:val="003716A9"/>
    <w:rsid w:val="00371967"/>
    <w:rsid w:val="00371B08"/>
    <w:rsid w:val="00371BC8"/>
    <w:rsid w:val="003722CD"/>
    <w:rsid w:val="003727B7"/>
    <w:rsid w:val="00372805"/>
    <w:rsid w:val="00372B02"/>
    <w:rsid w:val="003733FA"/>
    <w:rsid w:val="00373D6E"/>
    <w:rsid w:val="00374229"/>
    <w:rsid w:val="0037422C"/>
    <w:rsid w:val="0037425B"/>
    <w:rsid w:val="00374765"/>
    <w:rsid w:val="003748BD"/>
    <w:rsid w:val="00374B23"/>
    <w:rsid w:val="00374CC5"/>
    <w:rsid w:val="00374F74"/>
    <w:rsid w:val="0037506A"/>
    <w:rsid w:val="00375075"/>
    <w:rsid w:val="003750E9"/>
    <w:rsid w:val="00375C89"/>
    <w:rsid w:val="00375E18"/>
    <w:rsid w:val="00376467"/>
    <w:rsid w:val="00376510"/>
    <w:rsid w:val="0037668E"/>
    <w:rsid w:val="0037706C"/>
    <w:rsid w:val="00377395"/>
    <w:rsid w:val="003775A3"/>
    <w:rsid w:val="003779FE"/>
    <w:rsid w:val="00377D62"/>
    <w:rsid w:val="003800DE"/>
    <w:rsid w:val="003801FF"/>
    <w:rsid w:val="003802EC"/>
    <w:rsid w:val="0038036D"/>
    <w:rsid w:val="00380984"/>
    <w:rsid w:val="00380E57"/>
    <w:rsid w:val="00380E72"/>
    <w:rsid w:val="003810E0"/>
    <w:rsid w:val="003811E8"/>
    <w:rsid w:val="0038178F"/>
    <w:rsid w:val="00381C4E"/>
    <w:rsid w:val="00382087"/>
    <w:rsid w:val="003824C8"/>
    <w:rsid w:val="003825D5"/>
    <w:rsid w:val="00382914"/>
    <w:rsid w:val="00382B81"/>
    <w:rsid w:val="00383710"/>
    <w:rsid w:val="00383758"/>
    <w:rsid w:val="003838E8"/>
    <w:rsid w:val="00383ACF"/>
    <w:rsid w:val="00383D65"/>
    <w:rsid w:val="0038472D"/>
    <w:rsid w:val="0038495C"/>
    <w:rsid w:val="003854C2"/>
    <w:rsid w:val="0038556E"/>
    <w:rsid w:val="003859A7"/>
    <w:rsid w:val="00386078"/>
    <w:rsid w:val="003862D4"/>
    <w:rsid w:val="0038634E"/>
    <w:rsid w:val="00386A1E"/>
    <w:rsid w:val="00386A83"/>
    <w:rsid w:val="00387558"/>
    <w:rsid w:val="003877A3"/>
    <w:rsid w:val="003877CE"/>
    <w:rsid w:val="0038794B"/>
    <w:rsid w:val="00387B4C"/>
    <w:rsid w:val="00387D21"/>
    <w:rsid w:val="00387D42"/>
    <w:rsid w:val="00387FF2"/>
    <w:rsid w:val="0039011C"/>
    <w:rsid w:val="003902CC"/>
    <w:rsid w:val="00390316"/>
    <w:rsid w:val="0039078B"/>
    <w:rsid w:val="00390A2B"/>
    <w:rsid w:val="0039151F"/>
    <w:rsid w:val="003919F3"/>
    <w:rsid w:val="00391F6B"/>
    <w:rsid w:val="00392E87"/>
    <w:rsid w:val="00392F5D"/>
    <w:rsid w:val="003939A0"/>
    <w:rsid w:val="00393D90"/>
    <w:rsid w:val="00393F17"/>
    <w:rsid w:val="00394276"/>
    <w:rsid w:val="003945C9"/>
    <w:rsid w:val="00395593"/>
    <w:rsid w:val="003955F3"/>
    <w:rsid w:val="00395800"/>
    <w:rsid w:val="0039587A"/>
    <w:rsid w:val="00395973"/>
    <w:rsid w:val="00395A27"/>
    <w:rsid w:val="00395B53"/>
    <w:rsid w:val="00395E3E"/>
    <w:rsid w:val="00396301"/>
    <w:rsid w:val="003963C1"/>
    <w:rsid w:val="00396CDA"/>
    <w:rsid w:val="00397176"/>
    <w:rsid w:val="00397339"/>
    <w:rsid w:val="00397750"/>
    <w:rsid w:val="003A02FE"/>
    <w:rsid w:val="003A034C"/>
    <w:rsid w:val="003A0884"/>
    <w:rsid w:val="003A0AFF"/>
    <w:rsid w:val="003A0DEE"/>
    <w:rsid w:val="003A0ED2"/>
    <w:rsid w:val="003A1306"/>
    <w:rsid w:val="003A144E"/>
    <w:rsid w:val="003A151B"/>
    <w:rsid w:val="003A1B2D"/>
    <w:rsid w:val="003A1D7F"/>
    <w:rsid w:val="003A1DC5"/>
    <w:rsid w:val="003A1E11"/>
    <w:rsid w:val="003A2109"/>
    <w:rsid w:val="003A2183"/>
    <w:rsid w:val="003A2676"/>
    <w:rsid w:val="003A2B28"/>
    <w:rsid w:val="003A2FFC"/>
    <w:rsid w:val="003A3039"/>
    <w:rsid w:val="003A30C0"/>
    <w:rsid w:val="003A30C5"/>
    <w:rsid w:val="003A3C9F"/>
    <w:rsid w:val="003A3DC5"/>
    <w:rsid w:val="003A3F71"/>
    <w:rsid w:val="003A4152"/>
    <w:rsid w:val="003A43BB"/>
    <w:rsid w:val="003A4900"/>
    <w:rsid w:val="003A4CEC"/>
    <w:rsid w:val="003A5007"/>
    <w:rsid w:val="003A589D"/>
    <w:rsid w:val="003A62B5"/>
    <w:rsid w:val="003A64FE"/>
    <w:rsid w:val="003A657A"/>
    <w:rsid w:val="003A65B7"/>
    <w:rsid w:val="003A6B4B"/>
    <w:rsid w:val="003A6F70"/>
    <w:rsid w:val="003A7056"/>
    <w:rsid w:val="003A781D"/>
    <w:rsid w:val="003A7941"/>
    <w:rsid w:val="003A7C53"/>
    <w:rsid w:val="003A7E05"/>
    <w:rsid w:val="003B03B6"/>
    <w:rsid w:val="003B045A"/>
    <w:rsid w:val="003B052B"/>
    <w:rsid w:val="003B07A8"/>
    <w:rsid w:val="003B0A6B"/>
    <w:rsid w:val="003B0C6E"/>
    <w:rsid w:val="003B0D6A"/>
    <w:rsid w:val="003B137C"/>
    <w:rsid w:val="003B1AE4"/>
    <w:rsid w:val="003B22B0"/>
    <w:rsid w:val="003B22FE"/>
    <w:rsid w:val="003B24EA"/>
    <w:rsid w:val="003B2523"/>
    <w:rsid w:val="003B2968"/>
    <w:rsid w:val="003B2CD3"/>
    <w:rsid w:val="003B2DDC"/>
    <w:rsid w:val="003B2DE7"/>
    <w:rsid w:val="003B3B6A"/>
    <w:rsid w:val="003B3C28"/>
    <w:rsid w:val="003B3CAD"/>
    <w:rsid w:val="003B40F5"/>
    <w:rsid w:val="003B42A6"/>
    <w:rsid w:val="003B4729"/>
    <w:rsid w:val="003B4818"/>
    <w:rsid w:val="003B51C0"/>
    <w:rsid w:val="003B554E"/>
    <w:rsid w:val="003B55E8"/>
    <w:rsid w:val="003B5800"/>
    <w:rsid w:val="003B5829"/>
    <w:rsid w:val="003B5BB7"/>
    <w:rsid w:val="003B6A47"/>
    <w:rsid w:val="003B7178"/>
    <w:rsid w:val="003B7749"/>
    <w:rsid w:val="003B77A5"/>
    <w:rsid w:val="003B7B8D"/>
    <w:rsid w:val="003B7FE0"/>
    <w:rsid w:val="003C0113"/>
    <w:rsid w:val="003C04B3"/>
    <w:rsid w:val="003C0746"/>
    <w:rsid w:val="003C0DF6"/>
    <w:rsid w:val="003C10B7"/>
    <w:rsid w:val="003C128B"/>
    <w:rsid w:val="003C13F4"/>
    <w:rsid w:val="003C1909"/>
    <w:rsid w:val="003C1A63"/>
    <w:rsid w:val="003C2AB3"/>
    <w:rsid w:val="003C3254"/>
    <w:rsid w:val="003C3267"/>
    <w:rsid w:val="003C35D7"/>
    <w:rsid w:val="003C55E5"/>
    <w:rsid w:val="003C5A9C"/>
    <w:rsid w:val="003C5AE3"/>
    <w:rsid w:val="003C5BC1"/>
    <w:rsid w:val="003C6048"/>
    <w:rsid w:val="003C60F8"/>
    <w:rsid w:val="003C6310"/>
    <w:rsid w:val="003C634E"/>
    <w:rsid w:val="003C6DAA"/>
    <w:rsid w:val="003C6DCD"/>
    <w:rsid w:val="003C7248"/>
    <w:rsid w:val="003C73C5"/>
    <w:rsid w:val="003C7B5B"/>
    <w:rsid w:val="003C7EDC"/>
    <w:rsid w:val="003D0145"/>
    <w:rsid w:val="003D01B2"/>
    <w:rsid w:val="003D065E"/>
    <w:rsid w:val="003D099E"/>
    <w:rsid w:val="003D0DA0"/>
    <w:rsid w:val="003D11DC"/>
    <w:rsid w:val="003D1901"/>
    <w:rsid w:val="003D1C4C"/>
    <w:rsid w:val="003D1F51"/>
    <w:rsid w:val="003D2A9E"/>
    <w:rsid w:val="003D3616"/>
    <w:rsid w:val="003D3C0B"/>
    <w:rsid w:val="003D3FFB"/>
    <w:rsid w:val="003D435B"/>
    <w:rsid w:val="003D4F39"/>
    <w:rsid w:val="003D4FC6"/>
    <w:rsid w:val="003D50D1"/>
    <w:rsid w:val="003D53FE"/>
    <w:rsid w:val="003D546C"/>
    <w:rsid w:val="003D5833"/>
    <w:rsid w:val="003D5856"/>
    <w:rsid w:val="003D58ED"/>
    <w:rsid w:val="003D62F6"/>
    <w:rsid w:val="003D6500"/>
    <w:rsid w:val="003D6970"/>
    <w:rsid w:val="003D6B85"/>
    <w:rsid w:val="003D6CF4"/>
    <w:rsid w:val="003D775F"/>
    <w:rsid w:val="003E005D"/>
    <w:rsid w:val="003E00DE"/>
    <w:rsid w:val="003E0182"/>
    <w:rsid w:val="003E02DD"/>
    <w:rsid w:val="003E0712"/>
    <w:rsid w:val="003E0BB7"/>
    <w:rsid w:val="003E0C15"/>
    <w:rsid w:val="003E0E06"/>
    <w:rsid w:val="003E1301"/>
    <w:rsid w:val="003E2330"/>
    <w:rsid w:val="003E23CC"/>
    <w:rsid w:val="003E2631"/>
    <w:rsid w:val="003E2761"/>
    <w:rsid w:val="003E29CF"/>
    <w:rsid w:val="003E2BAA"/>
    <w:rsid w:val="003E3070"/>
    <w:rsid w:val="003E38F0"/>
    <w:rsid w:val="003E3C19"/>
    <w:rsid w:val="003E3FBD"/>
    <w:rsid w:val="003E4EEA"/>
    <w:rsid w:val="003E53A6"/>
    <w:rsid w:val="003E5CE8"/>
    <w:rsid w:val="003E5CFB"/>
    <w:rsid w:val="003E5D15"/>
    <w:rsid w:val="003E65ED"/>
    <w:rsid w:val="003E7A2F"/>
    <w:rsid w:val="003E7EB1"/>
    <w:rsid w:val="003E7FAA"/>
    <w:rsid w:val="003F01CA"/>
    <w:rsid w:val="003F0418"/>
    <w:rsid w:val="003F04A6"/>
    <w:rsid w:val="003F04CE"/>
    <w:rsid w:val="003F0954"/>
    <w:rsid w:val="003F0DC2"/>
    <w:rsid w:val="003F1534"/>
    <w:rsid w:val="003F17A5"/>
    <w:rsid w:val="003F1B05"/>
    <w:rsid w:val="003F1E93"/>
    <w:rsid w:val="003F2683"/>
    <w:rsid w:val="003F2D5E"/>
    <w:rsid w:val="003F42CC"/>
    <w:rsid w:val="003F447F"/>
    <w:rsid w:val="003F44C6"/>
    <w:rsid w:val="003F45D6"/>
    <w:rsid w:val="003F508E"/>
    <w:rsid w:val="003F577B"/>
    <w:rsid w:val="003F5B2F"/>
    <w:rsid w:val="003F6240"/>
    <w:rsid w:val="003F64D6"/>
    <w:rsid w:val="003F6987"/>
    <w:rsid w:val="003F6C14"/>
    <w:rsid w:val="003F7271"/>
    <w:rsid w:val="003F7AB9"/>
    <w:rsid w:val="003F7BA3"/>
    <w:rsid w:val="00400168"/>
    <w:rsid w:val="004003F3"/>
    <w:rsid w:val="004008D3"/>
    <w:rsid w:val="00400D2C"/>
    <w:rsid w:val="00400FD3"/>
    <w:rsid w:val="004011A7"/>
    <w:rsid w:val="00401A78"/>
    <w:rsid w:val="00401CEC"/>
    <w:rsid w:val="00401E07"/>
    <w:rsid w:val="00401EDE"/>
    <w:rsid w:val="004022CB"/>
    <w:rsid w:val="0040280C"/>
    <w:rsid w:val="00402813"/>
    <w:rsid w:val="00402A0B"/>
    <w:rsid w:val="004032B6"/>
    <w:rsid w:val="00403839"/>
    <w:rsid w:val="00403918"/>
    <w:rsid w:val="00403A89"/>
    <w:rsid w:val="00403B97"/>
    <w:rsid w:val="00403CD1"/>
    <w:rsid w:val="00403F76"/>
    <w:rsid w:val="004041BA"/>
    <w:rsid w:val="00404454"/>
    <w:rsid w:val="00404659"/>
    <w:rsid w:val="0040465C"/>
    <w:rsid w:val="00404BF0"/>
    <w:rsid w:val="00404C31"/>
    <w:rsid w:val="00404F41"/>
    <w:rsid w:val="004051B5"/>
    <w:rsid w:val="00405A24"/>
    <w:rsid w:val="00405ABA"/>
    <w:rsid w:val="00405BDB"/>
    <w:rsid w:val="00406302"/>
    <w:rsid w:val="0040646C"/>
    <w:rsid w:val="00406615"/>
    <w:rsid w:val="00406869"/>
    <w:rsid w:val="00406C22"/>
    <w:rsid w:val="00407C18"/>
    <w:rsid w:val="004107C4"/>
    <w:rsid w:val="00411006"/>
    <w:rsid w:val="00411456"/>
    <w:rsid w:val="004114FE"/>
    <w:rsid w:val="0041194E"/>
    <w:rsid w:val="00411B0B"/>
    <w:rsid w:val="00411BC0"/>
    <w:rsid w:val="00411F91"/>
    <w:rsid w:val="004126D6"/>
    <w:rsid w:val="004126F0"/>
    <w:rsid w:val="00412BED"/>
    <w:rsid w:val="00412F09"/>
    <w:rsid w:val="004130CC"/>
    <w:rsid w:val="004131B6"/>
    <w:rsid w:val="004134BC"/>
    <w:rsid w:val="004137C9"/>
    <w:rsid w:val="00413A43"/>
    <w:rsid w:val="00413A8A"/>
    <w:rsid w:val="00413BB9"/>
    <w:rsid w:val="00413C07"/>
    <w:rsid w:val="00414079"/>
    <w:rsid w:val="0041461B"/>
    <w:rsid w:val="0041470E"/>
    <w:rsid w:val="00414BCC"/>
    <w:rsid w:val="00414FF1"/>
    <w:rsid w:val="00415AC0"/>
    <w:rsid w:val="00415B38"/>
    <w:rsid w:val="0041631A"/>
    <w:rsid w:val="0041654E"/>
    <w:rsid w:val="0041669E"/>
    <w:rsid w:val="00416798"/>
    <w:rsid w:val="00416C5F"/>
    <w:rsid w:val="00420925"/>
    <w:rsid w:val="00420978"/>
    <w:rsid w:val="0042098C"/>
    <w:rsid w:val="00420E63"/>
    <w:rsid w:val="00420F51"/>
    <w:rsid w:val="00421A19"/>
    <w:rsid w:val="00421C37"/>
    <w:rsid w:val="00422548"/>
    <w:rsid w:val="00422808"/>
    <w:rsid w:val="00422B07"/>
    <w:rsid w:val="00422B7F"/>
    <w:rsid w:val="00422F33"/>
    <w:rsid w:val="0042337E"/>
    <w:rsid w:val="00423571"/>
    <w:rsid w:val="00423990"/>
    <w:rsid w:val="00423B1F"/>
    <w:rsid w:val="00424AA7"/>
    <w:rsid w:val="00424D0D"/>
    <w:rsid w:val="00424D7F"/>
    <w:rsid w:val="004250F9"/>
    <w:rsid w:val="00425236"/>
    <w:rsid w:val="00425D93"/>
    <w:rsid w:val="00426496"/>
    <w:rsid w:val="00426946"/>
    <w:rsid w:val="00426EA0"/>
    <w:rsid w:val="00427175"/>
    <w:rsid w:val="004271F5"/>
    <w:rsid w:val="0042725D"/>
    <w:rsid w:val="004274B0"/>
    <w:rsid w:val="004275A6"/>
    <w:rsid w:val="004275E4"/>
    <w:rsid w:val="00427617"/>
    <w:rsid w:val="0042768C"/>
    <w:rsid w:val="00427A1D"/>
    <w:rsid w:val="004303EF"/>
    <w:rsid w:val="0043049B"/>
    <w:rsid w:val="004308DF"/>
    <w:rsid w:val="00430928"/>
    <w:rsid w:val="00431F3E"/>
    <w:rsid w:val="0043202D"/>
    <w:rsid w:val="00432A38"/>
    <w:rsid w:val="00433237"/>
    <w:rsid w:val="004341D6"/>
    <w:rsid w:val="00434281"/>
    <w:rsid w:val="0043458D"/>
    <w:rsid w:val="0043489B"/>
    <w:rsid w:val="004349D7"/>
    <w:rsid w:val="004359C0"/>
    <w:rsid w:val="00435B1E"/>
    <w:rsid w:val="00435D03"/>
    <w:rsid w:val="0043625A"/>
    <w:rsid w:val="0043629C"/>
    <w:rsid w:val="0043650C"/>
    <w:rsid w:val="00436F6E"/>
    <w:rsid w:val="004372ED"/>
    <w:rsid w:val="00437321"/>
    <w:rsid w:val="00437B74"/>
    <w:rsid w:val="00437DC1"/>
    <w:rsid w:val="00437E16"/>
    <w:rsid w:val="00437EBE"/>
    <w:rsid w:val="00440762"/>
    <w:rsid w:val="004409AC"/>
    <w:rsid w:val="00441C83"/>
    <w:rsid w:val="004420B5"/>
    <w:rsid w:val="004420E6"/>
    <w:rsid w:val="00442AAF"/>
    <w:rsid w:val="00442C55"/>
    <w:rsid w:val="00442F1F"/>
    <w:rsid w:val="004435B6"/>
    <w:rsid w:val="0044391F"/>
    <w:rsid w:val="00443A17"/>
    <w:rsid w:val="00444062"/>
    <w:rsid w:val="004440AB"/>
    <w:rsid w:val="00444675"/>
    <w:rsid w:val="004448E5"/>
    <w:rsid w:val="00444F09"/>
    <w:rsid w:val="00445EAF"/>
    <w:rsid w:val="004468C1"/>
    <w:rsid w:val="00446C52"/>
    <w:rsid w:val="00447071"/>
    <w:rsid w:val="0044784B"/>
    <w:rsid w:val="0044788E"/>
    <w:rsid w:val="00447B3D"/>
    <w:rsid w:val="00447BC3"/>
    <w:rsid w:val="00447CF1"/>
    <w:rsid w:val="00447D88"/>
    <w:rsid w:val="00447E85"/>
    <w:rsid w:val="00447F30"/>
    <w:rsid w:val="004503FF"/>
    <w:rsid w:val="0045040B"/>
    <w:rsid w:val="004505C0"/>
    <w:rsid w:val="00450BA9"/>
    <w:rsid w:val="00450EB2"/>
    <w:rsid w:val="00451331"/>
    <w:rsid w:val="00451B2D"/>
    <w:rsid w:val="00451D05"/>
    <w:rsid w:val="00451E03"/>
    <w:rsid w:val="00451E2F"/>
    <w:rsid w:val="00452352"/>
    <w:rsid w:val="0045278D"/>
    <w:rsid w:val="00452B9F"/>
    <w:rsid w:val="00452C3A"/>
    <w:rsid w:val="00453425"/>
    <w:rsid w:val="00453B6D"/>
    <w:rsid w:val="00453F65"/>
    <w:rsid w:val="00454138"/>
    <w:rsid w:val="00454277"/>
    <w:rsid w:val="0045431B"/>
    <w:rsid w:val="00454AD2"/>
    <w:rsid w:val="00454C8E"/>
    <w:rsid w:val="00454F5E"/>
    <w:rsid w:val="004552B2"/>
    <w:rsid w:val="004553B6"/>
    <w:rsid w:val="004555A4"/>
    <w:rsid w:val="00455711"/>
    <w:rsid w:val="00455864"/>
    <w:rsid w:val="00455A19"/>
    <w:rsid w:val="0045628B"/>
    <w:rsid w:val="004564CA"/>
    <w:rsid w:val="00456534"/>
    <w:rsid w:val="004566E2"/>
    <w:rsid w:val="00456710"/>
    <w:rsid w:val="00456C93"/>
    <w:rsid w:val="004577C8"/>
    <w:rsid w:val="0045793A"/>
    <w:rsid w:val="004602A0"/>
    <w:rsid w:val="00460301"/>
    <w:rsid w:val="004603C7"/>
    <w:rsid w:val="00460C93"/>
    <w:rsid w:val="00460CD3"/>
    <w:rsid w:val="00460E06"/>
    <w:rsid w:val="00461150"/>
    <w:rsid w:val="004619EF"/>
    <w:rsid w:val="0046240D"/>
    <w:rsid w:val="0046265E"/>
    <w:rsid w:val="004629C5"/>
    <w:rsid w:val="00462D00"/>
    <w:rsid w:val="00463862"/>
    <w:rsid w:val="00464148"/>
    <w:rsid w:val="004657B6"/>
    <w:rsid w:val="004658F6"/>
    <w:rsid w:val="00466641"/>
    <w:rsid w:val="004666F3"/>
    <w:rsid w:val="00466A8C"/>
    <w:rsid w:val="00466C01"/>
    <w:rsid w:val="00466F97"/>
    <w:rsid w:val="00467376"/>
    <w:rsid w:val="00467892"/>
    <w:rsid w:val="00467D1F"/>
    <w:rsid w:val="004708AE"/>
    <w:rsid w:val="00471507"/>
    <w:rsid w:val="004715C5"/>
    <w:rsid w:val="00471766"/>
    <w:rsid w:val="00471F74"/>
    <w:rsid w:val="00472072"/>
    <w:rsid w:val="00472247"/>
    <w:rsid w:val="00472BB1"/>
    <w:rsid w:val="00472C53"/>
    <w:rsid w:val="00472E89"/>
    <w:rsid w:val="00473193"/>
    <w:rsid w:val="00473536"/>
    <w:rsid w:val="0047356A"/>
    <w:rsid w:val="00473A0B"/>
    <w:rsid w:val="00473F4C"/>
    <w:rsid w:val="00474320"/>
    <w:rsid w:val="004748C2"/>
    <w:rsid w:val="00475796"/>
    <w:rsid w:val="004758F6"/>
    <w:rsid w:val="00475E27"/>
    <w:rsid w:val="004760FB"/>
    <w:rsid w:val="00476326"/>
    <w:rsid w:val="00476BE9"/>
    <w:rsid w:val="00476C99"/>
    <w:rsid w:val="00476FA8"/>
    <w:rsid w:val="0047704A"/>
    <w:rsid w:val="00477752"/>
    <w:rsid w:val="004778EC"/>
    <w:rsid w:val="004779BC"/>
    <w:rsid w:val="00477A17"/>
    <w:rsid w:val="004808ED"/>
    <w:rsid w:val="00480F82"/>
    <w:rsid w:val="0048128B"/>
    <w:rsid w:val="00481844"/>
    <w:rsid w:val="004818B1"/>
    <w:rsid w:val="00481934"/>
    <w:rsid w:val="004819A7"/>
    <w:rsid w:val="00481A26"/>
    <w:rsid w:val="00481D91"/>
    <w:rsid w:val="0048274C"/>
    <w:rsid w:val="00482870"/>
    <w:rsid w:val="00482CCB"/>
    <w:rsid w:val="00482DED"/>
    <w:rsid w:val="00482F68"/>
    <w:rsid w:val="00483DC2"/>
    <w:rsid w:val="0048481C"/>
    <w:rsid w:val="004848C1"/>
    <w:rsid w:val="004862A5"/>
    <w:rsid w:val="00486340"/>
    <w:rsid w:val="00486397"/>
    <w:rsid w:val="004863F2"/>
    <w:rsid w:val="00490378"/>
    <w:rsid w:val="00490826"/>
    <w:rsid w:val="00490CAA"/>
    <w:rsid w:val="00491363"/>
    <w:rsid w:val="00491BDD"/>
    <w:rsid w:val="00491FC6"/>
    <w:rsid w:val="00492155"/>
    <w:rsid w:val="004922D4"/>
    <w:rsid w:val="00492546"/>
    <w:rsid w:val="00492A0E"/>
    <w:rsid w:val="00492B51"/>
    <w:rsid w:val="00492B70"/>
    <w:rsid w:val="00492BBF"/>
    <w:rsid w:val="00493127"/>
    <w:rsid w:val="004935F7"/>
    <w:rsid w:val="00493695"/>
    <w:rsid w:val="00493A05"/>
    <w:rsid w:val="00493BB4"/>
    <w:rsid w:val="00493E79"/>
    <w:rsid w:val="004941D1"/>
    <w:rsid w:val="0049442D"/>
    <w:rsid w:val="0049467C"/>
    <w:rsid w:val="00494E43"/>
    <w:rsid w:val="00495256"/>
    <w:rsid w:val="00495771"/>
    <w:rsid w:val="00495A43"/>
    <w:rsid w:val="0049602A"/>
    <w:rsid w:val="00496235"/>
    <w:rsid w:val="0049653F"/>
    <w:rsid w:val="00496557"/>
    <w:rsid w:val="00496668"/>
    <w:rsid w:val="00497DDC"/>
    <w:rsid w:val="004A02EC"/>
    <w:rsid w:val="004A05F9"/>
    <w:rsid w:val="004A06B9"/>
    <w:rsid w:val="004A08B6"/>
    <w:rsid w:val="004A116B"/>
    <w:rsid w:val="004A1795"/>
    <w:rsid w:val="004A18D4"/>
    <w:rsid w:val="004A198E"/>
    <w:rsid w:val="004A1D03"/>
    <w:rsid w:val="004A2194"/>
    <w:rsid w:val="004A2397"/>
    <w:rsid w:val="004A2DAB"/>
    <w:rsid w:val="004A31C0"/>
    <w:rsid w:val="004A36CF"/>
    <w:rsid w:val="004A40D0"/>
    <w:rsid w:val="004A419D"/>
    <w:rsid w:val="004A42C9"/>
    <w:rsid w:val="004A4F19"/>
    <w:rsid w:val="004A528D"/>
    <w:rsid w:val="004A5667"/>
    <w:rsid w:val="004A590A"/>
    <w:rsid w:val="004A5B14"/>
    <w:rsid w:val="004A5D61"/>
    <w:rsid w:val="004A6003"/>
    <w:rsid w:val="004A60E2"/>
    <w:rsid w:val="004A6828"/>
    <w:rsid w:val="004A6837"/>
    <w:rsid w:val="004A6B2F"/>
    <w:rsid w:val="004A74BE"/>
    <w:rsid w:val="004A7897"/>
    <w:rsid w:val="004B001F"/>
    <w:rsid w:val="004B0399"/>
    <w:rsid w:val="004B0C62"/>
    <w:rsid w:val="004B15B6"/>
    <w:rsid w:val="004B1716"/>
    <w:rsid w:val="004B1C2E"/>
    <w:rsid w:val="004B2436"/>
    <w:rsid w:val="004B2FEB"/>
    <w:rsid w:val="004B32DD"/>
    <w:rsid w:val="004B33AE"/>
    <w:rsid w:val="004B36D5"/>
    <w:rsid w:val="004B3B7B"/>
    <w:rsid w:val="004B3BA5"/>
    <w:rsid w:val="004B3DB7"/>
    <w:rsid w:val="004B4290"/>
    <w:rsid w:val="004B4DAA"/>
    <w:rsid w:val="004B4E37"/>
    <w:rsid w:val="004B540F"/>
    <w:rsid w:val="004B56C8"/>
    <w:rsid w:val="004B5705"/>
    <w:rsid w:val="004B59A5"/>
    <w:rsid w:val="004B643A"/>
    <w:rsid w:val="004B6467"/>
    <w:rsid w:val="004B6992"/>
    <w:rsid w:val="004B6C44"/>
    <w:rsid w:val="004B70D2"/>
    <w:rsid w:val="004B7433"/>
    <w:rsid w:val="004B7832"/>
    <w:rsid w:val="004B7CBD"/>
    <w:rsid w:val="004B7E41"/>
    <w:rsid w:val="004C0614"/>
    <w:rsid w:val="004C132F"/>
    <w:rsid w:val="004C13EC"/>
    <w:rsid w:val="004C16E6"/>
    <w:rsid w:val="004C2210"/>
    <w:rsid w:val="004C24EA"/>
    <w:rsid w:val="004C26C0"/>
    <w:rsid w:val="004C28F2"/>
    <w:rsid w:val="004C2EC0"/>
    <w:rsid w:val="004C3469"/>
    <w:rsid w:val="004C34AC"/>
    <w:rsid w:val="004C37D9"/>
    <w:rsid w:val="004C39E2"/>
    <w:rsid w:val="004C3DDA"/>
    <w:rsid w:val="004C4542"/>
    <w:rsid w:val="004C4903"/>
    <w:rsid w:val="004C4D6F"/>
    <w:rsid w:val="004C4F9D"/>
    <w:rsid w:val="004C5118"/>
    <w:rsid w:val="004C5530"/>
    <w:rsid w:val="004C5D4A"/>
    <w:rsid w:val="004C5EDB"/>
    <w:rsid w:val="004C6712"/>
    <w:rsid w:val="004C6871"/>
    <w:rsid w:val="004C6873"/>
    <w:rsid w:val="004C70CB"/>
    <w:rsid w:val="004C79D0"/>
    <w:rsid w:val="004C7CB2"/>
    <w:rsid w:val="004C7CBB"/>
    <w:rsid w:val="004C7F98"/>
    <w:rsid w:val="004D0053"/>
    <w:rsid w:val="004D048A"/>
    <w:rsid w:val="004D04D7"/>
    <w:rsid w:val="004D051D"/>
    <w:rsid w:val="004D0CBD"/>
    <w:rsid w:val="004D112D"/>
    <w:rsid w:val="004D11EC"/>
    <w:rsid w:val="004D1731"/>
    <w:rsid w:val="004D190B"/>
    <w:rsid w:val="004D1D78"/>
    <w:rsid w:val="004D2004"/>
    <w:rsid w:val="004D26BA"/>
    <w:rsid w:val="004D33B6"/>
    <w:rsid w:val="004D3689"/>
    <w:rsid w:val="004D38AE"/>
    <w:rsid w:val="004D4070"/>
    <w:rsid w:val="004D45BD"/>
    <w:rsid w:val="004D46DC"/>
    <w:rsid w:val="004D4C0A"/>
    <w:rsid w:val="004D4F87"/>
    <w:rsid w:val="004D56AF"/>
    <w:rsid w:val="004D56B4"/>
    <w:rsid w:val="004D57FC"/>
    <w:rsid w:val="004D5B39"/>
    <w:rsid w:val="004D6182"/>
    <w:rsid w:val="004D6379"/>
    <w:rsid w:val="004D63D4"/>
    <w:rsid w:val="004D67D0"/>
    <w:rsid w:val="004D6E48"/>
    <w:rsid w:val="004D736A"/>
    <w:rsid w:val="004D7A21"/>
    <w:rsid w:val="004D7C58"/>
    <w:rsid w:val="004D7F84"/>
    <w:rsid w:val="004E095F"/>
    <w:rsid w:val="004E106D"/>
    <w:rsid w:val="004E1765"/>
    <w:rsid w:val="004E1C59"/>
    <w:rsid w:val="004E1E48"/>
    <w:rsid w:val="004E2072"/>
    <w:rsid w:val="004E23A0"/>
    <w:rsid w:val="004E2513"/>
    <w:rsid w:val="004E264D"/>
    <w:rsid w:val="004E29B4"/>
    <w:rsid w:val="004E3463"/>
    <w:rsid w:val="004E3BDE"/>
    <w:rsid w:val="004E40D7"/>
    <w:rsid w:val="004E4397"/>
    <w:rsid w:val="004E4E24"/>
    <w:rsid w:val="004E4F85"/>
    <w:rsid w:val="004E5071"/>
    <w:rsid w:val="004E5362"/>
    <w:rsid w:val="004E61CD"/>
    <w:rsid w:val="004E6225"/>
    <w:rsid w:val="004E66D9"/>
    <w:rsid w:val="004E6BA3"/>
    <w:rsid w:val="004E6F8C"/>
    <w:rsid w:val="004E7398"/>
    <w:rsid w:val="004E77E5"/>
    <w:rsid w:val="004E7B4D"/>
    <w:rsid w:val="004E7BBE"/>
    <w:rsid w:val="004E7D04"/>
    <w:rsid w:val="004E7EE8"/>
    <w:rsid w:val="004F0475"/>
    <w:rsid w:val="004F060E"/>
    <w:rsid w:val="004F0E75"/>
    <w:rsid w:val="004F0EE9"/>
    <w:rsid w:val="004F1361"/>
    <w:rsid w:val="004F1512"/>
    <w:rsid w:val="004F1709"/>
    <w:rsid w:val="004F190B"/>
    <w:rsid w:val="004F1BB0"/>
    <w:rsid w:val="004F2A10"/>
    <w:rsid w:val="004F2D1C"/>
    <w:rsid w:val="004F336F"/>
    <w:rsid w:val="004F3389"/>
    <w:rsid w:val="004F44A6"/>
    <w:rsid w:val="004F4C75"/>
    <w:rsid w:val="004F5754"/>
    <w:rsid w:val="004F6838"/>
    <w:rsid w:val="004F6EF2"/>
    <w:rsid w:val="004F7121"/>
    <w:rsid w:val="004F7287"/>
    <w:rsid w:val="004F7463"/>
    <w:rsid w:val="004F774B"/>
    <w:rsid w:val="004F7920"/>
    <w:rsid w:val="004F7B54"/>
    <w:rsid w:val="004F7EC0"/>
    <w:rsid w:val="00500025"/>
    <w:rsid w:val="005008E3"/>
    <w:rsid w:val="00500D1B"/>
    <w:rsid w:val="005016D0"/>
    <w:rsid w:val="00501AA6"/>
    <w:rsid w:val="00501B50"/>
    <w:rsid w:val="00501CB3"/>
    <w:rsid w:val="005020DF"/>
    <w:rsid w:val="00502991"/>
    <w:rsid w:val="00502B84"/>
    <w:rsid w:val="00502B87"/>
    <w:rsid w:val="005038F8"/>
    <w:rsid w:val="00503B33"/>
    <w:rsid w:val="00503F17"/>
    <w:rsid w:val="0050417F"/>
    <w:rsid w:val="0050458A"/>
    <w:rsid w:val="00504817"/>
    <w:rsid w:val="0050493F"/>
    <w:rsid w:val="005049AB"/>
    <w:rsid w:val="005050A0"/>
    <w:rsid w:val="00505C4C"/>
    <w:rsid w:val="0050651B"/>
    <w:rsid w:val="0050676D"/>
    <w:rsid w:val="0050698C"/>
    <w:rsid w:val="00506AF5"/>
    <w:rsid w:val="00507193"/>
    <w:rsid w:val="00507200"/>
    <w:rsid w:val="0050747D"/>
    <w:rsid w:val="00507503"/>
    <w:rsid w:val="00507945"/>
    <w:rsid w:val="0051043D"/>
    <w:rsid w:val="005109AC"/>
    <w:rsid w:val="00510B4C"/>
    <w:rsid w:val="00510DC1"/>
    <w:rsid w:val="00511259"/>
    <w:rsid w:val="0051128C"/>
    <w:rsid w:val="005120F8"/>
    <w:rsid w:val="00512520"/>
    <w:rsid w:val="00512582"/>
    <w:rsid w:val="00512704"/>
    <w:rsid w:val="00512CA6"/>
    <w:rsid w:val="00512CB7"/>
    <w:rsid w:val="00512F8C"/>
    <w:rsid w:val="005135CA"/>
    <w:rsid w:val="005141B3"/>
    <w:rsid w:val="00514509"/>
    <w:rsid w:val="005146E1"/>
    <w:rsid w:val="005148F4"/>
    <w:rsid w:val="00514918"/>
    <w:rsid w:val="00514BDB"/>
    <w:rsid w:val="00514E6E"/>
    <w:rsid w:val="00516B66"/>
    <w:rsid w:val="00516D26"/>
    <w:rsid w:val="00516FCA"/>
    <w:rsid w:val="005177B0"/>
    <w:rsid w:val="0051795F"/>
    <w:rsid w:val="00517B25"/>
    <w:rsid w:val="005200E2"/>
    <w:rsid w:val="0052015F"/>
    <w:rsid w:val="00520366"/>
    <w:rsid w:val="00520467"/>
    <w:rsid w:val="005204CB"/>
    <w:rsid w:val="00520944"/>
    <w:rsid w:val="00520AE3"/>
    <w:rsid w:val="00520C59"/>
    <w:rsid w:val="005210C9"/>
    <w:rsid w:val="00521167"/>
    <w:rsid w:val="005211A9"/>
    <w:rsid w:val="0052134C"/>
    <w:rsid w:val="00521424"/>
    <w:rsid w:val="005215D6"/>
    <w:rsid w:val="0052167D"/>
    <w:rsid w:val="00521964"/>
    <w:rsid w:val="00521BD2"/>
    <w:rsid w:val="0052201E"/>
    <w:rsid w:val="0052287C"/>
    <w:rsid w:val="00522C33"/>
    <w:rsid w:val="00523235"/>
    <w:rsid w:val="00523899"/>
    <w:rsid w:val="00523A46"/>
    <w:rsid w:val="00523BAD"/>
    <w:rsid w:val="00524286"/>
    <w:rsid w:val="00524905"/>
    <w:rsid w:val="0052498C"/>
    <w:rsid w:val="00524AF3"/>
    <w:rsid w:val="00524E9A"/>
    <w:rsid w:val="00524F6C"/>
    <w:rsid w:val="00525247"/>
    <w:rsid w:val="00525357"/>
    <w:rsid w:val="005254E6"/>
    <w:rsid w:val="00525546"/>
    <w:rsid w:val="00526061"/>
    <w:rsid w:val="00526C29"/>
    <w:rsid w:val="00526C42"/>
    <w:rsid w:val="00526FFC"/>
    <w:rsid w:val="00527674"/>
    <w:rsid w:val="00527FF9"/>
    <w:rsid w:val="005300E3"/>
    <w:rsid w:val="00531460"/>
    <w:rsid w:val="005316D1"/>
    <w:rsid w:val="00531C31"/>
    <w:rsid w:val="00531EA8"/>
    <w:rsid w:val="005320CB"/>
    <w:rsid w:val="00532115"/>
    <w:rsid w:val="00532305"/>
    <w:rsid w:val="00532BA5"/>
    <w:rsid w:val="00533B77"/>
    <w:rsid w:val="005340ED"/>
    <w:rsid w:val="005342BB"/>
    <w:rsid w:val="005342FB"/>
    <w:rsid w:val="005345F0"/>
    <w:rsid w:val="005348C7"/>
    <w:rsid w:val="00534BF6"/>
    <w:rsid w:val="00534D0F"/>
    <w:rsid w:val="00534FBB"/>
    <w:rsid w:val="00535072"/>
    <w:rsid w:val="00535156"/>
    <w:rsid w:val="00535762"/>
    <w:rsid w:val="00536019"/>
    <w:rsid w:val="005360A2"/>
    <w:rsid w:val="005360D8"/>
    <w:rsid w:val="0053674D"/>
    <w:rsid w:val="0053782A"/>
    <w:rsid w:val="00537FC2"/>
    <w:rsid w:val="005403B7"/>
    <w:rsid w:val="00540424"/>
    <w:rsid w:val="0054055B"/>
    <w:rsid w:val="00540576"/>
    <w:rsid w:val="0054099A"/>
    <w:rsid w:val="00540FF0"/>
    <w:rsid w:val="005414D7"/>
    <w:rsid w:val="00541DD7"/>
    <w:rsid w:val="005421D3"/>
    <w:rsid w:val="0054226D"/>
    <w:rsid w:val="00543235"/>
    <w:rsid w:val="00543910"/>
    <w:rsid w:val="00543C9A"/>
    <w:rsid w:val="00543DFD"/>
    <w:rsid w:val="005445CA"/>
    <w:rsid w:val="00544B23"/>
    <w:rsid w:val="00544C40"/>
    <w:rsid w:val="0054510E"/>
    <w:rsid w:val="00545111"/>
    <w:rsid w:val="00545188"/>
    <w:rsid w:val="005452C5"/>
    <w:rsid w:val="00545F20"/>
    <w:rsid w:val="00545F61"/>
    <w:rsid w:val="0054623C"/>
    <w:rsid w:val="005468CB"/>
    <w:rsid w:val="005468F6"/>
    <w:rsid w:val="00546B74"/>
    <w:rsid w:val="00546C38"/>
    <w:rsid w:val="00546CA5"/>
    <w:rsid w:val="00546E5C"/>
    <w:rsid w:val="005472E3"/>
    <w:rsid w:val="0054745E"/>
    <w:rsid w:val="005478CE"/>
    <w:rsid w:val="00547D39"/>
    <w:rsid w:val="00547F0D"/>
    <w:rsid w:val="00547F76"/>
    <w:rsid w:val="00550393"/>
    <w:rsid w:val="00550A11"/>
    <w:rsid w:val="00550A8D"/>
    <w:rsid w:val="00550CED"/>
    <w:rsid w:val="00552204"/>
    <w:rsid w:val="00552351"/>
    <w:rsid w:val="005536FF"/>
    <w:rsid w:val="005538A4"/>
    <w:rsid w:val="00553D64"/>
    <w:rsid w:val="0055448D"/>
    <w:rsid w:val="005545B9"/>
    <w:rsid w:val="00554671"/>
    <w:rsid w:val="005551BD"/>
    <w:rsid w:val="00555287"/>
    <w:rsid w:val="00555338"/>
    <w:rsid w:val="005553A7"/>
    <w:rsid w:val="0055574B"/>
    <w:rsid w:val="005557B2"/>
    <w:rsid w:val="00555B1F"/>
    <w:rsid w:val="00555C71"/>
    <w:rsid w:val="00555D2F"/>
    <w:rsid w:val="00555FFB"/>
    <w:rsid w:val="005565E6"/>
    <w:rsid w:val="00556A2F"/>
    <w:rsid w:val="00557444"/>
    <w:rsid w:val="005574CE"/>
    <w:rsid w:val="00557AC3"/>
    <w:rsid w:val="00557E24"/>
    <w:rsid w:val="0056011B"/>
    <w:rsid w:val="0056011C"/>
    <w:rsid w:val="00560566"/>
    <w:rsid w:val="005610CC"/>
    <w:rsid w:val="00561731"/>
    <w:rsid w:val="00561BDF"/>
    <w:rsid w:val="00561DDB"/>
    <w:rsid w:val="00561E91"/>
    <w:rsid w:val="005625CE"/>
    <w:rsid w:val="005628CF"/>
    <w:rsid w:val="00563167"/>
    <w:rsid w:val="0056373F"/>
    <w:rsid w:val="00564117"/>
    <w:rsid w:val="0056413B"/>
    <w:rsid w:val="00564457"/>
    <w:rsid w:val="00564888"/>
    <w:rsid w:val="005648BE"/>
    <w:rsid w:val="00564A6D"/>
    <w:rsid w:val="00564C0B"/>
    <w:rsid w:val="00565068"/>
    <w:rsid w:val="00565181"/>
    <w:rsid w:val="0056545B"/>
    <w:rsid w:val="00565C82"/>
    <w:rsid w:val="005662EB"/>
    <w:rsid w:val="00566692"/>
    <w:rsid w:val="00566C65"/>
    <w:rsid w:val="00566D04"/>
    <w:rsid w:val="00566E95"/>
    <w:rsid w:val="005674B8"/>
    <w:rsid w:val="005679DB"/>
    <w:rsid w:val="00567D65"/>
    <w:rsid w:val="00567E07"/>
    <w:rsid w:val="00570697"/>
    <w:rsid w:val="00570C23"/>
    <w:rsid w:val="00570F43"/>
    <w:rsid w:val="005711C3"/>
    <w:rsid w:val="005713C9"/>
    <w:rsid w:val="0057159E"/>
    <w:rsid w:val="00572EA2"/>
    <w:rsid w:val="005732CD"/>
    <w:rsid w:val="00573515"/>
    <w:rsid w:val="005736AE"/>
    <w:rsid w:val="005739EF"/>
    <w:rsid w:val="00573B8B"/>
    <w:rsid w:val="00573C07"/>
    <w:rsid w:val="00573F16"/>
    <w:rsid w:val="005747CF"/>
    <w:rsid w:val="005750BF"/>
    <w:rsid w:val="0057528A"/>
    <w:rsid w:val="00575B14"/>
    <w:rsid w:val="00575B8A"/>
    <w:rsid w:val="005761CF"/>
    <w:rsid w:val="00576215"/>
    <w:rsid w:val="00576DC9"/>
    <w:rsid w:val="005773AA"/>
    <w:rsid w:val="005773C5"/>
    <w:rsid w:val="00577AA4"/>
    <w:rsid w:val="00580053"/>
    <w:rsid w:val="005800D2"/>
    <w:rsid w:val="005809C6"/>
    <w:rsid w:val="00580C4F"/>
    <w:rsid w:val="005810A4"/>
    <w:rsid w:val="005814E0"/>
    <w:rsid w:val="005824BA"/>
    <w:rsid w:val="00582B65"/>
    <w:rsid w:val="00583360"/>
    <w:rsid w:val="005833B7"/>
    <w:rsid w:val="0058385D"/>
    <w:rsid w:val="00583F74"/>
    <w:rsid w:val="005867AD"/>
    <w:rsid w:val="005869A0"/>
    <w:rsid w:val="00586C69"/>
    <w:rsid w:val="00587287"/>
    <w:rsid w:val="00587558"/>
    <w:rsid w:val="00587610"/>
    <w:rsid w:val="0058761F"/>
    <w:rsid w:val="005877C1"/>
    <w:rsid w:val="00587ED9"/>
    <w:rsid w:val="0059020D"/>
    <w:rsid w:val="0059077C"/>
    <w:rsid w:val="005909C7"/>
    <w:rsid w:val="005912ED"/>
    <w:rsid w:val="00591AF9"/>
    <w:rsid w:val="00592288"/>
    <w:rsid w:val="005923C8"/>
    <w:rsid w:val="00592594"/>
    <w:rsid w:val="00592831"/>
    <w:rsid w:val="00592A61"/>
    <w:rsid w:val="0059368F"/>
    <w:rsid w:val="005937F7"/>
    <w:rsid w:val="0059395B"/>
    <w:rsid w:val="00593EF3"/>
    <w:rsid w:val="00593F3E"/>
    <w:rsid w:val="005940A2"/>
    <w:rsid w:val="005943A9"/>
    <w:rsid w:val="00594C72"/>
    <w:rsid w:val="00594CAF"/>
    <w:rsid w:val="005950E0"/>
    <w:rsid w:val="0059515E"/>
    <w:rsid w:val="00595301"/>
    <w:rsid w:val="00595BA6"/>
    <w:rsid w:val="00595CA5"/>
    <w:rsid w:val="00595CA9"/>
    <w:rsid w:val="00595D74"/>
    <w:rsid w:val="00595FB9"/>
    <w:rsid w:val="005960D5"/>
    <w:rsid w:val="00596C51"/>
    <w:rsid w:val="0059769D"/>
    <w:rsid w:val="0059794F"/>
    <w:rsid w:val="00597D51"/>
    <w:rsid w:val="00597FCC"/>
    <w:rsid w:val="005A0497"/>
    <w:rsid w:val="005A04A8"/>
    <w:rsid w:val="005A0FBD"/>
    <w:rsid w:val="005A1024"/>
    <w:rsid w:val="005A15AA"/>
    <w:rsid w:val="005A16F1"/>
    <w:rsid w:val="005A2177"/>
    <w:rsid w:val="005A30C8"/>
    <w:rsid w:val="005A30DB"/>
    <w:rsid w:val="005A313A"/>
    <w:rsid w:val="005A32DC"/>
    <w:rsid w:val="005A358A"/>
    <w:rsid w:val="005A35B9"/>
    <w:rsid w:val="005A395B"/>
    <w:rsid w:val="005A3DFA"/>
    <w:rsid w:val="005A45DF"/>
    <w:rsid w:val="005A4780"/>
    <w:rsid w:val="005A4AD6"/>
    <w:rsid w:val="005A4CFA"/>
    <w:rsid w:val="005A562C"/>
    <w:rsid w:val="005A5F49"/>
    <w:rsid w:val="005A6071"/>
    <w:rsid w:val="005A661E"/>
    <w:rsid w:val="005A6CEF"/>
    <w:rsid w:val="005A6F9D"/>
    <w:rsid w:val="005A6FCB"/>
    <w:rsid w:val="005A7189"/>
    <w:rsid w:val="005A718E"/>
    <w:rsid w:val="005A71EB"/>
    <w:rsid w:val="005A7266"/>
    <w:rsid w:val="005A772E"/>
    <w:rsid w:val="005A7B36"/>
    <w:rsid w:val="005A7C7F"/>
    <w:rsid w:val="005A7E30"/>
    <w:rsid w:val="005B0217"/>
    <w:rsid w:val="005B0523"/>
    <w:rsid w:val="005B06C7"/>
    <w:rsid w:val="005B107B"/>
    <w:rsid w:val="005B12DC"/>
    <w:rsid w:val="005B1426"/>
    <w:rsid w:val="005B15CA"/>
    <w:rsid w:val="005B17D8"/>
    <w:rsid w:val="005B1EC5"/>
    <w:rsid w:val="005B2707"/>
    <w:rsid w:val="005B278F"/>
    <w:rsid w:val="005B2A30"/>
    <w:rsid w:val="005B2D34"/>
    <w:rsid w:val="005B2D57"/>
    <w:rsid w:val="005B311E"/>
    <w:rsid w:val="005B35D4"/>
    <w:rsid w:val="005B36F9"/>
    <w:rsid w:val="005B37C4"/>
    <w:rsid w:val="005B384C"/>
    <w:rsid w:val="005B3975"/>
    <w:rsid w:val="005B3ED2"/>
    <w:rsid w:val="005B4188"/>
    <w:rsid w:val="005B420E"/>
    <w:rsid w:val="005B46B8"/>
    <w:rsid w:val="005B4867"/>
    <w:rsid w:val="005B4941"/>
    <w:rsid w:val="005B4B6F"/>
    <w:rsid w:val="005B4CFF"/>
    <w:rsid w:val="005B4E11"/>
    <w:rsid w:val="005B4FD8"/>
    <w:rsid w:val="005B4FDB"/>
    <w:rsid w:val="005B5002"/>
    <w:rsid w:val="005B5264"/>
    <w:rsid w:val="005B5292"/>
    <w:rsid w:val="005B5329"/>
    <w:rsid w:val="005B5BF8"/>
    <w:rsid w:val="005B5C69"/>
    <w:rsid w:val="005B5DE4"/>
    <w:rsid w:val="005B60A3"/>
    <w:rsid w:val="005B616D"/>
    <w:rsid w:val="005B632F"/>
    <w:rsid w:val="005B717B"/>
    <w:rsid w:val="005B7731"/>
    <w:rsid w:val="005B7847"/>
    <w:rsid w:val="005B7B3C"/>
    <w:rsid w:val="005B7D78"/>
    <w:rsid w:val="005B7FC9"/>
    <w:rsid w:val="005C09AE"/>
    <w:rsid w:val="005C0CE4"/>
    <w:rsid w:val="005C1701"/>
    <w:rsid w:val="005C299F"/>
    <w:rsid w:val="005C30BA"/>
    <w:rsid w:val="005C3F34"/>
    <w:rsid w:val="005C3FAE"/>
    <w:rsid w:val="005C482B"/>
    <w:rsid w:val="005C48C6"/>
    <w:rsid w:val="005C4AE7"/>
    <w:rsid w:val="005C4CD9"/>
    <w:rsid w:val="005C4FCE"/>
    <w:rsid w:val="005C5029"/>
    <w:rsid w:val="005C5429"/>
    <w:rsid w:val="005C593B"/>
    <w:rsid w:val="005C6813"/>
    <w:rsid w:val="005C6817"/>
    <w:rsid w:val="005C6AA0"/>
    <w:rsid w:val="005C70A6"/>
    <w:rsid w:val="005C70F7"/>
    <w:rsid w:val="005C788A"/>
    <w:rsid w:val="005C7B16"/>
    <w:rsid w:val="005C7EEF"/>
    <w:rsid w:val="005D00BA"/>
    <w:rsid w:val="005D024C"/>
    <w:rsid w:val="005D0291"/>
    <w:rsid w:val="005D06D7"/>
    <w:rsid w:val="005D09BB"/>
    <w:rsid w:val="005D0ABE"/>
    <w:rsid w:val="005D0BBC"/>
    <w:rsid w:val="005D0BC8"/>
    <w:rsid w:val="005D0D08"/>
    <w:rsid w:val="005D0EC9"/>
    <w:rsid w:val="005D1082"/>
    <w:rsid w:val="005D154C"/>
    <w:rsid w:val="005D155E"/>
    <w:rsid w:val="005D1AF6"/>
    <w:rsid w:val="005D1BAD"/>
    <w:rsid w:val="005D1E93"/>
    <w:rsid w:val="005D1EC3"/>
    <w:rsid w:val="005D20F7"/>
    <w:rsid w:val="005D2141"/>
    <w:rsid w:val="005D2959"/>
    <w:rsid w:val="005D2D8D"/>
    <w:rsid w:val="005D2EEE"/>
    <w:rsid w:val="005D2F44"/>
    <w:rsid w:val="005D3309"/>
    <w:rsid w:val="005D3589"/>
    <w:rsid w:val="005D3AEF"/>
    <w:rsid w:val="005D422E"/>
    <w:rsid w:val="005D4C82"/>
    <w:rsid w:val="005D4DDC"/>
    <w:rsid w:val="005D4F37"/>
    <w:rsid w:val="005D53F4"/>
    <w:rsid w:val="005D55D8"/>
    <w:rsid w:val="005D57CE"/>
    <w:rsid w:val="005D585A"/>
    <w:rsid w:val="005D620B"/>
    <w:rsid w:val="005D6AD4"/>
    <w:rsid w:val="005D6DA1"/>
    <w:rsid w:val="005D6EA8"/>
    <w:rsid w:val="005D6FF5"/>
    <w:rsid w:val="005D7255"/>
    <w:rsid w:val="005D734B"/>
    <w:rsid w:val="005D7693"/>
    <w:rsid w:val="005D7B02"/>
    <w:rsid w:val="005D7D06"/>
    <w:rsid w:val="005D7D56"/>
    <w:rsid w:val="005D7EA3"/>
    <w:rsid w:val="005D7F6C"/>
    <w:rsid w:val="005D7F8E"/>
    <w:rsid w:val="005E078F"/>
    <w:rsid w:val="005E0A44"/>
    <w:rsid w:val="005E0BF5"/>
    <w:rsid w:val="005E13BE"/>
    <w:rsid w:val="005E188A"/>
    <w:rsid w:val="005E1B50"/>
    <w:rsid w:val="005E1D38"/>
    <w:rsid w:val="005E2066"/>
    <w:rsid w:val="005E2250"/>
    <w:rsid w:val="005E2580"/>
    <w:rsid w:val="005E27D7"/>
    <w:rsid w:val="005E285F"/>
    <w:rsid w:val="005E29BA"/>
    <w:rsid w:val="005E2A98"/>
    <w:rsid w:val="005E2C9F"/>
    <w:rsid w:val="005E2DE2"/>
    <w:rsid w:val="005E2F76"/>
    <w:rsid w:val="005E333E"/>
    <w:rsid w:val="005E3390"/>
    <w:rsid w:val="005E3D38"/>
    <w:rsid w:val="005E4339"/>
    <w:rsid w:val="005E442F"/>
    <w:rsid w:val="005E45C0"/>
    <w:rsid w:val="005E53E8"/>
    <w:rsid w:val="005E63EC"/>
    <w:rsid w:val="005E64F9"/>
    <w:rsid w:val="005E6B00"/>
    <w:rsid w:val="005E74CA"/>
    <w:rsid w:val="005E77F5"/>
    <w:rsid w:val="005E7B2C"/>
    <w:rsid w:val="005E7C04"/>
    <w:rsid w:val="005E7D5C"/>
    <w:rsid w:val="005F0650"/>
    <w:rsid w:val="005F1279"/>
    <w:rsid w:val="005F191C"/>
    <w:rsid w:val="005F1CB5"/>
    <w:rsid w:val="005F26D2"/>
    <w:rsid w:val="005F295B"/>
    <w:rsid w:val="005F29D6"/>
    <w:rsid w:val="005F2A4D"/>
    <w:rsid w:val="005F2C6E"/>
    <w:rsid w:val="005F2D45"/>
    <w:rsid w:val="005F2D86"/>
    <w:rsid w:val="005F2EE8"/>
    <w:rsid w:val="005F3514"/>
    <w:rsid w:val="005F3994"/>
    <w:rsid w:val="005F4622"/>
    <w:rsid w:val="005F4732"/>
    <w:rsid w:val="005F47E9"/>
    <w:rsid w:val="005F4E59"/>
    <w:rsid w:val="005F5A54"/>
    <w:rsid w:val="005F5D05"/>
    <w:rsid w:val="005F606F"/>
    <w:rsid w:val="005F61A1"/>
    <w:rsid w:val="005F64CE"/>
    <w:rsid w:val="005F68F0"/>
    <w:rsid w:val="005F69A4"/>
    <w:rsid w:val="005F6CE5"/>
    <w:rsid w:val="005F6D81"/>
    <w:rsid w:val="005F7134"/>
    <w:rsid w:val="005F734D"/>
    <w:rsid w:val="005F747F"/>
    <w:rsid w:val="005F78A1"/>
    <w:rsid w:val="00600472"/>
    <w:rsid w:val="00600720"/>
    <w:rsid w:val="00600A8E"/>
    <w:rsid w:val="00600D4D"/>
    <w:rsid w:val="00600ECD"/>
    <w:rsid w:val="00601270"/>
    <w:rsid w:val="006013F6"/>
    <w:rsid w:val="0060162B"/>
    <w:rsid w:val="0060198D"/>
    <w:rsid w:val="00601E0F"/>
    <w:rsid w:val="00602101"/>
    <w:rsid w:val="0060254F"/>
    <w:rsid w:val="00602814"/>
    <w:rsid w:val="0060282B"/>
    <w:rsid w:val="00602C16"/>
    <w:rsid w:val="00602F45"/>
    <w:rsid w:val="0060327C"/>
    <w:rsid w:val="00603289"/>
    <w:rsid w:val="00603D20"/>
    <w:rsid w:val="00603F23"/>
    <w:rsid w:val="00603F6C"/>
    <w:rsid w:val="006040EC"/>
    <w:rsid w:val="00604446"/>
    <w:rsid w:val="00604601"/>
    <w:rsid w:val="00604DF9"/>
    <w:rsid w:val="0060508D"/>
    <w:rsid w:val="00605188"/>
    <w:rsid w:val="00605225"/>
    <w:rsid w:val="0060538C"/>
    <w:rsid w:val="006054AA"/>
    <w:rsid w:val="0060579B"/>
    <w:rsid w:val="00605898"/>
    <w:rsid w:val="006059A5"/>
    <w:rsid w:val="00605AD4"/>
    <w:rsid w:val="00605BBB"/>
    <w:rsid w:val="00605BEA"/>
    <w:rsid w:val="006060A0"/>
    <w:rsid w:val="00606394"/>
    <w:rsid w:val="0060657A"/>
    <w:rsid w:val="006066D8"/>
    <w:rsid w:val="00606A28"/>
    <w:rsid w:val="006070DD"/>
    <w:rsid w:val="00607688"/>
    <w:rsid w:val="00607C41"/>
    <w:rsid w:val="00610CF4"/>
    <w:rsid w:val="00610DF9"/>
    <w:rsid w:val="006112E6"/>
    <w:rsid w:val="006114EA"/>
    <w:rsid w:val="0061163B"/>
    <w:rsid w:val="00611971"/>
    <w:rsid w:val="00611A5C"/>
    <w:rsid w:val="00611AA8"/>
    <w:rsid w:val="0061229B"/>
    <w:rsid w:val="00612798"/>
    <w:rsid w:val="00612918"/>
    <w:rsid w:val="006129C8"/>
    <w:rsid w:val="00612E91"/>
    <w:rsid w:val="00612E92"/>
    <w:rsid w:val="006131C6"/>
    <w:rsid w:val="00613455"/>
    <w:rsid w:val="00613513"/>
    <w:rsid w:val="00613BFC"/>
    <w:rsid w:val="00613D72"/>
    <w:rsid w:val="00613E80"/>
    <w:rsid w:val="00613F00"/>
    <w:rsid w:val="0061406E"/>
    <w:rsid w:val="0061412D"/>
    <w:rsid w:val="006147A1"/>
    <w:rsid w:val="00614880"/>
    <w:rsid w:val="00614AD7"/>
    <w:rsid w:val="00614D6A"/>
    <w:rsid w:val="00615810"/>
    <w:rsid w:val="00616426"/>
    <w:rsid w:val="006167A0"/>
    <w:rsid w:val="00616E80"/>
    <w:rsid w:val="006177AE"/>
    <w:rsid w:val="00617ACE"/>
    <w:rsid w:val="00617DB6"/>
    <w:rsid w:val="006202E3"/>
    <w:rsid w:val="0062089C"/>
    <w:rsid w:val="00620CA6"/>
    <w:rsid w:val="00620FF0"/>
    <w:rsid w:val="00621018"/>
    <w:rsid w:val="0062178B"/>
    <w:rsid w:val="00622284"/>
    <w:rsid w:val="00622429"/>
    <w:rsid w:val="006224E0"/>
    <w:rsid w:val="00622766"/>
    <w:rsid w:val="00622CBB"/>
    <w:rsid w:val="006230F6"/>
    <w:rsid w:val="00623570"/>
    <w:rsid w:val="006235C1"/>
    <w:rsid w:val="00623666"/>
    <w:rsid w:val="006236B0"/>
    <w:rsid w:val="006239E0"/>
    <w:rsid w:val="00623A46"/>
    <w:rsid w:val="00623B7F"/>
    <w:rsid w:val="00624DAE"/>
    <w:rsid w:val="00625241"/>
    <w:rsid w:val="00625758"/>
    <w:rsid w:val="00625B1C"/>
    <w:rsid w:val="00625FFF"/>
    <w:rsid w:val="006263F9"/>
    <w:rsid w:val="00626A7A"/>
    <w:rsid w:val="00626B98"/>
    <w:rsid w:val="00626D39"/>
    <w:rsid w:val="00626F26"/>
    <w:rsid w:val="00626F8D"/>
    <w:rsid w:val="00626FDA"/>
    <w:rsid w:val="00627244"/>
    <w:rsid w:val="00627E00"/>
    <w:rsid w:val="006300A0"/>
    <w:rsid w:val="0063031A"/>
    <w:rsid w:val="00630F0E"/>
    <w:rsid w:val="00630FA6"/>
    <w:rsid w:val="00630FB9"/>
    <w:rsid w:val="00631046"/>
    <w:rsid w:val="00631B91"/>
    <w:rsid w:val="00631C11"/>
    <w:rsid w:val="00631D63"/>
    <w:rsid w:val="00632062"/>
    <w:rsid w:val="006322AB"/>
    <w:rsid w:val="006324B1"/>
    <w:rsid w:val="006324F1"/>
    <w:rsid w:val="00632808"/>
    <w:rsid w:val="00632812"/>
    <w:rsid w:val="006333B0"/>
    <w:rsid w:val="0063350B"/>
    <w:rsid w:val="006338BA"/>
    <w:rsid w:val="00633D61"/>
    <w:rsid w:val="00633E3E"/>
    <w:rsid w:val="00633F40"/>
    <w:rsid w:val="00634214"/>
    <w:rsid w:val="006345FF"/>
    <w:rsid w:val="00634798"/>
    <w:rsid w:val="00635152"/>
    <w:rsid w:val="006358D5"/>
    <w:rsid w:val="00635A7E"/>
    <w:rsid w:val="006361E9"/>
    <w:rsid w:val="0063635F"/>
    <w:rsid w:val="00636423"/>
    <w:rsid w:val="006368A8"/>
    <w:rsid w:val="00636DA0"/>
    <w:rsid w:val="00637477"/>
    <w:rsid w:val="006374C2"/>
    <w:rsid w:val="00637E90"/>
    <w:rsid w:val="00637EE8"/>
    <w:rsid w:val="00640D1A"/>
    <w:rsid w:val="00640E89"/>
    <w:rsid w:val="0064172C"/>
    <w:rsid w:val="0064196E"/>
    <w:rsid w:val="00641CB0"/>
    <w:rsid w:val="00641F33"/>
    <w:rsid w:val="006423D5"/>
    <w:rsid w:val="00642598"/>
    <w:rsid w:val="00642A54"/>
    <w:rsid w:val="00642AC8"/>
    <w:rsid w:val="00642CE3"/>
    <w:rsid w:val="006434BA"/>
    <w:rsid w:val="00643742"/>
    <w:rsid w:val="00643798"/>
    <w:rsid w:val="0064393C"/>
    <w:rsid w:val="006441AF"/>
    <w:rsid w:val="00644351"/>
    <w:rsid w:val="00644774"/>
    <w:rsid w:val="00644AEA"/>
    <w:rsid w:val="00644C99"/>
    <w:rsid w:val="00644FC6"/>
    <w:rsid w:val="00645250"/>
    <w:rsid w:val="00645756"/>
    <w:rsid w:val="00645B08"/>
    <w:rsid w:val="00645CD9"/>
    <w:rsid w:val="00645F5A"/>
    <w:rsid w:val="0064659F"/>
    <w:rsid w:val="00647A76"/>
    <w:rsid w:val="00647B62"/>
    <w:rsid w:val="00647CD1"/>
    <w:rsid w:val="00647D3F"/>
    <w:rsid w:val="0065016B"/>
    <w:rsid w:val="0065038C"/>
    <w:rsid w:val="00650652"/>
    <w:rsid w:val="006511F3"/>
    <w:rsid w:val="00651892"/>
    <w:rsid w:val="006518F4"/>
    <w:rsid w:val="00652985"/>
    <w:rsid w:val="00652AAC"/>
    <w:rsid w:val="00652B04"/>
    <w:rsid w:val="00652D14"/>
    <w:rsid w:val="00652F44"/>
    <w:rsid w:val="00653045"/>
    <w:rsid w:val="0065338A"/>
    <w:rsid w:val="006533A9"/>
    <w:rsid w:val="00653746"/>
    <w:rsid w:val="0065380C"/>
    <w:rsid w:val="00653A47"/>
    <w:rsid w:val="00653C32"/>
    <w:rsid w:val="00653E08"/>
    <w:rsid w:val="00653E62"/>
    <w:rsid w:val="00653EE7"/>
    <w:rsid w:val="006540B1"/>
    <w:rsid w:val="006543DD"/>
    <w:rsid w:val="00654709"/>
    <w:rsid w:val="006547D6"/>
    <w:rsid w:val="00654D62"/>
    <w:rsid w:val="00655218"/>
    <w:rsid w:val="00655512"/>
    <w:rsid w:val="00655C07"/>
    <w:rsid w:val="00655D50"/>
    <w:rsid w:val="00655E9F"/>
    <w:rsid w:val="0065610A"/>
    <w:rsid w:val="0065643A"/>
    <w:rsid w:val="00656828"/>
    <w:rsid w:val="00656959"/>
    <w:rsid w:val="00656F0B"/>
    <w:rsid w:val="006573DE"/>
    <w:rsid w:val="006575A7"/>
    <w:rsid w:val="00657AA1"/>
    <w:rsid w:val="00660427"/>
    <w:rsid w:val="00660849"/>
    <w:rsid w:val="006609EC"/>
    <w:rsid w:val="0066106C"/>
    <w:rsid w:val="006613FB"/>
    <w:rsid w:val="0066162F"/>
    <w:rsid w:val="00661C6F"/>
    <w:rsid w:val="00661D64"/>
    <w:rsid w:val="006621D0"/>
    <w:rsid w:val="0066253E"/>
    <w:rsid w:val="006625F7"/>
    <w:rsid w:val="00662C40"/>
    <w:rsid w:val="00662CEE"/>
    <w:rsid w:val="00662D6F"/>
    <w:rsid w:val="00662E61"/>
    <w:rsid w:val="0066334E"/>
    <w:rsid w:val="00663D69"/>
    <w:rsid w:val="00663D79"/>
    <w:rsid w:val="006640EC"/>
    <w:rsid w:val="00664E9D"/>
    <w:rsid w:val="00665000"/>
    <w:rsid w:val="0066521A"/>
    <w:rsid w:val="0066570E"/>
    <w:rsid w:val="006659F2"/>
    <w:rsid w:val="00665A4D"/>
    <w:rsid w:val="00665AAC"/>
    <w:rsid w:val="00665ED4"/>
    <w:rsid w:val="00666218"/>
    <w:rsid w:val="006669F5"/>
    <w:rsid w:val="00667681"/>
    <w:rsid w:val="006678E1"/>
    <w:rsid w:val="00667C08"/>
    <w:rsid w:val="006708B2"/>
    <w:rsid w:val="00670D9E"/>
    <w:rsid w:val="00670E8F"/>
    <w:rsid w:val="00671506"/>
    <w:rsid w:val="00671D07"/>
    <w:rsid w:val="00672388"/>
    <w:rsid w:val="00672A7D"/>
    <w:rsid w:val="0067302E"/>
    <w:rsid w:val="00673129"/>
    <w:rsid w:val="00673BB7"/>
    <w:rsid w:val="00673E99"/>
    <w:rsid w:val="00673F33"/>
    <w:rsid w:val="00674140"/>
    <w:rsid w:val="00674264"/>
    <w:rsid w:val="00674C7A"/>
    <w:rsid w:val="00674D22"/>
    <w:rsid w:val="00674D86"/>
    <w:rsid w:val="0067578A"/>
    <w:rsid w:val="006757A8"/>
    <w:rsid w:val="006761A5"/>
    <w:rsid w:val="00676511"/>
    <w:rsid w:val="00676718"/>
    <w:rsid w:val="00676B0D"/>
    <w:rsid w:val="00676C38"/>
    <w:rsid w:val="006770DF"/>
    <w:rsid w:val="006776ED"/>
    <w:rsid w:val="00677C32"/>
    <w:rsid w:val="00677CF8"/>
    <w:rsid w:val="00677D35"/>
    <w:rsid w:val="0068033F"/>
    <w:rsid w:val="00680B54"/>
    <w:rsid w:val="00680B91"/>
    <w:rsid w:val="00680C28"/>
    <w:rsid w:val="00680EC1"/>
    <w:rsid w:val="006810D1"/>
    <w:rsid w:val="0068112A"/>
    <w:rsid w:val="006816D7"/>
    <w:rsid w:val="006819AF"/>
    <w:rsid w:val="006819CA"/>
    <w:rsid w:val="00681C91"/>
    <w:rsid w:val="00681D7C"/>
    <w:rsid w:val="006821EE"/>
    <w:rsid w:val="006826C3"/>
    <w:rsid w:val="00682785"/>
    <w:rsid w:val="006835F3"/>
    <w:rsid w:val="006836DB"/>
    <w:rsid w:val="006839EC"/>
    <w:rsid w:val="00683AC7"/>
    <w:rsid w:val="00683B9B"/>
    <w:rsid w:val="00683DDC"/>
    <w:rsid w:val="00683E2D"/>
    <w:rsid w:val="00684036"/>
    <w:rsid w:val="006842A4"/>
    <w:rsid w:val="0068490C"/>
    <w:rsid w:val="00684B57"/>
    <w:rsid w:val="006854EB"/>
    <w:rsid w:val="0068558B"/>
    <w:rsid w:val="00685A1B"/>
    <w:rsid w:val="00686105"/>
    <w:rsid w:val="0068651F"/>
    <w:rsid w:val="0068661D"/>
    <w:rsid w:val="00686ED9"/>
    <w:rsid w:val="00687156"/>
    <w:rsid w:val="006875A1"/>
    <w:rsid w:val="00687718"/>
    <w:rsid w:val="006878DD"/>
    <w:rsid w:val="00690216"/>
    <w:rsid w:val="006906F8"/>
    <w:rsid w:val="006908A4"/>
    <w:rsid w:val="006908AF"/>
    <w:rsid w:val="00690B18"/>
    <w:rsid w:val="00691042"/>
    <w:rsid w:val="00691446"/>
    <w:rsid w:val="0069146F"/>
    <w:rsid w:val="006918EC"/>
    <w:rsid w:val="00691A63"/>
    <w:rsid w:val="0069234D"/>
    <w:rsid w:val="00692D63"/>
    <w:rsid w:val="00692EA6"/>
    <w:rsid w:val="00693111"/>
    <w:rsid w:val="00693223"/>
    <w:rsid w:val="00693703"/>
    <w:rsid w:val="00693745"/>
    <w:rsid w:val="0069387C"/>
    <w:rsid w:val="00693AC2"/>
    <w:rsid w:val="00693AC8"/>
    <w:rsid w:val="00693F8C"/>
    <w:rsid w:val="006941D9"/>
    <w:rsid w:val="006944CA"/>
    <w:rsid w:val="006946BE"/>
    <w:rsid w:val="00694859"/>
    <w:rsid w:val="0069499E"/>
    <w:rsid w:val="00694E32"/>
    <w:rsid w:val="00695081"/>
    <w:rsid w:val="0069624F"/>
    <w:rsid w:val="00696B9D"/>
    <w:rsid w:val="00696C72"/>
    <w:rsid w:val="0069725A"/>
    <w:rsid w:val="00697774"/>
    <w:rsid w:val="0069788F"/>
    <w:rsid w:val="006A01D9"/>
    <w:rsid w:val="006A06D2"/>
    <w:rsid w:val="006A0E8E"/>
    <w:rsid w:val="006A0E92"/>
    <w:rsid w:val="006A18C6"/>
    <w:rsid w:val="006A1E70"/>
    <w:rsid w:val="006A1F63"/>
    <w:rsid w:val="006A2087"/>
    <w:rsid w:val="006A2380"/>
    <w:rsid w:val="006A2720"/>
    <w:rsid w:val="006A28B8"/>
    <w:rsid w:val="006A323C"/>
    <w:rsid w:val="006A34CA"/>
    <w:rsid w:val="006A34E9"/>
    <w:rsid w:val="006A35BC"/>
    <w:rsid w:val="006A35C8"/>
    <w:rsid w:val="006A360D"/>
    <w:rsid w:val="006A366B"/>
    <w:rsid w:val="006A3959"/>
    <w:rsid w:val="006A39DA"/>
    <w:rsid w:val="006A3C24"/>
    <w:rsid w:val="006A4105"/>
    <w:rsid w:val="006A4775"/>
    <w:rsid w:val="006A498D"/>
    <w:rsid w:val="006A507F"/>
    <w:rsid w:val="006A5083"/>
    <w:rsid w:val="006A51DD"/>
    <w:rsid w:val="006A5347"/>
    <w:rsid w:val="006A55C2"/>
    <w:rsid w:val="006A574F"/>
    <w:rsid w:val="006A6792"/>
    <w:rsid w:val="006A6CAB"/>
    <w:rsid w:val="006A730A"/>
    <w:rsid w:val="006A779B"/>
    <w:rsid w:val="006A78E9"/>
    <w:rsid w:val="006B0280"/>
    <w:rsid w:val="006B08DD"/>
    <w:rsid w:val="006B0AB1"/>
    <w:rsid w:val="006B0E3B"/>
    <w:rsid w:val="006B0EF7"/>
    <w:rsid w:val="006B1666"/>
    <w:rsid w:val="006B18D4"/>
    <w:rsid w:val="006B28D0"/>
    <w:rsid w:val="006B296F"/>
    <w:rsid w:val="006B2B69"/>
    <w:rsid w:val="006B2DC3"/>
    <w:rsid w:val="006B2FFD"/>
    <w:rsid w:val="006B30CD"/>
    <w:rsid w:val="006B37F5"/>
    <w:rsid w:val="006B416B"/>
    <w:rsid w:val="006B4AE8"/>
    <w:rsid w:val="006B4C49"/>
    <w:rsid w:val="006B4FFC"/>
    <w:rsid w:val="006B50A3"/>
    <w:rsid w:val="006B5498"/>
    <w:rsid w:val="006B57F7"/>
    <w:rsid w:val="006B5EB3"/>
    <w:rsid w:val="006B6322"/>
    <w:rsid w:val="006B6848"/>
    <w:rsid w:val="006B684A"/>
    <w:rsid w:val="006B6DB3"/>
    <w:rsid w:val="006B7088"/>
    <w:rsid w:val="006B76E6"/>
    <w:rsid w:val="006B77C2"/>
    <w:rsid w:val="006B786E"/>
    <w:rsid w:val="006B7AF6"/>
    <w:rsid w:val="006B7EA6"/>
    <w:rsid w:val="006C01A9"/>
    <w:rsid w:val="006C06A5"/>
    <w:rsid w:val="006C0811"/>
    <w:rsid w:val="006C0911"/>
    <w:rsid w:val="006C0C05"/>
    <w:rsid w:val="006C0E83"/>
    <w:rsid w:val="006C15F0"/>
    <w:rsid w:val="006C160D"/>
    <w:rsid w:val="006C1640"/>
    <w:rsid w:val="006C1668"/>
    <w:rsid w:val="006C175D"/>
    <w:rsid w:val="006C175F"/>
    <w:rsid w:val="006C177B"/>
    <w:rsid w:val="006C1FBC"/>
    <w:rsid w:val="006C208E"/>
    <w:rsid w:val="006C23BB"/>
    <w:rsid w:val="006C25AE"/>
    <w:rsid w:val="006C3566"/>
    <w:rsid w:val="006C36D6"/>
    <w:rsid w:val="006C3B75"/>
    <w:rsid w:val="006C41E8"/>
    <w:rsid w:val="006C476F"/>
    <w:rsid w:val="006C502D"/>
    <w:rsid w:val="006C58AB"/>
    <w:rsid w:val="006C5B3A"/>
    <w:rsid w:val="006C5CF1"/>
    <w:rsid w:val="006C5E4B"/>
    <w:rsid w:val="006C5F23"/>
    <w:rsid w:val="006C6653"/>
    <w:rsid w:val="006C66AE"/>
    <w:rsid w:val="006C6C7B"/>
    <w:rsid w:val="006C7207"/>
    <w:rsid w:val="006C7258"/>
    <w:rsid w:val="006C7BB1"/>
    <w:rsid w:val="006D0358"/>
    <w:rsid w:val="006D0C58"/>
    <w:rsid w:val="006D10A5"/>
    <w:rsid w:val="006D12BE"/>
    <w:rsid w:val="006D1D34"/>
    <w:rsid w:val="006D226F"/>
    <w:rsid w:val="006D2365"/>
    <w:rsid w:val="006D2535"/>
    <w:rsid w:val="006D26D3"/>
    <w:rsid w:val="006D2803"/>
    <w:rsid w:val="006D2A10"/>
    <w:rsid w:val="006D2C82"/>
    <w:rsid w:val="006D31B2"/>
    <w:rsid w:val="006D36CC"/>
    <w:rsid w:val="006D3ADA"/>
    <w:rsid w:val="006D40E9"/>
    <w:rsid w:val="006D41ED"/>
    <w:rsid w:val="006D4208"/>
    <w:rsid w:val="006D472F"/>
    <w:rsid w:val="006D49D1"/>
    <w:rsid w:val="006D4B2A"/>
    <w:rsid w:val="006D4D7C"/>
    <w:rsid w:val="006D4EFF"/>
    <w:rsid w:val="006D545C"/>
    <w:rsid w:val="006D645E"/>
    <w:rsid w:val="006D655B"/>
    <w:rsid w:val="006D68CA"/>
    <w:rsid w:val="006D68DF"/>
    <w:rsid w:val="006D6ECF"/>
    <w:rsid w:val="006D6FB1"/>
    <w:rsid w:val="006D7102"/>
    <w:rsid w:val="006D7360"/>
    <w:rsid w:val="006D77A0"/>
    <w:rsid w:val="006D7CEB"/>
    <w:rsid w:val="006D7F71"/>
    <w:rsid w:val="006E025D"/>
    <w:rsid w:val="006E0986"/>
    <w:rsid w:val="006E0A00"/>
    <w:rsid w:val="006E0F9A"/>
    <w:rsid w:val="006E0FDB"/>
    <w:rsid w:val="006E11FB"/>
    <w:rsid w:val="006E17C9"/>
    <w:rsid w:val="006E1B5A"/>
    <w:rsid w:val="006E1FF3"/>
    <w:rsid w:val="006E206E"/>
    <w:rsid w:val="006E236D"/>
    <w:rsid w:val="006E2BFB"/>
    <w:rsid w:val="006E2D15"/>
    <w:rsid w:val="006E3058"/>
    <w:rsid w:val="006E31F2"/>
    <w:rsid w:val="006E338C"/>
    <w:rsid w:val="006E3D8D"/>
    <w:rsid w:val="006E3DD3"/>
    <w:rsid w:val="006E479A"/>
    <w:rsid w:val="006E4854"/>
    <w:rsid w:val="006E4BB0"/>
    <w:rsid w:val="006E4C99"/>
    <w:rsid w:val="006E4E99"/>
    <w:rsid w:val="006E550A"/>
    <w:rsid w:val="006E597B"/>
    <w:rsid w:val="006E59E2"/>
    <w:rsid w:val="006E5D1C"/>
    <w:rsid w:val="006E6166"/>
    <w:rsid w:val="006E656B"/>
    <w:rsid w:val="006E7C8B"/>
    <w:rsid w:val="006F0189"/>
    <w:rsid w:val="006F0648"/>
    <w:rsid w:val="006F0BC8"/>
    <w:rsid w:val="006F233B"/>
    <w:rsid w:val="006F27AD"/>
    <w:rsid w:val="006F2989"/>
    <w:rsid w:val="006F2997"/>
    <w:rsid w:val="006F29CB"/>
    <w:rsid w:val="006F3011"/>
    <w:rsid w:val="006F3358"/>
    <w:rsid w:val="006F33DA"/>
    <w:rsid w:val="006F34B6"/>
    <w:rsid w:val="006F3732"/>
    <w:rsid w:val="006F3C00"/>
    <w:rsid w:val="006F47AE"/>
    <w:rsid w:val="006F4B3A"/>
    <w:rsid w:val="006F4D27"/>
    <w:rsid w:val="006F4E34"/>
    <w:rsid w:val="006F4E39"/>
    <w:rsid w:val="006F5006"/>
    <w:rsid w:val="006F51AA"/>
    <w:rsid w:val="006F53D1"/>
    <w:rsid w:val="006F5788"/>
    <w:rsid w:val="006F5812"/>
    <w:rsid w:val="006F5903"/>
    <w:rsid w:val="006F5C3F"/>
    <w:rsid w:val="006F5CE1"/>
    <w:rsid w:val="006F5FF0"/>
    <w:rsid w:val="006F63FF"/>
    <w:rsid w:val="006F642C"/>
    <w:rsid w:val="006F6932"/>
    <w:rsid w:val="006F6D91"/>
    <w:rsid w:val="006F7630"/>
    <w:rsid w:val="006F7983"/>
    <w:rsid w:val="0070055A"/>
    <w:rsid w:val="00700900"/>
    <w:rsid w:val="00700C6B"/>
    <w:rsid w:val="007014B0"/>
    <w:rsid w:val="007019C2"/>
    <w:rsid w:val="00701AE0"/>
    <w:rsid w:val="00701CBE"/>
    <w:rsid w:val="00702C46"/>
    <w:rsid w:val="0070314F"/>
    <w:rsid w:val="00703462"/>
    <w:rsid w:val="00703591"/>
    <w:rsid w:val="00703908"/>
    <w:rsid w:val="00703935"/>
    <w:rsid w:val="00703A04"/>
    <w:rsid w:val="00704371"/>
    <w:rsid w:val="0070437E"/>
    <w:rsid w:val="00704BB0"/>
    <w:rsid w:val="00704BFA"/>
    <w:rsid w:val="00704F08"/>
    <w:rsid w:val="00704F0B"/>
    <w:rsid w:val="00704F44"/>
    <w:rsid w:val="00705549"/>
    <w:rsid w:val="007055DF"/>
    <w:rsid w:val="00705635"/>
    <w:rsid w:val="00705647"/>
    <w:rsid w:val="0070572C"/>
    <w:rsid w:val="007057C7"/>
    <w:rsid w:val="007057E3"/>
    <w:rsid w:val="00705856"/>
    <w:rsid w:val="007058FB"/>
    <w:rsid w:val="00705C33"/>
    <w:rsid w:val="00706469"/>
    <w:rsid w:val="00706CBF"/>
    <w:rsid w:val="007070BE"/>
    <w:rsid w:val="007076AE"/>
    <w:rsid w:val="00707826"/>
    <w:rsid w:val="00707B8D"/>
    <w:rsid w:val="00707DAF"/>
    <w:rsid w:val="00707EE5"/>
    <w:rsid w:val="00710195"/>
    <w:rsid w:val="0071023E"/>
    <w:rsid w:val="00710506"/>
    <w:rsid w:val="00710535"/>
    <w:rsid w:val="007108D1"/>
    <w:rsid w:val="007109E4"/>
    <w:rsid w:val="00710B01"/>
    <w:rsid w:val="00710C0B"/>
    <w:rsid w:val="00710DF9"/>
    <w:rsid w:val="00711A21"/>
    <w:rsid w:val="00711CC8"/>
    <w:rsid w:val="00712644"/>
    <w:rsid w:val="0071410A"/>
    <w:rsid w:val="00714532"/>
    <w:rsid w:val="0071480F"/>
    <w:rsid w:val="00714CFA"/>
    <w:rsid w:val="007153C7"/>
    <w:rsid w:val="007158A3"/>
    <w:rsid w:val="007159A6"/>
    <w:rsid w:val="00715B89"/>
    <w:rsid w:val="00716131"/>
    <w:rsid w:val="00716A3E"/>
    <w:rsid w:val="0071732B"/>
    <w:rsid w:val="00717D88"/>
    <w:rsid w:val="0072010A"/>
    <w:rsid w:val="0072036B"/>
    <w:rsid w:val="00720BC5"/>
    <w:rsid w:val="00720C13"/>
    <w:rsid w:val="0072159B"/>
    <w:rsid w:val="0072190B"/>
    <w:rsid w:val="0072192D"/>
    <w:rsid w:val="00721ABE"/>
    <w:rsid w:val="00721BB3"/>
    <w:rsid w:val="00722257"/>
    <w:rsid w:val="007224FB"/>
    <w:rsid w:val="0072259D"/>
    <w:rsid w:val="007226EC"/>
    <w:rsid w:val="00722722"/>
    <w:rsid w:val="0072290E"/>
    <w:rsid w:val="007229B7"/>
    <w:rsid w:val="00722C4B"/>
    <w:rsid w:val="0072311A"/>
    <w:rsid w:val="00723B04"/>
    <w:rsid w:val="00723D86"/>
    <w:rsid w:val="00723E81"/>
    <w:rsid w:val="0072422F"/>
    <w:rsid w:val="007242D0"/>
    <w:rsid w:val="00724853"/>
    <w:rsid w:val="0072509C"/>
    <w:rsid w:val="00725637"/>
    <w:rsid w:val="00725EB4"/>
    <w:rsid w:val="00726E3D"/>
    <w:rsid w:val="007271E8"/>
    <w:rsid w:val="007275A8"/>
    <w:rsid w:val="0072781A"/>
    <w:rsid w:val="00727CF4"/>
    <w:rsid w:val="00727EDD"/>
    <w:rsid w:val="0073038D"/>
    <w:rsid w:val="00730401"/>
    <w:rsid w:val="0073094F"/>
    <w:rsid w:val="0073095A"/>
    <w:rsid w:val="00730B8E"/>
    <w:rsid w:val="00730E5C"/>
    <w:rsid w:val="00730F02"/>
    <w:rsid w:val="00731630"/>
    <w:rsid w:val="007319A9"/>
    <w:rsid w:val="007327B9"/>
    <w:rsid w:val="00732FF3"/>
    <w:rsid w:val="007330E8"/>
    <w:rsid w:val="007330FD"/>
    <w:rsid w:val="007333F3"/>
    <w:rsid w:val="00733400"/>
    <w:rsid w:val="007337E9"/>
    <w:rsid w:val="00733D93"/>
    <w:rsid w:val="00733E2F"/>
    <w:rsid w:val="007340D0"/>
    <w:rsid w:val="007344A5"/>
    <w:rsid w:val="00734511"/>
    <w:rsid w:val="0073460D"/>
    <w:rsid w:val="00734722"/>
    <w:rsid w:val="0073518B"/>
    <w:rsid w:val="00735C81"/>
    <w:rsid w:val="00735FEB"/>
    <w:rsid w:val="007369B6"/>
    <w:rsid w:val="00737343"/>
    <w:rsid w:val="007375E5"/>
    <w:rsid w:val="00737854"/>
    <w:rsid w:val="00737BD8"/>
    <w:rsid w:val="00737C5B"/>
    <w:rsid w:val="00737F2C"/>
    <w:rsid w:val="00740271"/>
    <w:rsid w:val="0074083B"/>
    <w:rsid w:val="00740919"/>
    <w:rsid w:val="0074097D"/>
    <w:rsid w:val="00740B6B"/>
    <w:rsid w:val="00740D64"/>
    <w:rsid w:val="007413CE"/>
    <w:rsid w:val="00741B7C"/>
    <w:rsid w:val="00741DE7"/>
    <w:rsid w:val="00741E38"/>
    <w:rsid w:val="0074200B"/>
    <w:rsid w:val="007423D9"/>
    <w:rsid w:val="00742BF6"/>
    <w:rsid w:val="007432F7"/>
    <w:rsid w:val="0074330B"/>
    <w:rsid w:val="00743432"/>
    <w:rsid w:val="00743A81"/>
    <w:rsid w:val="00744100"/>
    <w:rsid w:val="00744511"/>
    <w:rsid w:val="0074490F"/>
    <w:rsid w:val="007451CD"/>
    <w:rsid w:val="007451D8"/>
    <w:rsid w:val="0074539F"/>
    <w:rsid w:val="00745487"/>
    <w:rsid w:val="00745685"/>
    <w:rsid w:val="007457FB"/>
    <w:rsid w:val="00745A72"/>
    <w:rsid w:val="00746B9B"/>
    <w:rsid w:val="00746C5D"/>
    <w:rsid w:val="00746DDA"/>
    <w:rsid w:val="00746E46"/>
    <w:rsid w:val="0074708D"/>
    <w:rsid w:val="00747243"/>
    <w:rsid w:val="007478FC"/>
    <w:rsid w:val="00750365"/>
    <w:rsid w:val="007504D5"/>
    <w:rsid w:val="00750768"/>
    <w:rsid w:val="0075083D"/>
    <w:rsid w:val="00750A62"/>
    <w:rsid w:val="00750AAB"/>
    <w:rsid w:val="00751AE6"/>
    <w:rsid w:val="00751AF8"/>
    <w:rsid w:val="00751CDF"/>
    <w:rsid w:val="00751F0D"/>
    <w:rsid w:val="00751FA4"/>
    <w:rsid w:val="00752207"/>
    <w:rsid w:val="007526BD"/>
    <w:rsid w:val="007527B7"/>
    <w:rsid w:val="00752A47"/>
    <w:rsid w:val="007532A8"/>
    <w:rsid w:val="00753587"/>
    <w:rsid w:val="0075365A"/>
    <w:rsid w:val="00753B4E"/>
    <w:rsid w:val="007542D5"/>
    <w:rsid w:val="00754C23"/>
    <w:rsid w:val="00754EAD"/>
    <w:rsid w:val="00755279"/>
    <w:rsid w:val="0075597E"/>
    <w:rsid w:val="007559EC"/>
    <w:rsid w:val="00755AC1"/>
    <w:rsid w:val="00755BA8"/>
    <w:rsid w:val="00755E0A"/>
    <w:rsid w:val="00756038"/>
    <w:rsid w:val="0075609E"/>
    <w:rsid w:val="00756308"/>
    <w:rsid w:val="007565F1"/>
    <w:rsid w:val="00756885"/>
    <w:rsid w:val="00756AF4"/>
    <w:rsid w:val="00756B3E"/>
    <w:rsid w:val="00756B71"/>
    <w:rsid w:val="00756E85"/>
    <w:rsid w:val="00756EC1"/>
    <w:rsid w:val="00757217"/>
    <w:rsid w:val="0075732B"/>
    <w:rsid w:val="007573C3"/>
    <w:rsid w:val="0075799D"/>
    <w:rsid w:val="00757B60"/>
    <w:rsid w:val="00757CD6"/>
    <w:rsid w:val="00757FBF"/>
    <w:rsid w:val="00760B6A"/>
    <w:rsid w:val="00760C00"/>
    <w:rsid w:val="007611DD"/>
    <w:rsid w:val="0076171D"/>
    <w:rsid w:val="00762465"/>
    <w:rsid w:val="0076271F"/>
    <w:rsid w:val="00763036"/>
    <w:rsid w:val="0076331E"/>
    <w:rsid w:val="007636FE"/>
    <w:rsid w:val="007637AA"/>
    <w:rsid w:val="00763CB3"/>
    <w:rsid w:val="00763D90"/>
    <w:rsid w:val="007647AB"/>
    <w:rsid w:val="00764F4C"/>
    <w:rsid w:val="0076552A"/>
    <w:rsid w:val="00765A6F"/>
    <w:rsid w:val="00765DB1"/>
    <w:rsid w:val="007663C9"/>
    <w:rsid w:val="007670A2"/>
    <w:rsid w:val="0076779B"/>
    <w:rsid w:val="007677FF"/>
    <w:rsid w:val="007678AB"/>
    <w:rsid w:val="00767963"/>
    <w:rsid w:val="00767CB9"/>
    <w:rsid w:val="00767DAD"/>
    <w:rsid w:val="007702AA"/>
    <w:rsid w:val="0077102F"/>
    <w:rsid w:val="00771381"/>
    <w:rsid w:val="00771A75"/>
    <w:rsid w:val="00771AAC"/>
    <w:rsid w:val="00771BE0"/>
    <w:rsid w:val="00772603"/>
    <w:rsid w:val="00772DD1"/>
    <w:rsid w:val="007734C5"/>
    <w:rsid w:val="00773C29"/>
    <w:rsid w:val="00774489"/>
    <w:rsid w:val="007748C9"/>
    <w:rsid w:val="00774C76"/>
    <w:rsid w:val="00774CF2"/>
    <w:rsid w:val="00774DBE"/>
    <w:rsid w:val="00774E4B"/>
    <w:rsid w:val="00774E5F"/>
    <w:rsid w:val="0077513F"/>
    <w:rsid w:val="0077563B"/>
    <w:rsid w:val="007758F0"/>
    <w:rsid w:val="00775A9C"/>
    <w:rsid w:val="00775B91"/>
    <w:rsid w:val="00776442"/>
    <w:rsid w:val="007766F8"/>
    <w:rsid w:val="007768A0"/>
    <w:rsid w:val="00776CAB"/>
    <w:rsid w:val="00776CD9"/>
    <w:rsid w:val="00776D56"/>
    <w:rsid w:val="007770DF"/>
    <w:rsid w:val="00777499"/>
    <w:rsid w:val="007775C2"/>
    <w:rsid w:val="00780A51"/>
    <w:rsid w:val="00780B66"/>
    <w:rsid w:val="00781241"/>
    <w:rsid w:val="0078157C"/>
    <w:rsid w:val="00781AA5"/>
    <w:rsid w:val="00781BF1"/>
    <w:rsid w:val="00781C7C"/>
    <w:rsid w:val="007821B4"/>
    <w:rsid w:val="00782393"/>
    <w:rsid w:val="00782575"/>
    <w:rsid w:val="0078257C"/>
    <w:rsid w:val="00782637"/>
    <w:rsid w:val="00782D42"/>
    <w:rsid w:val="00782EF3"/>
    <w:rsid w:val="00783558"/>
    <w:rsid w:val="0078393E"/>
    <w:rsid w:val="00783BF0"/>
    <w:rsid w:val="00783DE1"/>
    <w:rsid w:val="007843EF"/>
    <w:rsid w:val="00784465"/>
    <w:rsid w:val="007849BB"/>
    <w:rsid w:val="00784A96"/>
    <w:rsid w:val="0078502C"/>
    <w:rsid w:val="007853CC"/>
    <w:rsid w:val="0078599F"/>
    <w:rsid w:val="00785D7F"/>
    <w:rsid w:val="007869D3"/>
    <w:rsid w:val="00786A14"/>
    <w:rsid w:val="00786C00"/>
    <w:rsid w:val="00786D3F"/>
    <w:rsid w:val="00786FC4"/>
    <w:rsid w:val="00787E08"/>
    <w:rsid w:val="00790380"/>
    <w:rsid w:val="00790ACD"/>
    <w:rsid w:val="00790C9D"/>
    <w:rsid w:val="00790D93"/>
    <w:rsid w:val="00790E27"/>
    <w:rsid w:val="007910D1"/>
    <w:rsid w:val="00791149"/>
    <w:rsid w:val="007915B7"/>
    <w:rsid w:val="007916B0"/>
    <w:rsid w:val="00791956"/>
    <w:rsid w:val="00791D73"/>
    <w:rsid w:val="0079290C"/>
    <w:rsid w:val="007934EC"/>
    <w:rsid w:val="00793F37"/>
    <w:rsid w:val="00794589"/>
    <w:rsid w:val="00794B70"/>
    <w:rsid w:val="00794C39"/>
    <w:rsid w:val="00795561"/>
    <w:rsid w:val="007957B4"/>
    <w:rsid w:val="00796647"/>
    <w:rsid w:val="007966EE"/>
    <w:rsid w:val="00796844"/>
    <w:rsid w:val="00796A3C"/>
    <w:rsid w:val="00796D12"/>
    <w:rsid w:val="007975D6"/>
    <w:rsid w:val="007976C2"/>
    <w:rsid w:val="00797925"/>
    <w:rsid w:val="00797B54"/>
    <w:rsid w:val="007A0185"/>
    <w:rsid w:val="007A05D8"/>
    <w:rsid w:val="007A089D"/>
    <w:rsid w:val="007A119F"/>
    <w:rsid w:val="007A14D5"/>
    <w:rsid w:val="007A1AAD"/>
    <w:rsid w:val="007A2659"/>
    <w:rsid w:val="007A3079"/>
    <w:rsid w:val="007A312A"/>
    <w:rsid w:val="007A3215"/>
    <w:rsid w:val="007A3CED"/>
    <w:rsid w:val="007A44D1"/>
    <w:rsid w:val="007A46CA"/>
    <w:rsid w:val="007A47C8"/>
    <w:rsid w:val="007A481C"/>
    <w:rsid w:val="007A4AF2"/>
    <w:rsid w:val="007A4D79"/>
    <w:rsid w:val="007A4F03"/>
    <w:rsid w:val="007A579E"/>
    <w:rsid w:val="007A5A1E"/>
    <w:rsid w:val="007A6533"/>
    <w:rsid w:val="007A6886"/>
    <w:rsid w:val="007A68BA"/>
    <w:rsid w:val="007A6C33"/>
    <w:rsid w:val="007A6C88"/>
    <w:rsid w:val="007A7539"/>
    <w:rsid w:val="007A7B8D"/>
    <w:rsid w:val="007B003D"/>
    <w:rsid w:val="007B0709"/>
    <w:rsid w:val="007B0955"/>
    <w:rsid w:val="007B0D88"/>
    <w:rsid w:val="007B1E18"/>
    <w:rsid w:val="007B223F"/>
    <w:rsid w:val="007B2461"/>
    <w:rsid w:val="007B27C0"/>
    <w:rsid w:val="007B29F5"/>
    <w:rsid w:val="007B2B92"/>
    <w:rsid w:val="007B2BA2"/>
    <w:rsid w:val="007B2C21"/>
    <w:rsid w:val="007B2D06"/>
    <w:rsid w:val="007B2D2A"/>
    <w:rsid w:val="007B302F"/>
    <w:rsid w:val="007B30CE"/>
    <w:rsid w:val="007B32F2"/>
    <w:rsid w:val="007B361B"/>
    <w:rsid w:val="007B3AA2"/>
    <w:rsid w:val="007B40EB"/>
    <w:rsid w:val="007B4428"/>
    <w:rsid w:val="007B4591"/>
    <w:rsid w:val="007B46EE"/>
    <w:rsid w:val="007B4C21"/>
    <w:rsid w:val="007B4D71"/>
    <w:rsid w:val="007B5364"/>
    <w:rsid w:val="007B56EC"/>
    <w:rsid w:val="007B5B04"/>
    <w:rsid w:val="007B5B52"/>
    <w:rsid w:val="007B5FFD"/>
    <w:rsid w:val="007B60F7"/>
    <w:rsid w:val="007B6441"/>
    <w:rsid w:val="007B6D0A"/>
    <w:rsid w:val="007B720B"/>
    <w:rsid w:val="007B7268"/>
    <w:rsid w:val="007B774E"/>
    <w:rsid w:val="007B7B5C"/>
    <w:rsid w:val="007B7F14"/>
    <w:rsid w:val="007C0763"/>
    <w:rsid w:val="007C0800"/>
    <w:rsid w:val="007C082D"/>
    <w:rsid w:val="007C0E68"/>
    <w:rsid w:val="007C115D"/>
    <w:rsid w:val="007C14D3"/>
    <w:rsid w:val="007C22F9"/>
    <w:rsid w:val="007C2601"/>
    <w:rsid w:val="007C290E"/>
    <w:rsid w:val="007C2980"/>
    <w:rsid w:val="007C2B9E"/>
    <w:rsid w:val="007C3122"/>
    <w:rsid w:val="007C35C3"/>
    <w:rsid w:val="007C3640"/>
    <w:rsid w:val="007C39E0"/>
    <w:rsid w:val="007C3B7A"/>
    <w:rsid w:val="007C3F3F"/>
    <w:rsid w:val="007C425F"/>
    <w:rsid w:val="007C4CD5"/>
    <w:rsid w:val="007C4DF5"/>
    <w:rsid w:val="007C5325"/>
    <w:rsid w:val="007C5A39"/>
    <w:rsid w:val="007C5B23"/>
    <w:rsid w:val="007C5B2B"/>
    <w:rsid w:val="007C6137"/>
    <w:rsid w:val="007C61C6"/>
    <w:rsid w:val="007C6315"/>
    <w:rsid w:val="007C653A"/>
    <w:rsid w:val="007C6589"/>
    <w:rsid w:val="007C6769"/>
    <w:rsid w:val="007C687B"/>
    <w:rsid w:val="007C6A0F"/>
    <w:rsid w:val="007C6DAE"/>
    <w:rsid w:val="007C6F34"/>
    <w:rsid w:val="007C6F6B"/>
    <w:rsid w:val="007C72FE"/>
    <w:rsid w:val="007C7741"/>
    <w:rsid w:val="007C7C42"/>
    <w:rsid w:val="007C7EDE"/>
    <w:rsid w:val="007D0898"/>
    <w:rsid w:val="007D0D6C"/>
    <w:rsid w:val="007D15CB"/>
    <w:rsid w:val="007D1DFC"/>
    <w:rsid w:val="007D1FC0"/>
    <w:rsid w:val="007D2718"/>
    <w:rsid w:val="007D3648"/>
    <w:rsid w:val="007D3C1D"/>
    <w:rsid w:val="007D3C34"/>
    <w:rsid w:val="007D3DF7"/>
    <w:rsid w:val="007D3F2E"/>
    <w:rsid w:val="007D4688"/>
    <w:rsid w:val="007D46E9"/>
    <w:rsid w:val="007D5644"/>
    <w:rsid w:val="007D56BF"/>
    <w:rsid w:val="007D62D8"/>
    <w:rsid w:val="007D6E3D"/>
    <w:rsid w:val="007D6EC5"/>
    <w:rsid w:val="007D781C"/>
    <w:rsid w:val="007D7849"/>
    <w:rsid w:val="007D79ED"/>
    <w:rsid w:val="007D7A2C"/>
    <w:rsid w:val="007E07B2"/>
    <w:rsid w:val="007E13D7"/>
    <w:rsid w:val="007E1553"/>
    <w:rsid w:val="007E1631"/>
    <w:rsid w:val="007E1855"/>
    <w:rsid w:val="007E207F"/>
    <w:rsid w:val="007E224C"/>
    <w:rsid w:val="007E250D"/>
    <w:rsid w:val="007E3453"/>
    <w:rsid w:val="007E35DC"/>
    <w:rsid w:val="007E360C"/>
    <w:rsid w:val="007E3C2F"/>
    <w:rsid w:val="007E3CC5"/>
    <w:rsid w:val="007E4023"/>
    <w:rsid w:val="007E4239"/>
    <w:rsid w:val="007E4318"/>
    <w:rsid w:val="007E44E5"/>
    <w:rsid w:val="007E49AB"/>
    <w:rsid w:val="007E4A0D"/>
    <w:rsid w:val="007E57C2"/>
    <w:rsid w:val="007E5A28"/>
    <w:rsid w:val="007E5DDC"/>
    <w:rsid w:val="007E6093"/>
    <w:rsid w:val="007E6183"/>
    <w:rsid w:val="007E6B8B"/>
    <w:rsid w:val="007E6CEA"/>
    <w:rsid w:val="007E6D47"/>
    <w:rsid w:val="007E6DE5"/>
    <w:rsid w:val="007E6E1C"/>
    <w:rsid w:val="007E73CA"/>
    <w:rsid w:val="007E7953"/>
    <w:rsid w:val="007E79F0"/>
    <w:rsid w:val="007E7CE1"/>
    <w:rsid w:val="007E7E8A"/>
    <w:rsid w:val="007F0D3D"/>
    <w:rsid w:val="007F17A9"/>
    <w:rsid w:val="007F1CD7"/>
    <w:rsid w:val="007F1F77"/>
    <w:rsid w:val="007F282C"/>
    <w:rsid w:val="007F2AC3"/>
    <w:rsid w:val="007F2D3A"/>
    <w:rsid w:val="007F2F22"/>
    <w:rsid w:val="007F394B"/>
    <w:rsid w:val="007F3FD4"/>
    <w:rsid w:val="007F41ED"/>
    <w:rsid w:val="007F4257"/>
    <w:rsid w:val="007F4B9E"/>
    <w:rsid w:val="007F4D0B"/>
    <w:rsid w:val="007F55C2"/>
    <w:rsid w:val="007F561E"/>
    <w:rsid w:val="007F5AB2"/>
    <w:rsid w:val="007F5ED3"/>
    <w:rsid w:val="007F6E0D"/>
    <w:rsid w:val="007F7049"/>
    <w:rsid w:val="007F7263"/>
    <w:rsid w:val="007F7BF4"/>
    <w:rsid w:val="008001E4"/>
    <w:rsid w:val="008003F0"/>
    <w:rsid w:val="0080062D"/>
    <w:rsid w:val="00800C79"/>
    <w:rsid w:val="00800E85"/>
    <w:rsid w:val="00801262"/>
    <w:rsid w:val="0080137C"/>
    <w:rsid w:val="00801D03"/>
    <w:rsid w:val="00801ED1"/>
    <w:rsid w:val="008021A5"/>
    <w:rsid w:val="008022EE"/>
    <w:rsid w:val="00802357"/>
    <w:rsid w:val="00802B78"/>
    <w:rsid w:val="00803306"/>
    <w:rsid w:val="00804D3F"/>
    <w:rsid w:val="00804EAF"/>
    <w:rsid w:val="0080571C"/>
    <w:rsid w:val="0080584A"/>
    <w:rsid w:val="00805F47"/>
    <w:rsid w:val="0080601C"/>
    <w:rsid w:val="0080631A"/>
    <w:rsid w:val="0080636B"/>
    <w:rsid w:val="00806630"/>
    <w:rsid w:val="00806A15"/>
    <w:rsid w:val="00806C0E"/>
    <w:rsid w:val="00806E1E"/>
    <w:rsid w:val="00806E77"/>
    <w:rsid w:val="008079E5"/>
    <w:rsid w:val="00810321"/>
    <w:rsid w:val="00810ADD"/>
    <w:rsid w:val="00810B1C"/>
    <w:rsid w:val="00810C26"/>
    <w:rsid w:val="008113F6"/>
    <w:rsid w:val="0081147C"/>
    <w:rsid w:val="008114EC"/>
    <w:rsid w:val="0081156C"/>
    <w:rsid w:val="008115C0"/>
    <w:rsid w:val="0081172B"/>
    <w:rsid w:val="00811F2B"/>
    <w:rsid w:val="00812081"/>
    <w:rsid w:val="0081231E"/>
    <w:rsid w:val="00812406"/>
    <w:rsid w:val="00812716"/>
    <w:rsid w:val="00812941"/>
    <w:rsid w:val="00812EB1"/>
    <w:rsid w:val="008131B6"/>
    <w:rsid w:val="008132C5"/>
    <w:rsid w:val="0081385B"/>
    <w:rsid w:val="00813A12"/>
    <w:rsid w:val="00813C6F"/>
    <w:rsid w:val="008140D8"/>
    <w:rsid w:val="00815531"/>
    <w:rsid w:val="0081634F"/>
    <w:rsid w:val="008167F6"/>
    <w:rsid w:val="00816C27"/>
    <w:rsid w:val="00816C94"/>
    <w:rsid w:val="00816EA2"/>
    <w:rsid w:val="00817063"/>
    <w:rsid w:val="00817394"/>
    <w:rsid w:val="00817D86"/>
    <w:rsid w:val="00817F96"/>
    <w:rsid w:val="008200DC"/>
    <w:rsid w:val="00820218"/>
    <w:rsid w:val="00820A9B"/>
    <w:rsid w:val="00821B6F"/>
    <w:rsid w:val="00821EAC"/>
    <w:rsid w:val="00821FBC"/>
    <w:rsid w:val="00822100"/>
    <w:rsid w:val="008222B2"/>
    <w:rsid w:val="00822576"/>
    <w:rsid w:val="008226C2"/>
    <w:rsid w:val="00822965"/>
    <w:rsid w:val="00822A23"/>
    <w:rsid w:val="00822A79"/>
    <w:rsid w:val="00822ACA"/>
    <w:rsid w:val="00822B3A"/>
    <w:rsid w:val="00822D26"/>
    <w:rsid w:val="00823553"/>
    <w:rsid w:val="00823BC0"/>
    <w:rsid w:val="00824140"/>
    <w:rsid w:val="008242DC"/>
    <w:rsid w:val="0082446E"/>
    <w:rsid w:val="00824538"/>
    <w:rsid w:val="008247A9"/>
    <w:rsid w:val="00824A23"/>
    <w:rsid w:val="00824CD7"/>
    <w:rsid w:val="00825A89"/>
    <w:rsid w:val="0082628B"/>
    <w:rsid w:val="008269B4"/>
    <w:rsid w:val="00826FF1"/>
    <w:rsid w:val="0082720D"/>
    <w:rsid w:val="00827251"/>
    <w:rsid w:val="00827669"/>
    <w:rsid w:val="0082785D"/>
    <w:rsid w:val="00827969"/>
    <w:rsid w:val="00827CC9"/>
    <w:rsid w:val="00827F9A"/>
    <w:rsid w:val="00827FD0"/>
    <w:rsid w:val="0083000E"/>
    <w:rsid w:val="0083022C"/>
    <w:rsid w:val="0083053E"/>
    <w:rsid w:val="00830610"/>
    <w:rsid w:val="00830A28"/>
    <w:rsid w:val="00830B98"/>
    <w:rsid w:val="00830DD4"/>
    <w:rsid w:val="00830FCF"/>
    <w:rsid w:val="008312F8"/>
    <w:rsid w:val="00831401"/>
    <w:rsid w:val="008317F0"/>
    <w:rsid w:val="00831E15"/>
    <w:rsid w:val="008322D3"/>
    <w:rsid w:val="0083240C"/>
    <w:rsid w:val="0083266C"/>
    <w:rsid w:val="00832C31"/>
    <w:rsid w:val="00832E02"/>
    <w:rsid w:val="00832FFB"/>
    <w:rsid w:val="008330BE"/>
    <w:rsid w:val="0083327F"/>
    <w:rsid w:val="0083341A"/>
    <w:rsid w:val="00833691"/>
    <w:rsid w:val="00833807"/>
    <w:rsid w:val="008338ED"/>
    <w:rsid w:val="00833A1F"/>
    <w:rsid w:val="0083457F"/>
    <w:rsid w:val="00834A73"/>
    <w:rsid w:val="00834A87"/>
    <w:rsid w:val="00834A9E"/>
    <w:rsid w:val="00834DAD"/>
    <w:rsid w:val="00835070"/>
    <w:rsid w:val="008350EC"/>
    <w:rsid w:val="0083552D"/>
    <w:rsid w:val="0083582C"/>
    <w:rsid w:val="00835A14"/>
    <w:rsid w:val="0083613B"/>
    <w:rsid w:val="00836665"/>
    <w:rsid w:val="00836DE2"/>
    <w:rsid w:val="0083701D"/>
    <w:rsid w:val="00837205"/>
    <w:rsid w:val="00837C0C"/>
    <w:rsid w:val="00837EB9"/>
    <w:rsid w:val="00840191"/>
    <w:rsid w:val="008401CE"/>
    <w:rsid w:val="00840592"/>
    <w:rsid w:val="0084094B"/>
    <w:rsid w:val="00840F2B"/>
    <w:rsid w:val="00840FE8"/>
    <w:rsid w:val="00841948"/>
    <w:rsid w:val="008421C7"/>
    <w:rsid w:val="0084255B"/>
    <w:rsid w:val="008426BD"/>
    <w:rsid w:val="00842D09"/>
    <w:rsid w:val="00842D1B"/>
    <w:rsid w:val="00842E0B"/>
    <w:rsid w:val="008433C6"/>
    <w:rsid w:val="0084343B"/>
    <w:rsid w:val="00843491"/>
    <w:rsid w:val="008434EC"/>
    <w:rsid w:val="008435E0"/>
    <w:rsid w:val="00843767"/>
    <w:rsid w:val="00843CF6"/>
    <w:rsid w:val="00843DB6"/>
    <w:rsid w:val="008440C8"/>
    <w:rsid w:val="008440F1"/>
    <w:rsid w:val="0084473E"/>
    <w:rsid w:val="00844C47"/>
    <w:rsid w:val="008452F7"/>
    <w:rsid w:val="008458AB"/>
    <w:rsid w:val="00845A39"/>
    <w:rsid w:val="00845C44"/>
    <w:rsid w:val="0084651C"/>
    <w:rsid w:val="0084664D"/>
    <w:rsid w:val="00846C68"/>
    <w:rsid w:val="008472D5"/>
    <w:rsid w:val="008474FC"/>
    <w:rsid w:val="0084761C"/>
    <w:rsid w:val="008476AE"/>
    <w:rsid w:val="00847734"/>
    <w:rsid w:val="00847AAB"/>
    <w:rsid w:val="00847B2B"/>
    <w:rsid w:val="00847DED"/>
    <w:rsid w:val="00847E8A"/>
    <w:rsid w:val="008502EF"/>
    <w:rsid w:val="008505C6"/>
    <w:rsid w:val="00851170"/>
    <w:rsid w:val="00851404"/>
    <w:rsid w:val="008516E3"/>
    <w:rsid w:val="0085186A"/>
    <w:rsid w:val="008518B4"/>
    <w:rsid w:val="0085199F"/>
    <w:rsid w:val="00851B22"/>
    <w:rsid w:val="00851BBE"/>
    <w:rsid w:val="00851C17"/>
    <w:rsid w:val="00851F48"/>
    <w:rsid w:val="00851FC2"/>
    <w:rsid w:val="0085201A"/>
    <w:rsid w:val="008521C5"/>
    <w:rsid w:val="008521D4"/>
    <w:rsid w:val="008525E0"/>
    <w:rsid w:val="0085277D"/>
    <w:rsid w:val="008528FE"/>
    <w:rsid w:val="00852AF4"/>
    <w:rsid w:val="00852B17"/>
    <w:rsid w:val="00852E9A"/>
    <w:rsid w:val="008534B2"/>
    <w:rsid w:val="00853815"/>
    <w:rsid w:val="0085393D"/>
    <w:rsid w:val="00853B26"/>
    <w:rsid w:val="00853C78"/>
    <w:rsid w:val="00853D19"/>
    <w:rsid w:val="00853E76"/>
    <w:rsid w:val="0085400E"/>
    <w:rsid w:val="008544F3"/>
    <w:rsid w:val="0085485C"/>
    <w:rsid w:val="00854A2C"/>
    <w:rsid w:val="0085561E"/>
    <w:rsid w:val="0085574B"/>
    <w:rsid w:val="00855952"/>
    <w:rsid w:val="00855A91"/>
    <w:rsid w:val="00855BB9"/>
    <w:rsid w:val="00856893"/>
    <w:rsid w:val="00856A85"/>
    <w:rsid w:val="00856AB6"/>
    <w:rsid w:val="0085770F"/>
    <w:rsid w:val="00857CF5"/>
    <w:rsid w:val="00857D26"/>
    <w:rsid w:val="00857FA4"/>
    <w:rsid w:val="008600E9"/>
    <w:rsid w:val="008600ED"/>
    <w:rsid w:val="00860297"/>
    <w:rsid w:val="0086042A"/>
    <w:rsid w:val="0086058B"/>
    <w:rsid w:val="0086087E"/>
    <w:rsid w:val="00861397"/>
    <w:rsid w:val="00861B13"/>
    <w:rsid w:val="00862771"/>
    <w:rsid w:val="00862832"/>
    <w:rsid w:val="008639EF"/>
    <w:rsid w:val="00863A90"/>
    <w:rsid w:val="00863B60"/>
    <w:rsid w:val="00863C4D"/>
    <w:rsid w:val="00863D84"/>
    <w:rsid w:val="00863F46"/>
    <w:rsid w:val="008640B0"/>
    <w:rsid w:val="00864538"/>
    <w:rsid w:val="008645E9"/>
    <w:rsid w:val="00864D7B"/>
    <w:rsid w:val="0086561A"/>
    <w:rsid w:val="00865805"/>
    <w:rsid w:val="00865945"/>
    <w:rsid w:val="008664E3"/>
    <w:rsid w:val="0086658E"/>
    <w:rsid w:val="00866594"/>
    <w:rsid w:val="00866B78"/>
    <w:rsid w:val="00866BAB"/>
    <w:rsid w:val="00866C51"/>
    <w:rsid w:val="00866C95"/>
    <w:rsid w:val="00866FA1"/>
    <w:rsid w:val="00866FF6"/>
    <w:rsid w:val="00867112"/>
    <w:rsid w:val="00867270"/>
    <w:rsid w:val="00867C53"/>
    <w:rsid w:val="00867E41"/>
    <w:rsid w:val="00870348"/>
    <w:rsid w:val="008704F4"/>
    <w:rsid w:val="00870AAB"/>
    <w:rsid w:val="00870BC6"/>
    <w:rsid w:val="00870DF1"/>
    <w:rsid w:val="00871ED0"/>
    <w:rsid w:val="008722AB"/>
    <w:rsid w:val="00872C4C"/>
    <w:rsid w:val="00872DFF"/>
    <w:rsid w:val="00873055"/>
    <w:rsid w:val="00873376"/>
    <w:rsid w:val="00873555"/>
    <w:rsid w:val="008736D7"/>
    <w:rsid w:val="0087410B"/>
    <w:rsid w:val="00874538"/>
    <w:rsid w:val="008746AD"/>
    <w:rsid w:val="008746E8"/>
    <w:rsid w:val="00874E6D"/>
    <w:rsid w:val="00875826"/>
    <w:rsid w:val="008758A8"/>
    <w:rsid w:val="00875B44"/>
    <w:rsid w:val="008762E1"/>
    <w:rsid w:val="0087634A"/>
    <w:rsid w:val="008764B8"/>
    <w:rsid w:val="00876506"/>
    <w:rsid w:val="0087671E"/>
    <w:rsid w:val="008767FF"/>
    <w:rsid w:val="00876E38"/>
    <w:rsid w:val="00877799"/>
    <w:rsid w:val="008802F8"/>
    <w:rsid w:val="0088049B"/>
    <w:rsid w:val="008805EF"/>
    <w:rsid w:val="00881220"/>
    <w:rsid w:val="00881223"/>
    <w:rsid w:val="0088149B"/>
    <w:rsid w:val="008816C7"/>
    <w:rsid w:val="00881BE6"/>
    <w:rsid w:val="00881ED5"/>
    <w:rsid w:val="0088243A"/>
    <w:rsid w:val="008827C5"/>
    <w:rsid w:val="00882816"/>
    <w:rsid w:val="0088323F"/>
    <w:rsid w:val="00883D60"/>
    <w:rsid w:val="00883F6F"/>
    <w:rsid w:val="008840CB"/>
    <w:rsid w:val="00884384"/>
    <w:rsid w:val="00884453"/>
    <w:rsid w:val="008844F0"/>
    <w:rsid w:val="008845BC"/>
    <w:rsid w:val="00884706"/>
    <w:rsid w:val="0088483D"/>
    <w:rsid w:val="00884CB9"/>
    <w:rsid w:val="00885454"/>
    <w:rsid w:val="0088565A"/>
    <w:rsid w:val="00886EFF"/>
    <w:rsid w:val="00887038"/>
    <w:rsid w:val="0088750F"/>
    <w:rsid w:val="00887ACD"/>
    <w:rsid w:val="00887D9D"/>
    <w:rsid w:val="00890539"/>
    <w:rsid w:val="00890848"/>
    <w:rsid w:val="0089160B"/>
    <w:rsid w:val="008916E5"/>
    <w:rsid w:val="00891768"/>
    <w:rsid w:val="008918AF"/>
    <w:rsid w:val="00891DAC"/>
    <w:rsid w:val="00892472"/>
    <w:rsid w:val="00892559"/>
    <w:rsid w:val="00892900"/>
    <w:rsid w:val="00892CBD"/>
    <w:rsid w:val="00892CF7"/>
    <w:rsid w:val="00892EB6"/>
    <w:rsid w:val="0089301F"/>
    <w:rsid w:val="008936F8"/>
    <w:rsid w:val="00893795"/>
    <w:rsid w:val="00893F15"/>
    <w:rsid w:val="008940A8"/>
    <w:rsid w:val="008940FE"/>
    <w:rsid w:val="008941C3"/>
    <w:rsid w:val="008945DF"/>
    <w:rsid w:val="00894A3A"/>
    <w:rsid w:val="00895D44"/>
    <w:rsid w:val="00895D84"/>
    <w:rsid w:val="0089611E"/>
    <w:rsid w:val="008963B7"/>
    <w:rsid w:val="0089653B"/>
    <w:rsid w:val="00896714"/>
    <w:rsid w:val="0089671C"/>
    <w:rsid w:val="0089677C"/>
    <w:rsid w:val="008978C7"/>
    <w:rsid w:val="00897903"/>
    <w:rsid w:val="00897CA1"/>
    <w:rsid w:val="008A004A"/>
    <w:rsid w:val="008A02EC"/>
    <w:rsid w:val="008A063F"/>
    <w:rsid w:val="008A0C03"/>
    <w:rsid w:val="008A0DB0"/>
    <w:rsid w:val="008A0FF3"/>
    <w:rsid w:val="008A10F3"/>
    <w:rsid w:val="008A1264"/>
    <w:rsid w:val="008A143B"/>
    <w:rsid w:val="008A15E3"/>
    <w:rsid w:val="008A18CD"/>
    <w:rsid w:val="008A1A1A"/>
    <w:rsid w:val="008A1B57"/>
    <w:rsid w:val="008A1D27"/>
    <w:rsid w:val="008A1D2C"/>
    <w:rsid w:val="008A253A"/>
    <w:rsid w:val="008A29BE"/>
    <w:rsid w:val="008A3805"/>
    <w:rsid w:val="008A3B5B"/>
    <w:rsid w:val="008A456A"/>
    <w:rsid w:val="008A4AA5"/>
    <w:rsid w:val="008A50BF"/>
    <w:rsid w:val="008A55C3"/>
    <w:rsid w:val="008A55E7"/>
    <w:rsid w:val="008A59AD"/>
    <w:rsid w:val="008A5AFF"/>
    <w:rsid w:val="008A5C26"/>
    <w:rsid w:val="008A5C90"/>
    <w:rsid w:val="008A5F17"/>
    <w:rsid w:val="008A610C"/>
    <w:rsid w:val="008A645A"/>
    <w:rsid w:val="008A6570"/>
    <w:rsid w:val="008A6724"/>
    <w:rsid w:val="008A6C12"/>
    <w:rsid w:val="008A6F2E"/>
    <w:rsid w:val="008A6FE7"/>
    <w:rsid w:val="008A7B1A"/>
    <w:rsid w:val="008A7C06"/>
    <w:rsid w:val="008A7C4A"/>
    <w:rsid w:val="008A7EE1"/>
    <w:rsid w:val="008B05CE"/>
    <w:rsid w:val="008B0F29"/>
    <w:rsid w:val="008B120E"/>
    <w:rsid w:val="008B15D2"/>
    <w:rsid w:val="008B22C9"/>
    <w:rsid w:val="008B2B30"/>
    <w:rsid w:val="008B32B3"/>
    <w:rsid w:val="008B34C7"/>
    <w:rsid w:val="008B3640"/>
    <w:rsid w:val="008B3BB3"/>
    <w:rsid w:val="008B4203"/>
    <w:rsid w:val="008B4365"/>
    <w:rsid w:val="008B45BB"/>
    <w:rsid w:val="008B4BC5"/>
    <w:rsid w:val="008B4D62"/>
    <w:rsid w:val="008B4F5C"/>
    <w:rsid w:val="008B4F6E"/>
    <w:rsid w:val="008B4FFA"/>
    <w:rsid w:val="008B50ED"/>
    <w:rsid w:val="008B57C8"/>
    <w:rsid w:val="008B5EE3"/>
    <w:rsid w:val="008B6110"/>
    <w:rsid w:val="008B633A"/>
    <w:rsid w:val="008B63AD"/>
    <w:rsid w:val="008B65CC"/>
    <w:rsid w:val="008B6A6A"/>
    <w:rsid w:val="008B71D8"/>
    <w:rsid w:val="008B784F"/>
    <w:rsid w:val="008C0022"/>
    <w:rsid w:val="008C043A"/>
    <w:rsid w:val="008C087B"/>
    <w:rsid w:val="008C0E66"/>
    <w:rsid w:val="008C101E"/>
    <w:rsid w:val="008C1526"/>
    <w:rsid w:val="008C15C2"/>
    <w:rsid w:val="008C1728"/>
    <w:rsid w:val="008C1A71"/>
    <w:rsid w:val="008C1D37"/>
    <w:rsid w:val="008C1EB2"/>
    <w:rsid w:val="008C21E7"/>
    <w:rsid w:val="008C2225"/>
    <w:rsid w:val="008C27B4"/>
    <w:rsid w:val="008C2A1D"/>
    <w:rsid w:val="008C3117"/>
    <w:rsid w:val="008C3171"/>
    <w:rsid w:val="008C3209"/>
    <w:rsid w:val="008C32E3"/>
    <w:rsid w:val="008C3610"/>
    <w:rsid w:val="008C374B"/>
    <w:rsid w:val="008C3821"/>
    <w:rsid w:val="008C429A"/>
    <w:rsid w:val="008C42C4"/>
    <w:rsid w:val="008C431F"/>
    <w:rsid w:val="008C47B6"/>
    <w:rsid w:val="008C4899"/>
    <w:rsid w:val="008C48F3"/>
    <w:rsid w:val="008C4B39"/>
    <w:rsid w:val="008C5559"/>
    <w:rsid w:val="008C5D5B"/>
    <w:rsid w:val="008C6B43"/>
    <w:rsid w:val="008C721B"/>
    <w:rsid w:val="008C7687"/>
    <w:rsid w:val="008D00F2"/>
    <w:rsid w:val="008D0B50"/>
    <w:rsid w:val="008D0C8D"/>
    <w:rsid w:val="008D0DAD"/>
    <w:rsid w:val="008D1A88"/>
    <w:rsid w:val="008D1B2F"/>
    <w:rsid w:val="008D1D6D"/>
    <w:rsid w:val="008D2122"/>
    <w:rsid w:val="008D2465"/>
    <w:rsid w:val="008D2899"/>
    <w:rsid w:val="008D2A34"/>
    <w:rsid w:val="008D2C09"/>
    <w:rsid w:val="008D2EB7"/>
    <w:rsid w:val="008D333A"/>
    <w:rsid w:val="008D34F0"/>
    <w:rsid w:val="008D3757"/>
    <w:rsid w:val="008D389D"/>
    <w:rsid w:val="008D3A2F"/>
    <w:rsid w:val="008D3AB6"/>
    <w:rsid w:val="008D3CF3"/>
    <w:rsid w:val="008D3FE7"/>
    <w:rsid w:val="008D4109"/>
    <w:rsid w:val="008D41D3"/>
    <w:rsid w:val="008D4312"/>
    <w:rsid w:val="008D455E"/>
    <w:rsid w:val="008D47C2"/>
    <w:rsid w:val="008D48E0"/>
    <w:rsid w:val="008D48E2"/>
    <w:rsid w:val="008D4A31"/>
    <w:rsid w:val="008D54C7"/>
    <w:rsid w:val="008D568F"/>
    <w:rsid w:val="008D56EA"/>
    <w:rsid w:val="008D5720"/>
    <w:rsid w:val="008D5F67"/>
    <w:rsid w:val="008D618B"/>
    <w:rsid w:val="008D6653"/>
    <w:rsid w:val="008D6D0C"/>
    <w:rsid w:val="008D6DA4"/>
    <w:rsid w:val="008D7E70"/>
    <w:rsid w:val="008E036F"/>
    <w:rsid w:val="008E0560"/>
    <w:rsid w:val="008E06F3"/>
    <w:rsid w:val="008E0BB4"/>
    <w:rsid w:val="008E0E73"/>
    <w:rsid w:val="008E11E4"/>
    <w:rsid w:val="008E1250"/>
    <w:rsid w:val="008E1294"/>
    <w:rsid w:val="008E17A2"/>
    <w:rsid w:val="008E1B82"/>
    <w:rsid w:val="008E1F8B"/>
    <w:rsid w:val="008E1F9B"/>
    <w:rsid w:val="008E215C"/>
    <w:rsid w:val="008E22DF"/>
    <w:rsid w:val="008E24CA"/>
    <w:rsid w:val="008E29D2"/>
    <w:rsid w:val="008E3273"/>
    <w:rsid w:val="008E35C7"/>
    <w:rsid w:val="008E3B68"/>
    <w:rsid w:val="008E42BA"/>
    <w:rsid w:val="008E4536"/>
    <w:rsid w:val="008E481A"/>
    <w:rsid w:val="008E4BC7"/>
    <w:rsid w:val="008E549B"/>
    <w:rsid w:val="008E5A54"/>
    <w:rsid w:val="008E5ABE"/>
    <w:rsid w:val="008E5E0E"/>
    <w:rsid w:val="008E6080"/>
    <w:rsid w:val="008E6143"/>
    <w:rsid w:val="008E68F1"/>
    <w:rsid w:val="008E6ACE"/>
    <w:rsid w:val="008E6E11"/>
    <w:rsid w:val="008E7246"/>
    <w:rsid w:val="008E7B69"/>
    <w:rsid w:val="008E7D20"/>
    <w:rsid w:val="008E7FE9"/>
    <w:rsid w:val="008F00AF"/>
    <w:rsid w:val="008F01E6"/>
    <w:rsid w:val="008F02D5"/>
    <w:rsid w:val="008F04FD"/>
    <w:rsid w:val="008F07E4"/>
    <w:rsid w:val="008F08FC"/>
    <w:rsid w:val="008F0DE4"/>
    <w:rsid w:val="008F0FAD"/>
    <w:rsid w:val="008F1194"/>
    <w:rsid w:val="008F143E"/>
    <w:rsid w:val="008F1618"/>
    <w:rsid w:val="008F1C77"/>
    <w:rsid w:val="008F1ED9"/>
    <w:rsid w:val="008F26E3"/>
    <w:rsid w:val="008F2721"/>
    <w:rsid w:val="008F2D73"/>
    <w:rsid w:val="008F3463"/>
    <w:rsid w:val="008F37A9"/>
    <w:rsid w:val="008F3996"/>
    <w:rsid w:val="008F3CC7"/>
    <w:rsid w:val="008F40AC"/>
    <w:rsid w:val="008F448C"/>
    <w:rsid w:val="008F4654"/>
    <w:rsid w:val="008F467B"/>
    <w:rsid w:val="008F46EC"/>
    <w:rsid w:val="008F4724"/>
    <w:rsid w:val="008F4B58"/>
    <w:rsid w:val="008F4EAE"/>
    <w:rsid w:val="008F5081"/>
    <w:rsid w:val="008F5185"/>
    <w:rsid w:val="008F5574"/>
    <w:rsid w:val="008F5B00"/>
    <w:rsid w:val="008F5B6D"/>
    <w:rsid w:val="008F5DFF"/>
    <w:rsid w:val="008F631B"/>
    <w:rsid w:val="008F699E"/>
    <w:rsid w:val="008F70CF"/>
    <w:rsid w:val="008F7556"/>
    <w:rsid w:val="008F77BD"/>
    <w:rsid w:val="008F7E31"/>
    <w:rsid w:val="008F7EDC"/>
    <w:rsid w:val="0090080F"/>
    <w:rsid w:val="00900DDC"/>
    <w:rsid w:val="00900F74"/>
    <w:rsid w:val="00901541"/>
    <w:rsid w:val="0090197E"/>
    <w:rsid w:val="0090224C"/>
    <w:rsid w:val="00902337"/>
    <w:rsid w:val="00902AC7"/>
    <w:rsid w:val="00903053"/>
    <w:rsid w:val="00903C93"/>
    <w:rsid w:val="00903FA0"/>
    <w:rsid w:val="0090457D"/>
    <w:rsid w:val="00904797"/>
    <w:rsid w:val="009047E7"/>
    <w:rsid w:val="00904ACC"/>
    <w:rsid w:val="00904BF5"/>
    <w:rsid w:val="00905423"/>
    <w:rsid w:val="00905472"/>
    <w:rsid w:val="00905520"/>
    <w:rsid w:val="0090617F"/>
    <w:rsid w:val="0090637F"/>
    <w:rsid w:val="0090650D"/>
    <w:rsid w:val="00906BAF"/>
    <w:rsid w:val="00906C42"/>
    <w:rsid w:val="00906E4E"/>
    <w:rsid w:val="009071CD"/>
    <w:rsid w:val="009074BD"/>
    <w:rsid w:val="00907750"/>
    <w:rsid w:val="00907E7A"/>
    <w:rsid w:val="00910B48"/>
    <w:rsid w:val="00910BE2"/>
    <w:rsid w:val="00911194"/>
    <w:rsid w:val="00911201"/>
    <w:rsid w:val="00911AFA"/>
    <w:rsid w:val="00912858"/>
    <w:rsid w:val="0091354C"/>
    <w:rsid w:val="00913703"/>
    <w:rsid w:val="0091392C"/>
    <w:rsid w:val="00913E69"/>
    <w:rsid w:val="009148F8"/>
    <w:rsid w:val="00914EBE"/>
    <w:rsid w:val="0091530E"/>
    <w:rsid w:val="009154AA"/>
    <w:rsid w:val="009157F7"/>
    <w:rsid w:val="00915AD1"/>
    <w:rsid w:val="009161D8"/>
    <w:rsid w:val="0091631C"/>
    <w:rsid w:val="00916A70"/>
    <w:rsid w:val="00916C31"/>
    <w:rsid w:val="00917270"/>
    <w:rsid w:val="009173AC"/>
    <w:rsid w:val="009175C6"/>
    <w:rsid w:val="0091E179"/>
    <w:rsid w:val="009204CA"/>
    <w:rsid w:val="00920801"/>
    <w:rsid w:val="00920B12"/>
    <w:rsid w:val="00920C15"/>
    <w:rsid w:val="00920E85"/>
    <w:rsid w:val="0092104B"/>
    <w:rsid w:val="009211F2"/>
    <w:rsid w:val="00921770"/>
    <w:rsid w:val="00921990"/>
    <w:rsid w:val="00921CFA"/>
    <w:rsid w:val="009223C6"/>
    <w:rsid w:val="00922550"/>
    <w:rsid w:val="009225CD"/>
    <w:rsid w:val="00922CC6"/>
    <w:rsid w:val="009237BE"/>
    <w:rsid w:val="009237F5"/>
    <w:rsid w:val="0092471B"/>
    <w:rsid w:val="00924A39"/>
    <w:rsid w:val="00924D6D"/>
    <w:rsid w:val="00924E14"/>
    <w:rsid w:val="00925810"/>
    <w:rsid w:val="0092595B"/>
    <w:rsid w:val="00925BE3"/>
    <w:rsid w:val="00925E00"/>
    <w:rsid w:val="00925F0F"/>
    <w:rsid w:val="0092611E"/>
    <w:rsid w:val="0092687D"/>
    <w:rsid w:val="00926929"/>
    <w:rsid w:val="00926B6F"/>
    <w:rsid w:val="00926C2D"/>
    <w:rsid w:val="00926E42"/>
    <w:rsid w:val="00926E49"/>
    <w:rsid w:val="00926F3C"/>
    <w:rsid w:val="0092735B"/>
    <w:rsid w:val="009276CD"/>
    <w:rsid w:val="00927730"/>
    <w:rsid w:val="0093031A"/>
    <w:rsid w:val="009304D9"/>
    <w:rsid w:val="009306E6"/>
    <w:rsid w:val="009307FE"/>
    <w:rsid w:val="00930AE2"/>
    <w:rsid w:val="00930C5B"/>
    <w:rsid w:val="00931264"/>
    <w:rsid w:val="00931399"/>
    <w:rsid w:val="00931945"/>
    <w:rsid w:val="00931EB0"/>
    <w:rsid w:val="009320A2"/>
    <w:rsid w:val="0093216E"/>
    <w:rsid w:val="0093295D"/>
    <w:rsid w:val="00932E59"/>
    <w:rsid w:val="00932F1E"/>
    <w:rsid w:val="0093314C"/>
    <w:rsid w:val="00933266"/>
    <w:rsid w:val="009332FF"/>
    <w:rsid w:val="00933B4C"/>
    <w:rsid w:val="00933C23"/>
    <w:rsid w:val="00933C48"/>
    <w:rsid w:val="0093468D"/>
    <w:rsid w:val="00934FBF"/>
    <w:rsid w:val="00935268"/>
    <w:rsid w:val="00935660"/>
    <w:rsid w:val="00935850"/>
    <w:rsid w:val="009358DC"/>
    <w:rsid w:val="00935B5C"/>
    <w:rsid w:val="00935C70"/>
    <w:rsid w:val="00935FC2"/>
    <w:rsid w:val="0093638D"/>
    <w:rsid w:val="009364B8"/>
    <w:rsid w:val="00936A17"/>
    <w:rsid w:val="00936C25"/>
    <w:rsid w:val="00937C07"/>
    <w:rsid w:val="00940111"/>
    <w:rsid w:val="009406D0"/>
    <w:rsid w:val="00940D27"/>
    <w:rsid w:val="009410FA"/>
    <w:rsid w:val="009414AA"/>
    <w:rsid w:val="009415E9"/>
    <w:rsid w:val="00941923"/>
    <w:rsid w:val="00941B37"/>
    <w:rsid w:val="00941E3C"/>
    <w:rsid w:val="00941F22"/>
    <w:rsid w:val="00942AAD"/>
    <w:rsid w:val="00942F2E"/>
    <w:rsid w:val="00942F54"/>
    <w:rsid w:val="00942F80"/>
    <w:rsid w:val="00943337"/>
    <w:rsid w:val="0094344C"/>
    <w:rsid w:val="00943ECF"/>
    <w:rsid w:val="0094452C"/>
    <w:rsid w:val="00945140"/>
    <w:rsid w:val="009454E6"/>
    <w:rsid w:val="00945C8A"/>
    <w:rsid w:val="00945DC5"/>
    <w:rsid w:val="009464AC"/>
    <w:rsid w:val="00946B20"/>
    <w:rsid w:val="00946C3C"/>
    <w:rsid w:val="00946DDE"/>
    <w:rsid w:val="0094750E"/>
    <w:rsid w:val="00947690"/>
    <w:rsid w:val="009476A2"/>
    <w:rsid w:val="0094775B"/>
    <w:rsid w:val="009478F8"/>
    <w:rsid w:val="009479A2"/>
    <w:rsid w:val="009501AB"/>
    <w:rsid w:val="0095044C"/>
    <w:rsid w:val="009509A0"/>
    <w:rsid w:val="00950DF1"/>
    <w:rsid w:val="009511D4"/>
    <w:rsid w:val="009511D5"/>
    <w:rsid w:val="0095136F"/>
    <w:rsid w:val="0095149D"/>
    <w:rsid w:val="009516AC"/>
    <w:rsid w:val="00951B3E"/>
    <w:rsid w:val="009521AA"/>
    <w:rsid w:val="009524E9"/>
    <w:rsid w:val="00953393"/>
    <w:rsid w:val="009534AE"/>
    <w:rsid w:val="00954121"/>
    <w:rsid w:val="00954245"/>
    <w:rsid w:val="009543BA"/>
    <w:rsid w:val="00954453"/>
    <w:rsid w:val="00954509"/>
    <w:rsid w:val="00954799"/>
    <w:rsid w:val="009548E3"/>
    <w:rsid w:val="00954DC6"/>
    <w:rsid w:val="009551C8"/>
    <w:rsid w:val="009551F5"/>
    <w:rsid w:val="009554AF"/>
    <w:rsid w:val="009558BD"/>
    <w:rsid w:val="009559A7"/>
    <w:rsid w:val="00955F98"/>
    <w:rsid w:val="0095675F"/>
    <w:rsid w:val="009569F4"/>
    <w:rsid w:val="00956B07"/>
    <w:rsid w:val="00956D66"/>
    <w:rsid w:val="00957564"/>
    <w:rsid w:val="00957731"/>
    <w:rsid w:val="00957D5E"/>
    <w:rsid w:val="00957F19"/>
    <w:rsid w:val="009604CF"/>
    <w:rsid w:val="00960B27"/>
    <w:rsid w:val="00960ECA"/>
    <w:rsid w:val="00961B05"/>
    <w:rsid w:val="00962329"/>
    <w:rsid w:val="00963143"/>
    <w:rsid w:val="00963414"/>
    <w:rsid w:val="00963927"/>
    <w:rsid w:val="009640E5"/>
    <w:rsid w:val="0096445B"/>
    <w:rsid w:val="0096453F"/>
    <w:rsid w:val="00964B2F"/>
    <w:rsid w:val="00964DA2"/>
    <w:rsid w:val="009654EC"/>
    <w:rsid w:val="00965AA2"/>
    <w:rsid w:val="00965CD1"/>
    <w:rsid w:val="00965D36"/>
    <w:rsid w:val="00965F25"/>
    <w:rsid w:val="009664BD"/>
    <w:rsid w:val="00966CFC"/>
    <w:rsid w:val="00966D0A"/>
    <w:rsid w:val="00966EAF"/>
    <w:rsid w:val="00967375"/>
    <w:rsid w:val="00967727"/>
    <w:rsid w:val="00967A3B"/>
    <w:rsid w:val="00967F7B"/>
    <w:rsid w:val="00970221"/>
    <w:rsid w:val="009702CA"/>
    <w:rsid w:val="00970392"/>
    <w:rsid w:val="00970CD1"/>
    <w:rsid w:val="00971ACB"/>
    <w:rsid w:val="00971B09"/>
    <w:rsid w:val="00971FF0"/>
    <w:rsid w:val="00972A2B"/>
    <w:rsid w:val="009730EE"/>
    <w:rsid w:val="00973803"/>
    <w:rsid w:val="0097382F"/>
    <w:rsid w:val="00973C41"/>
    <w:rsid w:val="00973DE4"/>
    <w:rsid w:val="00973F99"/>
    <w:rsid w:val="00973FFF"/>
    <w:rsid w:val="00974199"/>
    <w:rsid w:val="00974902"/>
    <w:rsid w:val="00974C5C"/>
    <w:rsid w:val="00974DB8"/>
    <w:rsid w:val="0097504D"/>
    <w:rsid w:val="00975E67"/>
    <w:rsid w:val="00975EDC"/>
    <w:rsid w:val="009768DC"/>
    <w:rsid w:val="00976AEE"/>
    <w:rsid w:val="00976D58"/>
    <w:rsid w:val="00976D98"/>
    <w:rsid w:val="00976FB7"/>
    <w:rsid w:val="009778DC"/>
    <w:rsid w:val="00980074"/>
    <w:rsid w:val="009800B2"/>
    <w:rsid w:val="0098032E"/>
    <w:rsid w:val="009803BF"/>
    <w:rsid w:val="009803E5"/>
    <w:rsid w:val="00980618"/>
    <w:rsid w:val="00980C68"/>
    <w:rsid w:val="009811B0"/>
    <w:rsid w:val="00981283"/>
    <w:rsid w:val="009814E0"/>
    <w:rsid w:val="00981839"/>
    <w:rsid w:val="00981C07"/>
    <w:rsid w:val="00981DB0"/>
    <w:rsid w:val="009828E1"/>
    <w:rsid w:val="00982CBD"/>
    <w:rsid w:val="00982D94"/>
    <w:rsid w:val="009831B9"/>
    <w:rsid w:val="00983354"/>
    <w:rsid w:val="00983B30"/>
    <w:rsid w:val="00983D53"/>
    <w:rsid w:val="00983DED"/>
    <w:rsid w:val="0098453F"/>
    <w:rsid w:val="00984602"/>
    <w:rsid w:val="00985A6B"/>
    <w:rsid w:val="00985C2B"/>
    <w:rsid w:val="00985ED7"/>
    <w:rsid w:val="00986530"/>
    <w:rsid w:val="009865BB"/>
    <w:rsid w:val="009865C8"/>
    <w:rsid w:val="00986903"/>
    <w:rsid w:val="009872E3"/>
    <w:rsid w:val="009872F0"/>
    <w:rsid w:val="00987559"/>
    <w:rsid w:val="0098766A"/>
    <w:rsid w:val="0098767E"/>
    <w:rsid w:val="00987943"/>
    <w:rsid w:val="00987FF1"/>
    <w:rsid w:val="00990742"/>
    <w:rsid w:val="00990CDE"/>
    <w:rsid w:val="00990D45"/>
    <w:rsid w:val="0099135F"/>
    <w:rsid w:val="00991AB6"/>
    <w:rsid w:val="00991FDC"/>
    <w:rsid w:val="00992183"/>
    <w:rsid w:val="0099254C"/>
    <w:rsid w:val="009926E3"/>
    <w:rsid w:val="00992768"/>
    <w:rsid w:val="00992EE5"/>
    <w:rsid w:val="00993137"/>
    <w:rsid w:val="0099323A"/>
    <w:rsid w:val="00993A19"/>
    <w:rsid w:val="00993ADD"/>
    <w:rsid w:val="00993BA1"/>
    <w:rsid w:val="009948F9"/>
    <w:rsid w:val="009949D3"/>
    <w:rsid w:val="00994D0B"/>
    <w:rsid w:val="00994EFC"/>
    <w:rsid w:val="00995012"/>
    <w:rsid w:val="009950DE"/>
    <w:rsid w:val="009953DD"/>
    <w:rsid w:val="00995950"/>
    <w:rsid w:val="00995FD2"/>
    <w:rsid w:val="009963B8"/>
    <w:rsid w:val="00996883"/>
    <w:rsid w:val="00996D40"/>
    <w:rsid w:val="00996EB8"/>
    <w:rsid w:val="00997067"/>
    <w:rsid w:val="009977F6"/>
    <w:rsid w:val="00997C95"/>
    <w:rsid w:val="00997CE4"/>
    <w:rsid w:val="009A03ED"/>
    <w:rsid w:val="009A0448"/>
    <w:rsid w:val="009A0DD0"/>
    <w:rsid w:val="009A0FB0"/>
    <w:rsid w:val="009A14F0"/>
    <w:rsid w:val="009A1727"/>
    <w:rsid w:val="009A1C92"/>
    <w:rsid w:val="009A1ECC"/>
    <w:rsid w:val="009A264D"/>
    <w:rsid w:val="009A28D2"/>
    <w:rsid w:val="009A2903"/>
    <w:rsid w:val="009A328C"/>
    <w:rsid w:val="009A3310"/>
    <w:rsid w:val="009A403B"/>
    <w:rsid w:val="009A46B7"/>
    <w:rsid w:val="009A4E36"/>
    <w:rsid w:val="009A5392"/>
    <w:rsid w:val="009A552E"/>
    <w:rsid w:val="009A559F"/>
    <w:rsid w:val="009A55C9"/>
    <w:rsid w:val="009A57C1"/>
    <w:rsid w:val="009A591C"/>
    <w:rsid w:val="009A5AD2"/>
    <w:rsid w:val="009A5DE8"/>
    <w:rsid w:val="009A6287"/>
    <w:rsid w:val="009A62FD"/>
    <w:rsid w:val="009A63BD"/>
    <w:rsid w:val="009A655B"/>
    <w:rsid w:val="009A65E9"/>
    <w:rsid w:val="009A66F8"/>
    <w:rsid w:val="009A6C91"/>
    <w:rsid w:val="009A6E61"/>
    <w:rsid w:val="009A71B3"/>
    <w:rsid w:val="009A766C"/>
    <w:rsid w:val="009A77AD"/>
    <w:rsid w:val="009A7A65"/>
    <w:rsid w:val="009A7D35"/>
    <w:rsid w:val="009A7D41"/>
    <w:rsid w:val="009B0062"/>
    <w:rsid w:val="009B0559"/>
    <w:rsid w:val="009B06E0"/>
    <w:rsid w:val="009B0E7F"/>
    <w:rsid w:val="009B0FCD"/>
    <w:rsid w:val="009B10A2"/>
    <w:rsid w:val="009B12AF"/>
    <w:rsid w:val="009B2095"/>
    <w:rsid w:val="009B268A"/>
    <w:rsid w:val="009B28CD"/>
    <w:rsid w:val="009B29A8"/>
    <w:rsid w:val="009B2BC8"/>
    <w:rsid w:val="009B2F22"/>
    <w:rsid w:val="009B39C4"/>
    <w:rsid w:val="009B3E55"/>
    <w:rsid w:val="009B3ED2"/>
    <w:rsid w:val="009B414D"/>
    <w:rsid w:val="009B426A"/>
    <w:rsid w:val="009B439E"/>
    <w:rsid w:val="009B44C0"/>
    <w:rsid w:val="009B45AF"/>
    <w:rsid w:val="009B4666"/>
    <w:rsid w:val="009B479B"/>
    <w:rsid w:val="009B4B58"/>
    <w:rsid w:val="009B4C66"/>
    <w:rsid w:val="009B4C83"/>
    <w:rsid w:val="009B4DC4"/>
    <w:rsid w:val="009B4F0E"/>
    <w:rsid w:val="009B53C6"/>
    <w:rsid w:val="009B57B8"/>
    <w:rsid w:val="009B5A35"/>
    <w:rsid w:val="009B5C92"/>
    <w:rsid w:val="009B5F25"/>
    <w:rsid w:val="009B681E"/>
    <w:rsid w:val="009B6AE0"/>
    <w:rsid w:val="009B6C4C"/>
    <w:rsid w:val="009B6CAB"/>
    <w:rsid w:val="009B7889"/>
    <w:rsid w:val="009B7A17"/>
    <w:rsid w:val="009B7A4F"/>
    <w:rsid w:val="009C00E4"/>
    <w:rsid w:val="009C0A3E"/>
    <w:rsid w:val="009C0C32"/>
    <w:rsid w:val="009C0F15"/>
    <w:rsid w:val="009C0F40"/>
    <w:rsid w:val="009C16CA"/>
    <w:rsid w:val="009C1A54"/>
    <w:rsid w:val="009C1B63"/>
    <w:rsid w:val="009C1DCA"/>
    <w:rsid w:val="009C21B5"/>
    <w:rsid w:val="009C21E8"/>
    <w:rsid w:val="009C2578"/>
    <w:rsid w:val="009C2969"/>
    <w:rsid w:val="009C2C5C"/>
    <w:rsid w:val="009C2D6C"/>
    <w:rsid w:val="009C35A9"/>
    <w:rsid w:val="009C3994"/>
    <w:rsid w:val="009C4904"/>
    <w:rsid w:val="009C4951"/>
    <w:rsid w:val="009C4A39"/>
    <w:rsid w:val="009C52E6"/>
    <w:rsid w:val="009C5BFF"/>
    <w:rsid w:val="009C5DB5"/>
    <w:rsid w:val="009C5E7A"/>
    <w:rsid w:val="009C62F8"/>
    <w:rsid w:val="009C6E83"/>
    <w:rsid w:val="009C6EB0"/>
    <w:rsid w:val="009C7184"/>
    <w:rsid w:val="009C7A0D"/>
    <w:rsid w:val="009C7B24"/>
    <w:rsid w:val="009D00D1"/>
    <w:rsid w:val="009D01F5"/>
    <w:rsid w:val="009D03C1"/>
    <w:rsid w:val="009D04C0"/>
    <w:rsid w:val="009D06B0"/>
    <w:rsid w:val="009D0BC9"/>
    <w:rsid w:val="009D0FD2"/>
    <w:rsid w:val="009D12E8"/>
    <w:rsid w:val="009D1493"/>
    <w:rsid w:val="009D1797"/>
    <w:rsid w:val="009D1815"/>
    <w:rsid w:val="009D1911"/>
    <w:rsid w:val="009D191C"/>
    <w:rsid w:val="009D1AD5"/>
    <w:rsid w:val="009D1F39"/>
    <w:rsid w:val="009D260F"/>
    <w:rsid w:val="009D26FE"/>
    <w:rsid w:val="009D2AD6"/>
    <w:rsid w:val="009D2BFA"/>
    <w:rsid w:val="009D2F12"/>
    <w:rsid w:val="009D359C"/>
    <w:rsid w:val="009D3645"/>
    <w:rsid w:val="009D40E1"/>
    <w:rsid w:val="009D453A"/>
    <w:rsid w:val="009D45B6"/>
    <w:rsid w:val="009D4795"/>
    <w:rsid w:val="009D4A06"/>
    <w:rsid w:val="009D5283"/>
    <w:rsid w:val="009D549D"/>
    <w:rsid w:val="009D56B4"/>
    <w:rsid w:val="009D5783"/>
    <w:rsid w:val="009D5B8A"/>
    <w:rsid w:val="009D5F7F"/>
    <w:rsid w:val="009D6128"/>
    <w:rsid w:val="009D6454"/>
    <w:rsid w:val="009D64B6"/>
    <w:rsid w:val="009D71F6"/>
    <w:rsid w:val="009D7306"/>
    <w:rsid w:val="009D77D1"/>
    <w:rsid w:val="009D7C3A"/>
    <w:rsid w:val="009E0748"/>
    <w:rsid w:val="009E07DD"/>
    <w:rsid w:val="009E0B8C"/>
    <w:rsid w:val="009E1218"/>
    <w:rsid w:val="009E1231"/>
    <w:rsid w:val="009E13D6"/>
    <w:rsid w:val="009E1619"/>
    <w:rsid w:val="009E17E1"/>
    <w:rsid w:val="009E19E4"/>
    <w:rsid w:val="009E22D7"/>
    <w:rsid w:val="009E25AA"/>
    <w:rsid w:val="009E2688"/>
    <w:rsid w:val="009E2896"/>
    <w:rsid w:val="009E2A24"/>
    <w:rsid w:val="009E2B4A"/>
    <w:rsid w:val="009E2CD9"/>
    <w:rsid w:val="009E2FD9"/>
    <w:rsid w:val="009E30EA"/>
    <w:rsid w:val="009E3454"/>
    <w:rsid w:val="009E37E0"/>
    <w:rsid w:val="009E3A7F"/>
    <w:rsid w:val="009E3B84"/>
    <w:rsid w:val="009E418B"/>
    <w:rsid w:val="009E4CF6"/>
    <w:rsid w:val="009E4E9D"/>
    <w:rsid w:val="009E5CA2"/>
    <w:rsid w:val="009E5DAD"/>
    <w:rsid w:val="009E6975"/>
    <w:rsid w:val="009E6BE2"/>
    <w:rsid w:val="009E7629"/>
    <w:rsid w:val="009E7679"/>
    <w:rsid w:val="009E7DC1"/>
    <w:rsid w:val="009F09F1"/>
    <w:rsid w:val="009F0B36"/>
    <w:rsid w:val="009F1937"/>
    <w:rsid w:val="009F1D92"/>
    <w:rsid w:val="009F1EC6"/>
    <w:rsid w:val="009F2A34"/>
    <w:rsid w:val="009F2E5C"/>
    <w:rsid w:val="009F3417"/>
    <w:rsid w:val="009F380F"/>
    <w:rsid w:val="009F3B2B"/>
    <w:rsid w:val="009F3B58"/>
    <w:rsid w:val="009F3CA3"/>
    <w:rsid w:val="009F4035"/>
    <w:rsid w:val="009F4497"/>
    <w:rsid w:val="009F44A5"/>
    <w:rsid w:val="009F475C"/>
    <w:rsid w:val="009F5421"/>
    <w:rsid w:val="009F5605"/>
    <w:rsid w:val="009F5609"/>
    <w:rsid w:val="009F5AF0"/>
    <w:rsid w:val="009F61D2"/>
    <w:rsid w:val="009F669B"/>
    <w:rsid w:val="009F6AB8"/>
    <w:rsid w:val="009F6BD0"/>
    <w:rsid w:val="009F6C2E"/>
    <w:rsid w:val="009F7218"/>
    <w:rsid w:val="009F72FE"/>
    <w:rsid w:val="009F73F7"/>
    <w:rsid w:val="009F769E"/>
    <w:rsid w:val="00A00082"/>
    <w:rsid w:val="00A00340"/>
    <w:rsid w:val="00A00F85"/>
    <w:rsid w:val="00A00FA2"/>
    <w:rsid w:val="00A01065"/>
    <w:rsid w:val="00A0136D"/>
    <w:rsid w:val="00A01B37"/>
    <w:rsid w:val="00A01E61"/>
    <w:rsid w:val="00A024E5"/>
    <w:rsid w:val="00A02553"/>
    <w:rsid w:val="00A02A46"/>
    <w:rsid w:val="00A03017"/>
    <w:rsid w:val="00A030C7"/>
    <w:rsid w:val="00A03725"/>
    <w:rsid w:val="00A03F77"/>
    <w:rsid w:val="00A04163"/>
    <w:rsid w:val="00A0437A"/>
    <w:rsid w:val="00A04B9D"/>
    <w:rsid w:val="00A04C59"/>
    <w:rsid w:val="00A04DCC"/>
    <w:rsid w:val="00A051AF"/>
    <w:rsid w:val="00A056FC"/>
    <w:rsid w:val="00A05F60"/>
    <w:rsid w:val="00A05FA7"/>
    <w:rsid w:val="00A06424"/>
    <w:rsid w:val="00A06580"/>
    <w:rsid w:val="00A067CA"/>
    <w:rsid w:val="00A06AE4"/>
    <w:rsid w:val="00A06C22"/>
    <w:rsid w:val="00A06D7B"/>
    <w:rsid w:val="00A06EEC"/>
    <w:rsid w:val="00A06EEE"/>
    <w:rsid w:val="00A07E9C"/>
    <w:rsid w:val="00A1004D"/>
    <w:rsid w:val="00A10245"/>
    <w:rsid w:val="00A1051A"/>
    <w:rsid w:val="00A106B2"/>
    <w:rsid w:val="00A10915"/>
    <w:rsid w:val="00A10BA9"/>
    <w:rsid w:val="00A11B40"/>
    <w:rsid w:val="00A123F6"/>
    <w:rsid w:val="00A124C6"/>
    <w:rsid w:val="00A127AA"/>
    <w:rsid w:val="00A127CE"/>
    <w:rsid w:val="00A12D62"/>
    <w:rsid w:val="00A12E05"/>
    <w:rsid w:val="00A1334E"/>
    <w:rsid w:val="00A139F9"/>
    <w:rsid w:val="00A13D6C"/>
    <w:rsid w:val="00A140ED"/>
    <w:rsid w:val="00A1455C"/>
    <w:rsid w:val="00A14DB0"/>
    <w:rsid w:val="00A15026"/>
    <w:rsid w:val="00A15148"/>
    <w:rsid w:val="00A15210"/>
    <w:rsid w:val="00A1521B"/>
    <w:rsid w:val="00A155BE"/>
    <w:rsid w:val="00A156B7"/>
    <w:rsid w:val="00A15CF4"/>
    <w:rsid w:val="00A15D67"/>
    <w:rsid w:val="00A16081"/>
    <w:rsid w:val="00A165C6"/>
    <w:rsid w:val="00A16750"/>
    <w:rsid w:val="00A169A3"/>
    <w:rsid w:val="00A174D0"/>
    <w:rsid w:val="00A17CCA"/>
    <w:rsid w:val="00A20440"/>
    <w:rsid w:val="00A20696"/>
    <w:rsid w:val="00A20E89"/>
    <w:rsid w:val="00A2106F"/>
    <w:rsid w:val="00A21105"/>
    <w:rsid w:val="00A2117C"/>
    <w:rsid w:val="00A21722"/>
    <w:rsid w:val="00A221C4"/>
    <w:rsid w:val="00A22710"/>
    <w:rsid w:val="00A22723"/>
    <w:rsid w:val="00A22860"/>
    <w:rsid w:val="00A22DFC"/>
    <w:rsid w:val="00A22F48"/>
    <w:rsid w:val="00A23732"/>
    <w:rsid w:val="00A23B3A"/>
    <w:rsid w:val="00A23F21"/>
    <w:rsid w:val="00A23F7C"/>
    <w:rsid w:val="00A23F88"/>
    <w:rsid w:val="00A24376"/>
    <w:rsid w:val="00A24658"/>
    <w:rsid w:val="00A248DA"/>
    <w:rsid w:val="00A24901"/>
    <w:rsid w:val="00A253FC"/>
    <w:rsid w:val="00A25999"/>
    <w:rsid w:val="00A25B7C"/>
    <w:rsid w:val="00A25C47"/>
    <w:rsid w:val="00A26391"/>
    <w:rsid w:val="00A26614"/>
    <w:rsid w:val="00A2676F"/>
    <w:rsid w:val="00A26D48"/>
    <w:rsid w:val="00A2711C"/>
    <w:rsid w:val="00A2726E"/>
    <w:rsid w:val="00A27A57"/>
    <w:rsid w:val="00A27E78"/>
    <w:rsid w:val="00A30010"/>
    <w:rsid w:val="00A3001B"/>
    <w:rsid w:val="00A30046"/>
    <w:rsid w:val="00A30703"/>
    <w:rsid w:val="00A30A42"/>
    <w:rsid w:val="00A30C40"/>
    <w:rsid w:val="00A30C77"/>
    <w:rsid w:val="00A3119E"/>
    <w:rsid w:val="00A3159D"/>
    <w:rsid w:val="00A317D4"/>
    <w:rsid w:val="00A31AA8"/>
    <w:rsid w:val="00A31AF7"/>
    <w:rsid w:val="00A31B51"/>
    <w:rsid w:val="00A31CF1"/>
    <w:rsid w:val="00A31E24"/>
    <w:rsid w:val="00A32182"/>
    <w:rsid w:val="00A32261"/>
    <w:rsid w:val="00A3251C"/>
    <w:rsid w:val="00A32BE0"/>
    <w:rsid w:val="00A32F0D"/>
    <w:rsid w:val="00A33BE2"/>
    <w:rsid w:val="00A34231"/>
    <w:rsid w:val="00A34280"/>
    <w:rsid w:val="00A3452D"/>
    <w:rsid w:val="00A34750"/>
    <w:rsid w:val="00A3483E"/>
    <w:rsid w:val="00A34F8C"/>
    <w:rsid w:val="00A361CE"/>
    <w:rsid w:val="00A365E3"/>
    <w:rsid w:val="00A36939"/>
    <w:rsid w:val="00A36CBE"/>
    <w:rsid w:val="00A36CF5"/>
    <w:rsid w:val="00A36D18"/>
    <w:rsid w:val="00A37255"/>
    <w:rsid w:val="00A372A3"/>
    <w:rsid w:val="00A37C60"/>
    <w:rsid w:val="00A37CC1"/>
    <w:rsid w:val="00A37D43"/>
    <w:rsid w:val="00A37DE1"/>
    <w:rsid w:val="00A40378"/>
    <w:rsid w:val="00A4095D"/>
    <w:rsid w:val="00A40993"/>
    <w:rsid w:val="00A40CA3"/>
    <w:rsid w:val="00A40CA8"/>
    <w:rsid w:val="00A40E61"/>
    <w:rsid w:val="00A41AB0"/>
    <w:rsid w:val="00A41B10"/>
    <w:rsid w:val="00A41E3D"/>
    <w:rsid w:val="00A41FB5"/>
    <w:rsid w:val="00A41FBB"/>
    <w:rsid w:val="00A42074"/>
    <w:rsid w:val="00A42988"/>
    <w:rsid w:val="00A42C47"/>
    <w:rsid w:val="00A42D02"/>
    <w:rsid w:val="00A42FD3"/>
    <w:rsid w:val="00A436AD"/>
    <w:rsid w:val="00A43C42"/>
    <w:rsid w:val="00A44152"/>
    <w:rsid w:val="00A44158"/>
    <w:rsid w:val="00A4436C"/>
    <w:rsid w:val="00A44740"/>
    <w:rsid w:val="00A44A26"/>
    <w:rsid w:val="00A44E9C"/>
    <w:rsid w:val="00A451D1"/>
    <w:rsid w:val="00A45415"/>
    <w:rsid w:val="00A45720"/>
    <w:rsid w:val="00A460E1"/>
    <w:rsid w:val="00A464B6"/>
    <w:rsid w:val="00A464E3"/>
    <w:rsid w:val="00A465DB"/>
    <w:rsid w:val="00A4691C"/>
    <w:rsid w:val="00A4696F"/>
    <w:rsid w:val="00A46B2D"/>
    <w:rsid w:val="00A47A3F"/>
    <w:rsid w:val="00A47EA7"/>
    <w:rsid w:val="00A47EEC"/>
    <w:rsid w:val="00A50502"/>
    <w:rsid w:val="00A50A93"/>
    <w:rsid w:val="00A50C57"/>
    <w:rsid w:val="00A50CB5"/>
    <w:rsid w:val="00A50D4B"/>
    <w:rsid w:val="00A50DB3"/>
    <w:rsid w:val="00A50F5A"/>
    <w:rsid w:val="00A51209"/>
    <w:rsid w:val="00A5162D"/>
    <w:rsid w:val="00A519B8"/>
    <w:rsid w:val="00A51EE4"/>
    <w:rsid w:val="00A52A0E"/>
    <w:rsid w:val="00A52B06"/>
    <w:rsid w:val="00A52C40"/>
    <w:rsid w:val="00A53422"/>
    <w:rsid w:val="00A53D8C"/>
    <w:rsid w:val="00A54056"/>
    <w:rsid w:val="00A5418C"/>
    <w:rsid w:val="00A547B3"/>
    <w:rsid w:val="00A549A8"/>
    <w:rsid w:val="00A54B76"/>
    <w:rsid w:val="00A54C7C"/>
    <w:rsid w:val="00A54E42"/>
    <w:rsid w:val="00A54F17"/>
    <w:rsid w:val="00A555EB"/>
    <w:rsid w:val="00A5580B"/>
    <w:rsid w:val="00A55D1A"/>
    <w:rsid w:val="00A565AB"/>
    <w:rsid w:val="00A56692"/>
    <w:rsid w:val="00A56712"/>
    <w:rsid w:val="00A56BE5"/>
    <w:rsid w:val="00A56BF7"/>
    <w:rsid w:val="00A56CF8"/>
    <w:rsid w:val="00A573BB"/>
    <w:rsid w:val="00A57A36"/>
    <w:rsid w:val="00A57ED0"/>
    <w:rsid w:val="00A60432"/>
    <w:rsid w:val="00A6049D"/>
    <w:rsid w:val="00A60921"/>
    <w:rsid w:val="00A60A35"/>
    <w:rsid w:val="00A60CAB"/>
    <w:rsid w:val="00A61056"/>
    <w:rsid w:val="00A610A5"/>
    <w:rsid w:val="00A6178A"/>
    <w:rsid w:val="00A617C5"/>
    <w:rsid w:val="00A61A9C"/>
    <w:rsid w:val="00A61E4F"/>
    <w:rsid w:val="00A61E5C"/>
    <w:rsid w:val="00A623D9"/>
    <w:rsid w:val="00A625F6"/>
    <w:rsid w:val="00A626E1"/>
    <w:rsid w:val="00A62B30"/>
    <w:rsid w:val="00A62E32"/>
    <w:rsid w:val="00A63C5D"/>
    <w:rsid w:val="00A641D6"/>
    <w:rsid w:val="00A6431A"/>
    <w:rsid w:val="00A645FD"/>
    <w:rsid w:val="00A6462E"/>
    <w:rsid w:val="00A64D78"/>
    <w:rsid w:val="00A64D7D"/>
    <w:rsid w:val="00A64FE6"/>
    <w:rsid w:val="00A6502B"/>
    <w:rsid w:val="00A65439"/>
    <w:rsid w:val="00A65938"/>
    <w:rsid w:val="00A65F4B"/>
    <w:rsid w:val="00A65FFE"/>
    <w:rsid w:val="00A661C9"/>
    <w:rsid w:val="00A66673"/>
    <w:rsid w:val="00A66FC6"/>
    <w:rsid w:val="00A67BD5"/>
    <w:rsid w:val="00A705A6"/>
    <w:rsid w:val="00A706CB"/>
    <w:rsid w:val="00A70933"/>
    <w:rsid w:val="00A709F2"/>
    <w:rsid w:val="00A70A4C"/>
    <w:rsid w:val="00A71193"/>
    <w:rsid w:val="00A7143B"/>
    <w:rsid w:val="00A71AB6"/>
    <w:rsid w:val="00A71B86"/>
    <w:rsid w:val="00A71C67"/>
    <w:rsid w:val="00A71D6E"/>
    <w:rsid w:val="00A71DBC"/>
    <w:rsid w:val="00A724ED"/>
    <w:rsid w:val="00A72756"/>
    <w:rsid w:val="00A7281A"/>
    <w:rsid w:val="00A7318A"/>
    <w:rsid w:val="00A731B7"/>
    <w:rsid w:val="00A73202"/>
    <w:rsid w:val="00A732B0"/>
    <w:rsid w:val="00A7362E"/>
    <w:rsid w:val="00A7369C"/>
    <w:rsid w:val="00A73D06"/>
    <w:rsid w:val="00A73FBC"/>
    <w:rsid w:val="00A73FD3"/>
    <w:rsid w:val="00A74099"/>
    <w:rsid w:val="00A74131"/>
    <w:rsid w:val="00A7458F"/>
    <w:rsid w:val="00A745DA"/>
    <w:rsid w:val="00A7475A"/>
    <w:rsid w:val="00A749D2"/>
    <w:rsid w:val="00A74C0C"/>
    <w:rsid w:val="00A74DA0"/>
    <w:rsid w:val="00A74FAA"/>
    <w:rsid w:val="00A752F0"/>
    <w:rsid w:val="00A7562B"/>
    <w:rsid w:val="00A75650"/>
    <w:rsid w:val="00A75716"/>
    <w:rsid w:val="00A7578B"/>
    <w:rsid w:val="00A75F14"/>
    <w:rsid w:val="00A76130"/>
    <w:rsid w:val="00A762B4"/>
    <w:rsid w:val="00A764A4"/>
    <w:rsid w:val="00A764C9"/>
    <w:rsid w:val="00A767DC"/>
    <w:rsid w:val="00A76947"/>
    <w:rsid w:val="00A76FD7"/>
    <w:rsid w:val="00A77393"/>
    <w:rsid w:val="00A7745F"/>
    <w:rsid w:val="00A80065"/>
    <w:rsid w:val="00A8009B"/>
    <w:rsid w:val="00A801D1"/>
    <w:rsid w:val="00A80713"/>
    <w:rsid w:val="00A80A78"/>
    <w:rsid w:val="00A80B1A"/>
    <w:rsid w:val="00A80C01"/>
    <w:rsid w:val="00A80CC4"/>
    <w:rsid w:val="00A80E39"/>
    <w:rsid w:val="00A81173"/>
    <w:rsid w:val="00A814CB"/>
    <w:rsid w:val="00A815B0"/>
    <w:rsid w:val="00A82485"/>
    <w:rsid w:val="00A825B3"/>
    <w:rsid w:val="00A8263F"/>
    <w:rsid w:val="00A8269A"/>
    <w:rsid w:val="00A83119"/>
    <w:rsid w:val="00A8318B"/>
    <w:rsid w:val="00A8338D"/>
    <w:rsid w:val="00A83718"/>
    <w:rsid w:val="00A83906"/>
    <w:rsid w:val="00A83B3D"/>
    <w:rsid w:val="00A83C96"/>
    <w:rsid w:val="00A83CA5"/>
    <w:rsid w:val="00A8468A"/>
    <w:rsid w:val="00A84AB8"/>
    <w:rsid w:val="00A8556E"/>
    <w:rsid w:val="00A8579A"/>
    <w:rsid w:val="00A85B3B"/>
    <w:rsid w:val="00A86047"/>
    <w:rsid w:val="00A864C9"/>
    <w:rsid w:val="00A86A89"/>
    <w:rsid w:val="00A86FFA"/>
    <w:rsid w:val="00A87060"/>
    <w:rsid w:val="00A8730B"/>
    <w:rsid w:val="00A8781E"/>
    <w:rsid w:val="00A87B3A"/>
    <w:rsid w:val="00A87C2A"/>
    <w:rsid w:val="00A87CB9"/>
    <w:rsid w:val="00A87D5D"/>
    <w:rsid w:val="00A910EE"/>
    <w:rsid w:val="00A92180"/>
    <w:rsid w:val="00A92527"/>
    <w:rsid w:val="00A92648"/>
    <w:rsid w:val="00A92A80"/>
    <w:rsid w:val="00A92BBA"/>
    <w:rsid w:val="00A92FC5"/>
    <w:rsid w:val="00A9313D"/>
    <w:rsid w:val="00A932B5"/>
    <w:rsid w:val="00A93B3E"/>
    <w:rsid w:val="00A93CB0"/>
    <w:rsid w:val="00A946F9"/>
    <w:rsid w:val="00A94779"/>
    <w:rsid w:val="00A94938"/>
    <w:rsid w:val="00A94E80"/>
    <w:rsid w:val="00A95000"/>
    <w:rsid w:val="00A953A6"/>
    <w:rsid w:val="00A9567A"/>
    <w:rsid w:val="00A95C0D"/>
    <w:rsid w:val="00A95CD3"/>
    <w:rsid w:val="00A95E67"/>
    <w:rsid w:val="00A9623B"/>
    <w:rsid w:val="00A96284"/>
    <w:rsid w:val="00A962D0"/>
    <w:rsid w:val="00A96497"/>
    <w:rsid w:val="00A96786"/>
    <w:rsid w:val="00A96A57"/>
    <w:rsid w:val="00A96BF3"/>
    <w:rsid w:val="00A96F62"/>
    <w:rsid w:val="00A97E6A"/>
    <w:rsid w:val="00AA0259"/>
    <w:rsid w:val="00AA0BAF"/>
    <w:rsid w:val="00AA0F8A"/>
    <w:rsid w:val="00AA2511"/>
    <w:rsid w:val="00AA2682"/>
    <w:rsid w:val="00AA2770"/>
    <w:rsid w:val="00AA280E"/>
    <w:rsid w:val="00AA3327"/>
    <w:rsid w:val="00AA3DA7"/>
    <w:rsid w:val="00AA4A33"/>
    <w:rsid w:val="00AA4A81"/>
    <w:rsid w:val="00AA4AA4"/>
    <w:rsid w:val="00AA573D"/>
    <w:rsid w:val="00AA5D8B"/>
    <w:rsid w:val="00AA5DCB"/>
    <w:rsid w:val="00AA5E6E"/>
    <w:rsid w:val="00AA5FF4"/>
    <w:rsid w:val="00AA6455"/>
    <w:rsid w:val="00AA6CEC"/>
    <w:rsid w:val="00AA6E75"/>
    <w:rsid w:val="00AA6EB8"/>
    <w:rsid w:val="00AA76EE"/>
    <w:rsid w:val="00AA76F3"/>
    <w:rsid w:val="00AA7731"/>
    <w:rsid w:val="00AA7ADC"/>
    <w:rsid w:val="00AB09DC"/>
    <w:rsid w:val="00AB0ADE"/>
    <w:rsid w:val="00AB0C5A"/>
    <w:rsid w:val="00AB20BC"/>
    <w:rsid w:val="00AB22D5"/>
    <w:rsid w:val="00AB2328"/>
    <w:rsid w:val="00AB233E"/>
    <w:rsid w:val="00AB269B"/>
    <w:rsid w:val="00AB2EF1"/>
    <w:rsid w:val="00AB34D7"/>
    <w:rsid w:val="00AB37B8"/>
    <w:rsid w:val="00AB3ED2"/>
    <w:rsid w:val="00AB416D"/>
    <w:rsid w:val="00AB560C"/>
    <w:rsid w:val="00AB595E"/>
    <w:rsid w:val="00AB67BD"/>
    <w:rsid w:val="00AB6870"/>
    <w:rsid w:val="00AB69F6"/>
    <w:rsid w:val="00AB6CA6"/>
    <w:rsid w:val="00AB703A"/>
    <w:rsid w:val="00AB749E"/>
    <w:rsid w:val="00AB768D"/>
    <w:rsid w:val="00AB795A"/>
    <w:rsid w:val="00AB798F"/>
    <w:rsid w:val="00AB7A30"/>
    <w:rsid w:val="00AC05E7"/>
    <w:rsid w:val="00AC07DF"/>
    <w:rsid w:val="00AC0934"/>
    <w:rsid w:val="00AC0A36"/>
    <w:rsid w:val="00AC1302"/>
    <w:rsid w:val="00AC15A0"/>
    <w:rsid w:val="00AC1651"/>
    <w:rsid w:val="00AC190A"/>
    <w:rsid w:val="00AC2131"/>
    <w:rsid w:val="00AC24DE"/>
    <w:rsid w:val="00AC295B"/>
    <w:rsid w:val="00AC2B45"/>
    <w:rsid w:val="00AC2DA9"/>
    <w:rsid w:val="00AC2F09"/>
    <w:rsid w:val="00AC2F6C"/>
    <w:rsid w:val="00AC307D"/>
    <w:rsid w:val="00AC30A0"/>
    <w:rsid w:val="00AC315A"/>
    <w:rsid w:val="00AC3191"/>
    <w:rsid w:val="00AC372C"/>
    <w:rsid w:val="00AC3AF9"/>
    <w:rsid w:val="00AC3BEB"/>
    <w:rsid w:val="00AC3D4D"/>
    <w:rsid w:val="00AC40EE"/>
    <w:rsid w:val="00AC4702"/>
    <w:rsid w:val="00AC47FE"/>
    <w:rsid w:val="00AC4D92"/>
    <w:rsid w:val="00AC504A"/>
    <w:rsid w:val="00AC5634"/>
    <w:rsid w:val="00AC612A"/>
    <w:rsid w:val="00AC68E3"/>
    <w:rsid w:val="00AC6935"/>
    <w:rsid w:val="00AC76C8"/>
    <w:rsid w:val="00AC77B8"/>
    <w:rsid w:val="00AC7ADF"/>
    <w:rsid w:val="00AD024F"/>
    <w:rsid w:val="00AD0859"/>
    <w:rsid w:val="00AD0A32"/>
    <w:rsid w:val="00AD0C0F"/>
    <w:rsid w:val="00AD0DBC"/>
    <w:rsid w:val="00AD1CEC"/>
    <w:rsid w:val="00AD1EF5"/>
    <w:rsid w:val="00AD2520"/>
    <w:rsid w:val="00AD2667"/>
    <w:rsid w:val="00AD275F"/>
    <w:rsid w:val="00AD27D8"/>
    <w:rsid w:val="00AD2B61"/>
    <w:rsid w:val="00AD32D2"/>
    <w:rsid w:val="00AD35D6"/>
    <w:rsid w:val="00AD3B61"/>
    <w:rsid w:val="00AD3F82"/>
    <w:rsid w:val="00AD3FA7"/>
    <w:rsid w:val="00AD3FCF"/>
    <w:rsid w:val="00AD457E"/>
    <w:rsid w:val="00AD46C1"/>
    <w:rsid w:val="00AD49CE"/>
    <w:rsid w:val="00AD4E82"/>
    <w:rsid w:val="00AD504D"/>
    <w:rsid w:val="00AD54D9"/>
    <w:rsid w:val="00AD55C8"/>
    <w:rsid w:val="00AD560E"/>
    <w:rsid w:val="00AD5855"/>
    <w:rsid w:val="00AD5E5E"/>
    <w:rsid w:val="00AD6039"/>
    <w:rsid w:val="00AD60EF"/>
    <w:rsid w:val="00AD6265"/>
    <w:rsid w:val="00AD6A23"/>
    <w:rsid w:val="00AD6DC7"/>
    <w:rsid w:val="00AD70C6"/>
    <w:rsid w:val="00AD7164"/>
    <w:rsid w:val="00AD734D"/>
    <w:rsid w:val="00AD7776"/>
    <w:rsid w:val="00AD799A"/>
    <w:rsid w:val="00AD7BA2"/>
    <w:rsid w:val="00AD7CA4"/>
    <w:rsid w:val="00AE0077"/>
    <w:rsid w:val="00AE0123"/>
    <w:rsid w:val="00AE0EA7"/>
    <w:rsid w:val="00AE0FCC"/>
    <w:rsid w:val="00AE144F"/>
    <w:rsid w:val="00AE1506"/>
    <w:rsid w:val="00AE1B30"/>
    <w:rsid w:val="00AE200D"/>
    <w:rsid w:val="00AE2188"/>
    <w:rsid w:val="00AE2DE9"/>
    <w:rsid w:val="00AE31E0"/>
    <w:rsid w:val="00AE3548"/>
    <w:rsid w:val="00AE38B3"/>
    <w:rsid w:val="00AE3C3C"/>
    <w:rsid w:val="00AE43C8"/>
    <w:rsid w:val="00AE45C3"/>
    <w:rsid w:val="00AE45C6"/>
    <w:rsid w:val="00AE48D1"/>
    <w:rsid w:val="00AE49ED"/>
    <w:rsid w:val="00AE4B24"/>
    <w:rsid w:val="00AE4C80"/>
    <w:rsid w:val="00AE4CB8"/>
    <w:rsid w:val="00AE4D36"/>
    <w:rsid w:val="00AE4F4A"/>
    <w:rsid w:val="00AE5574"/>
    <w:rsid w:val="00AE57D0"/>
    <w:rsid w:val="00AE5D62"/>
    <w:rsid w:val="00AE62A3"/>
    <w:rsid w:val="00AE6325"/>
    <w:rsid w:val="00AE652D"/>
    <w:rsid w:val="00AE6599"/>
    <w:rsid w:val="00AE661B"/>
    <w:rsid w:val="00AE6948"/>
    <w:rsid w:val="00AE69A5"/>
    <w:rsid w:val="00AE6FCC"/>
    <w:rsid w:val="00AE70BB"/>
    <w:rsid w:val="00AE7258"/>
    <w:rsid w:val="00AE726D"/>
    <w:rsid w:val="00AE77E1"/>
    <w:rsid w:val="00AE7C91"/>
    <w:rsid w:val="00AF000D"/>
    <w:rsid w:val="00AF0645"/>
    <w:rsid w:val="00AF066C"/>
    <w:rsid w:val="00AF06E8"/>
    <w:rsid w:val="00AF0B4E"/>
    <w:rsid w:val="00AF1CE6"/>
    <w:rsid w:val="00AF1D34"/>
    <w:rsid w:val="00AF1D60"/>
    <w:rsid w:val="00AF252C"/>
    <w:rsid w:val="00AF2C49"/>
    <w:rsid w:val="00AF4465"/>
    <w:rsid w:val="00AF4A95"/>
    <w:rsid w:val="00AF4E7D"/>
    <w:rsid w:val="00AF50C7"/>
    <w:rsid w:val="00AF5FF5"/>
    <w:rsid w:val="00AF7086"/>
    <w:rsid w:val="00AF7956"/>
    <w:rsid w:val="00AF7BCF"/>
    <w:rsid w:val="00AF7CBD"/>
    <w:rsid w:val="00B005D0"/>
    <w:rsid w:val="00B00B50"/>
    <w:rsid w:val="00B00CEC"/>
    <w:rsid w:val="00B00E35"/>
    <w:rsid w:val="00B00E7D"/>
    <w:rsid w:val="00B013A5"/>
    <w:rsid w:val="00B01546"/>
    <w:rsid w:val="00B0164B"/>
    <w:rsid w:val="00B01C4F"/>
    <w:rsid w:val="00B01E6E"/>
    <w:rsid w:val="00B020AB"/>
    <w:rsid w:val="00B020B7"/>
    <w:rsid w:val="00B02118"/>
    <w:rsid w:val="00B0243B"/>
    <w:rsid w:val="00B02BB1"/>
    <w:rsid w:val="00B02E12"/>
    <w:rsid w:val="00B0311A"/>
    <w:rsid w:val="00B031D4"/>
    <w:rsid w:val="00B033D7"/>
    <w:rsid w:val="00B0341E"/>
    <w:rsid w:val="00B038D0"/>
    <w:rsid w:val="00B03D02"/>
    <w:rsid w:val="00B03F51"/>
    <w:rsid w:val="00B04F37"/>
    <w:rsid w:val="00B0534F"/>
    <w:rsid w:val="00B05421"/>
    <w:rsid w:val="00B055A3"/>
    <w:rsid w:val="00B05A99"/>
    <w:rsid w:val="00B05E0B"/>
    <w:rsid w:val="00B060CF"/>
    <w:rsid w:val="00B06306"/>
    <w:rsid w:val="00B06421"/>
    <w:rsid w:val="00B06999"/>
    <w:rsid w:val="00B06D9A"/>
    <w:rsid w:val="00B06F60"/>
    <w:rsid w:val="00B07306"/>
    <w:rsid w:val="00B073E4"/>
    <w:rsid w:val="00B077EA"/>
    <w:rsid w:val="00B07D99"/>
    <w:rsid w:val="00B10138"/>
    <w:rsid w:val="00B101E9"/>
    <w:rsid w:val="00B10C22"/>
    <w:rsid w:val="00B11042"/>
    <w:rsid w:val="00B111A3"/>
    <w:rsid w:val="00B11420"/>
    <w:rsid w:val="00B11F78"/>
    <w:rsid w:val="00B127E4"/>
    <w:rsid w:val="00B12A4B"/>
    <w:rsid w:val="00B12D05"/>
    <w:rsid w:val="00B130D1"/>
    <w:rsid w:val="00B13C7F"/>
    <w:rsid w:val="00B145C5"/>
    <w:rsid w:val="00B14929"/>
    <w:rsid w:val="00B149C9"/>
    <w:rsid w:val="00B149D7"/>
    <w:rsid w:val="00B14F22"/>
    <w:rsid w:val="00B14F49"/>
    <w:rsid w:val="00B155B5"/>
    <w:rsid w:val="00B15A00"/>
    <w:rsid w:val="00B15E3D"/>
    <w:rsid w:val="00B16602"/>
    <w:rsid w:val="00B16777"/>
    <w:rsid w:val="00B168A4"/>
    <w:rsid w:val="00B17945"/>
    <w:rsid w:val="00B17C5C"/>
    <w:rsid w:val="00B17D0E"/>
    <w:rsid w:val="00B17DB7"/>
    <w:rsid w:val="00B20109"/>
    <w:rsid w:val="00B20C80"/>
    <w:rsid w:val="00B2123F"/>
    <w:rsid w:val="00B214E9"/>
    <w:rsid w:val="00B217AE"/>
    <w:rsid w:val="00B2186E"/>
    <w:rsid w:val="00B219DD"/>
    <w:rsid w:val="00B22320"/>
    <w:rsid w:val="00B224CD"/>
    <w:rsid w:val="00B22C75"/>
    <w:rsid w:val="00B23102"/>
    <w:rsid w:val="00B23110"/>
    <w:rsid w:val="00B2347F"/>
    <w:rsid w:val="00B239DA"/>
    <w:rsid w:val="00B23D0E"/>
    <w:rsid w:val="00B24F2F"/>
    <w:rsid w:val="00B24FCC"/>
    <w:rsid w:val="00B25138"/>
    <w:rsid w:val="00B2548B"/>
    <w:rsid w:val="00B25C86"/>
    <w:rsid w:val="00B25E53"/>
    <w:rsid w:val="00B2659B"/>
    <w:rsid w:val="00B26A47"/>
    <w:rsid w:val="00B26B6C"/>
    <w:rsid w:val="00B26EF3"/>
    <w:rsid w:val="00B271DC"/>
    <w:rsid w:val="00B275A6"/>
    <w:rsid w:val="00B27805"/>
    <w:rsid w:val="00B27851"/>
    <w:rsid w:val="00B27872"/>
    <w:rsid w:val="00B3029C"/>
    <w:rsid w:val="00B30332"/>
    <w:rsid w:val="00B3061A"/>
    <w:rsid w:val="00B306B8"/>
    <w:rsid w:val="00B306EA"/>
    <w:rsid w:val="00B30CC4"/>
    <w:rsid w:val="00B317AE"/>
    <w:rsid w:val="00B3182D"/>
    <w:rsid w:val="00B3188C"/>
    <w:rsid w:val="00B3272E"/>
    <w:rsid w:val="00B327AB"/>
    <w:rsid w:val="00B330A6"/>
    <w:rsid w:val="00B330B8"/>
    <w:rsid w:val="00B3319F"/>
    <w:rsid w:val="00B332E9"/>
    <w:rsid w:val="00B33568"/>
    <w:rsid w:val="00B339E1"/>
    <w:rsid w:val="00B342EA"/>
    <w:rsid w:val="00B343FA"/>
    <w:rsid w:val="00B34A1A"/>
    <w:rsid w:val="00B34B20"/>
    <w:rsid w:val="00B34EF2"/>
    <w:rsid w:val="00B35396"/>
    <w:rsid w:val="00B353EC"/>
    <w:rsid w:val="00B35434"/>
    <w:rsid w:val="00B35964"/>
    <w:rsid w:val="00B35AA6"/>
    <w:rsid w:val="00B35CBF"/>
    <w:rsid w:val="00B36419"/>
    <w:rsid w:val="00B3644A"/>
    <w:rsid w:val="00B36763"/>
    <w:rsid w:val="00B36A58"/>
    <w:rsid w:val="00B36CA5"/>
    <w:rsid w:val="00B36DB8"/>
    <w:rsid w:val="00B36F5A"/>
    <w:rsid w:val="00B37093"/>
    <w:rsid w:val="00B37175"/>
    <w:rsid w:val="00B3722D"/>
    <w:rsid w:val="00B372E1"/>
    <w:rsid w:val="00B3771A"/>
    <w:rsid w:val="00B37AC6"/>
    <w:rsid w:val="00B37E7B"/>
    <w:rsid w:val="00B37F5E"/>
    <w:rsid w:val="00B37FAC"/>
    <w:rsid w:val="00B40A7B"/>
    <w:rsid w:val="00B40AC5"/>
    <w:rsid w:val="00B40E32"/>
    <w:rsid w:val="00B413F3"/>
    <w:rsid w:val="00B419A8"/>
    <w:rsid w:val="00B41C78"/>
    <w:rsid w:val="00B41D82"/>
    <w:rsid w:val="00B41FB2"/>
    <w:rsid w:val="00B42926"/>
    <w:rsid w:val="00B42B11"/>
    <w:rsid w:val="00B42D6F"/>
    <w:rsid w:val="00B434E3"/>
    <w:rsid w:val="00B43BBB"/>
    <w:rsid w:val="00B4412A"/>
    <w:rsid w:val="00B441AE"/>
    <w:rsid w:val="00B442DB"/>
    <w:rsid w:val="00B443FE"/>
    <w:rsid w:val="00B447D7"/>
    <w:rsid w:val="00B44850"/>
    <w:rsid w:val="00B44AC0"/>
    <w:rsid w:val="00B44ADE"/>
    <w:rsid w:val="00B44AF3"/>
    <w:rsid w:val="00B44C82"/>
    <w:rsid w:val="00B4577E"/>
    <w:rsid w:val="00B45AFC"/>
    <w:rsid w:val="00B46A4C"/>
    <w:rsid w:val="00B46D5F"/>
    <w:rsid w:val="00B47323"/>
    <w:rsid w:val="00B47B28"/>
    <w:rsid w:val="00B47BE3"/>
    <w:rsid w:val="00B47DD3"/>
    <w:rsid w:val="00B47E07"/>
    <w:rsid w:val="00B5048B"/>
    <w:rsid w:val="00B50924"/>
    <w:rsid w:val="00B50DC7"/>
    <w:rsid w:val="00B51473"/>
    <w:rsid w:val="00B51CBE"/>
    <w:rsid w:val="00B51D02"/>
    <w:rsid w:val="00B52306"/>
    <w:rsid w:val="00B5257F"/>
    <w:rsid w:val="00B52716"/>
    <w:rsid w:val="00B52983"/>
    <w:rsid w:val="00B53365"/>
    <w:rsid w:val="00B53C12"/>
    <w:rsid w:val="00B54422"/>
    <w:rsid w:val="00B548F4"/>
    <w:rsid w:val="00B55049"/>
    <w:rsid w:val="00B55779"/>
    <w:rsid w:val="00B557E8"/>
    <w:rsid w:val="00B55C90"/>
    <w:rsid w:val="00B55EEC"/>
    <w:rsid w:val="00B56138"/>
    <w:rsid w:val="00B57081"/>
    <w:rsid w:val="00B570C2"/>
    <w:rsid w:val="00B57B91"/>
    <w:rsid w:val="00B57F90"/>
    <w:rsid w:val="00B607D4"/>
    <w:rsid w:val="00B60F6F"/>
    <w:rsid w:val="00B61181"/>
    <w:rsid w:val="00B61369"/>
    <w:rsid w:val="00B61758"/>
    <w:rsid w:val="00B61773"/>
    <w:rsid w:val="00B61837"/>
    <w:rsid w:val="00B62373"/>
    <w:rsid w:val="00B62A1D"/>
    <w:rsid w:val="00B62C3D"/>
    <w:rsid w:val="00B630FB"/>
    <w:rsid w:val="00B63771"/>
    <w:rsid w:val="00B640B3"/>
    <w:rsid w:val="00B64159"/>
    <w:rsid w:val="00B6416D"/>
    <w:rsid w:val="00B642CF"/>
    <w:rsid w:val="00B6491C"/>
    <w:rsid w:val="00B64C97"/>
    <w:rsid w:val="00B64F4C"/>
    <w:rsid w:val="00B6517D"/>
    <w:rsid w:val="00B65A0F"/>
    <w:rsid w:val="00B66396"/>
    <w:rsid w:val="00B665B5"/>
    <w:rsid w:val="00B666CC"/>
    <w:rsid w:val="00B6676C"/>
    <w:rsid w:val="00B66D4C"/>
    <w:rsid w:val="00B674D9"/>
    <w:rsid w:val="00B674E4"/>
    <w:rsid w:val="00B67525"/>
    <w:rsid w:val="00B67645"/>
    <w:rsid w:val="00B67B6D"/>
    <w:rsid w:val="00B67E1D"/>
    <w:rsid w:val="00B70308"/>
    <w:rsid w:val="00B707D7"/>
    <w:rsid w:val="00B70A25"/>
    <w:rsid w:val="00B70F68"/>
    <w:rsid w:val="00B71200"/>
    <w:rsid w:val="00B714F1"/>
    <w:rsid w:val="00B714FF"/>
    <w:rsid w:val="00B715CE"/>
    <w:rsid w:val="00B7199D"/>
    <w:rsid w:val="00B7323F"/>
    <w:rsid w:val="00B733D9"/>
    <w:rsid w:val="00B73867"/>
    <w:rsid w:val="00B74636"/>
    <w:rsid w:val="00B74855"/>
    <w:rsid w:val="00B748AA"/>
    <w:rsid w:val="00B74D75"/>
    <w:rsid w:val="00B74EBA"/>
    <w:rsid w:val="00B751CC"/>
    <w:rsid w:val="00B751D5"/>
    <w:rsid w:val="00B752C0"/>
    <w:rsid w:val="00B75607"/>
    <w:rsid w:val="00B759A8"/>
    <w:rsid w:val="00B75C11"/>
    <w:rsid w:val="00B75C96"/>
    <w:rsid w:val="00B764B2"/>
    <w:rsid w:val="00B767A9"/>
    <w:rsid w:val="00B767B7"/>
    <w:rsid w:val="00B76959"/>
    <w:rsid w:val="00B7696A"/>
    <w:rsid w:val="00B76F0F"/>
    <w:rsid w:val="00B77282"/>
    <w:rsid w:val="00B77283"/>
    <w:rsid w:val="00B774CC"/>
    <w:rsid w:val="00B77657"/>
    <w:rsid w:val="00B7766B"/>
    <w:rsid w:val="00B776D6"/>
    <w:rsid w:val="00B77B47"/>
    <w:rsid w:val="00B77B90"/>
    <w:rsid w:val="00B77F1A"/>
    <w:rsid w:val="00B8012A"/>
    <w:rsid w:val="00B80676"/>
    <w:rsid w:val="00B80B6B"/>
    <w:rsid w:val="00B80F58"/>
    <w:rsid w:val="00B8114A"/>
    <w:rsid w:val="00B8136E"/>
    <w:rsid w:val="00B814C5"/>
    <w:rsid w:val="00B8187D"/>
    <w:rsid w:val="00B81BE2"/>
    <w:rsid w:val="00B82054"/>
    <w:rsid w:val="00B83955"/>
    <w:rsid w:val="00B83A2B"/>
    <w:rsid w:val="00B83CC4"/>
    <w:rsid w:val="00B85580"/>
    <w:rsid w:val="00B8558F"/>
    <w:rsid w:val="00B858A8"/>
    <w:rsid w:val="00B85CCE"/>
    <w:rsid w:val="00B8635B"/>
    <w:rsid w:val="00B8661E"/>
    <w:rsid w:val="00B86B48"/>
    <w:rsid w:val="00B86E4A"/>
    <w:rsid w:val="00B87527"/>
    <w:rsid w:val="00B87611"/>
    <w:rsid w:val="00B87668"/>
    <w:rsid w:val="00B87DE5"/>
    <w:rsid w:val="00B9012D"/>
    <w:rsid w:val="00B9017A"/>
    <w:rsid w:val="00B901C6"/>
    <w:rsid w:val="00B90211"/>
    <w:rsid w:val="00B90755"/>
    <w:rsid w:val="00B90B7F"/>
    <w:rsid w:val="00B90C19"/>
    <w:rsid w:val="00B90F10"/>
    <w:rsid w:val="00B90FA1"/>
    <w:rsid w:val="00B91410"/>
    <w:rsid w:val="00B91602"/>
    <w:rsid w:val="00B919D2"/>
    <w:rsid w:val="00B919DF"/>
    <w:rsid w:val="00B91D2B"/>
    <w:rsid w:val="00B91F83"/>
    <w:rsid w:val="00B922B2"/>
    <w:rsid w:val="00B927CF"/>
    <w:rsid w:val="00B9356E"/>
    <w:rsid w:val="00B93B01"/>
    <w:rsid w:val="00B93B90"/>
    <w:rsid w:val="00B93BD5"/>
    <w:rsid w:val="00B946C6"/>
    <w:rsid w:val="00B948DE"/>
    <w:rsid w:val="00B9497A"/>
    <w:rsid w:val="00B94F98"/>
    <w:rsid w:val="00B9533A"/>
    <w:rsid w:val="00B960BD"/>
    <w:rsid w:val="00B9632F"/>
    <w:rsid w:val="00B9634D"/>
    <w:rsid w:val="00B96699"/>
    <w:rsid w:val="00B9680E"/>
    <w:rsid w:val="00B968CE"/>
    <w:rsid w:val="00B96F86"/>
    <w:rsid w:val="00B97EFF"/>
    <w:rsid w:val="00BA0095"/>
    <w:rsid w:val="00BA0673"/>
    <w:rsid w:val="00BA0F07"/>
    <w:rsid w:val="00BA16D1"/>
    <w:rsid w:val="00BA18BF"/>
    <w:rsid w:val="00BA1B4C"/>
    <w:rsid w:val="00BA2523"/>
    <w:rsid w:val="00BA263B"/>
    <w:rsid w:val="00BA2D4E"/>
    <w:rsid w:val="00BA386C"/>
    <w:rsid w:val="00BA3995"/>
    <w:rsid w:val="00BA4A04"/>
    <w:rsid w:val="00BA4B79"/>
    <w:rsid w:val="00BA4D0A"/>
    <w:rsid w:val="00BA5096"/>
    <w:rsid w:val="00BA5D53"/>
    <w:rsid w:val="00BA5E13"/>
    <w:rsid w:val="00BA5E97"/>
    <w:rsid w:val="00BA5EC4"/>
    <w:rsid w:val="00BA5EDE"/>
    <w:rsid w:val="00BA5F44"/>
    <w:rsid w:val="00BA602A"/>
    <w:rsid w:val="00BA6267"/>
    <w:rsid w:val="00BA671F"/>
    <w:rsid w:val="00BA69E8"/>
    <w:rsid w:val="00BA6B65"/>
    <w:rsid w:val="00BA6B72"/>
    <w:rsid w:val="00BA6B7E"/>
    <w:rsid w:val="00BA7345"/>
    <w:rsid w:val="00BA79B9"/>
    <w:rsid w:val="00BA7B7D"/>
    <w:rsid w:val="00BB0308"/>
    <w:rsid w:val="00BB0323"/>
    <w:rsid w:val="00BB07A1"/>
    <w:rsid w:val="00BB0A19"/>
    <w:rsid w:val="00BB0ADA"/>
    <w:rsid w:val="00BB0C58"/>
    <w:rsid w:val="00BB0CA6"/>
    <w:rsid w:val="00BB0D14"/>
    <w:rsid w:val="00BB0D7A"/>
    <w:rsid w:val="00BB0F54"/>
    <w:rsid w:val="00BB1876"/>
    <w:rsid w:val="00BB1D92"/>
    <w:rsid w:val="00BB25EC"/>
    <w:rsid w:val="00BB26B4"/>
    <w:rsid w:val="00BB3073"/>
    <w:rsid w:val="00BB343F"/>
    <w:rsid w:val="00BB355C"/>
    <w:rsid w:val="00BB39B5"/>
    <w:rsid w:val="00BB3AF4"/>
    <w:rsid w:val="00BB3DD4"/>
    <w:rsid w:val="00BB3E34"/>
    <w:rsid w:val="00BB40C0"/>
    <w:rsid w:val="00BB43D6"/>
    <w:rsid w:val="00BB4621"/>
    <w:rsid w:val="00BB46B3"/>
    <w:rsid w:val="00BB475B"/>
    <w:rsid w:val="00BB4B7D"/>
    <w:rsid w:val="00BB4C3A"/>
    <w:rsid w:val="00BB4C65"/>
    <w:rsid w:val="00BB4EC5"/>
    <w:rsid w:val="00BB4F93"/>
    <w:rsid w:val="00BB531B"/>
    <w:rsid w:val="00BB53A0"/>
    <w:rsid w:val="00BB54E6"/>
    <w:rsid w:val="00BB59F7"/>
    <w:rsid w:val="00BB5EEB"/>
    <w:rsid w:val="00BB679E"/>
    <w:rsid w:val="00BB67F2"/>
    <w:rsid w:val="00BB6815"/>
    <w:rsid w:val="00BB68BC"/>
    <w:rsid w:val="00BB6EAD"/>
    <w:rsid w:val="00BB6EDA"/>
    <w:rsid w:val="00BB6F99"/>
    <w:rsid w:val="00BB739B"/>
    <w:rsid w:val="00BB7C58"/>
    <w:rsid w:val="00BC01C3"/>
    <w:rsid w:val="00BC0259"/>
    <w:rsid w:val="00BC055E"/>
    <w:rsid w:val="00BC065D"/>
    <w:rsid w:val="00BC08AE"/>
    <w:rsid w:val="00BC0CB3"/>
    <w:rsid w:val="00BC0E62"/>
    <w:rsid w:val="00BC0F8B"/>
    <w:rsid w:val="00BC10D0"/>
    <w:rsid w:val="00BC154C"/>
    <w:rsid w:val="00BC198C"/>
    <w:rsid w:val="00BC1D2E"/>
    <w:rsid w:val="00BC24FA"/>
    <w:rsid w:val="00BC2642"/>
    <w:rsid w:val="00BC28E1"/>
    <w:rsid w:val="00BC2A3C"/>
    <w:rsid w:val="00BC2C7C"/>
    <w:rsid w:val="00BC2F68"/>
    <w:rsid w:val="00BC3685"/>
    <w:rsid w:val="00BC3886"/>
    <w:rsid w:val="00BC39E8"/>
    <w:rsid w:val="00BC3C6C"/>
    <w:rsid w:val="00BC41A3"/>
    <w:rsid w:val="00BC4260"/>
    <w:rsid w:val="00BC4319"/>
    <w:rsid w:val="00BC46ED"/>
    <w:rsid w:val="00BC4A2A"/>
    <w:rsid w:val="00BC4D0E"/>
    <w:rsid w:val="00BC4E78"/>
    <w:rsid w:val="00BC527F"/>
    <w:rsid w:val="00BC52DA"/>
    <w:rsid w:val="00BC543D"/>
    <w:rsid w:val="00BC56D9"/>
    <w:rsid w:val="00BC5D28"/>
    <w:rsid w:val="00BC6151"/>
    <w:rsid w:val="00BC69D3"/>
    <w:rsid w:val="00BC6A73"/>
    <w:rsid w:val="00BC76F7"/>
    <w:rsid w:val="00BC7FEE"/>
    <w:rsid w:val="00BD02F5"/>
    <w:rsid w:val="00BD0B7D"/>
    <w:rsid w:val="00BD0F70"/>
    <w:rsid w:val="00BD179C"/>
    <w:rsid w:val="00BD196B"/>
    <w:rsid w:val="00BD197D"/>
    <w:rsid w:val="00BD1CCA"/>
    <w:rsid w:val="00BD1FB4"/>
    <w:rsid w:val="00BD2169"/>
    <w:rsid w:val="00BD2430"/>
    <w:rsid w:val="00BD2918"/>
    <w:rsid w:val="00BD2D28"/>
    <w:rsid w:val="00BD331E"/>
    <w:rsid w:val="00BD35A6"/>
    <w:rsid w:val="00BD37B8"/>
    <w:rsid w:val="00BD3DF5"/>
    <w:rsid w:val="00BD4120"/>
    <w:rsid w:val="00BD483C"/>
    <w:rsid w:val="00BD4B0E"/>
    <w:rsid w:val="00BD5057"/>
    <w:rsid w:val="00BD5588"/>
    <w:rsid w:val="00BD55C5"/>
    <w:rsid w:val="00BD5B7E"/>
    <w:rsid w:val="00BD5C5B"/>
    <w:rsid w:val="00BD6121"/>
    <w:rsid w:val="00BD6266"/>
    <w:rsid w:val="00BD6561"/>
    <w:rsid w:val="00BD6F88"/>
    <w:rsid w:val="00BD7089"/>
    <w:rsid w:val="00BD7D10"/>
    <w:rsid w:val="00BE0253"/>
    <w:rsid w:val="00BE02B0"/>
    <w:rsid w:val="00BE113B"/>
    <w:rsid w:val="00BE114A"/>
    <w:rsid w:val="00BE1829"/>
    <w:rsid w:val="00BE1B26"/>
    <w:rsid w:val="00BE1DAC"/>
    <w:rsid w:val="00BE20FE"/>
    <w:rsid w:val="00BE2EF4"/>
    <w:rsid w:val="00BE36E0"/>
    <w:rsid w:val="00BE3E76"/>
    <w:rsid w:val="00BE3FE9"/>
    <w:rsid w:val="00BE47EF"/>
    <w:rsid w:val="00BE48C8"/>
    <w:rsid w:val="00BE4B9B"/>
    <w:rsid w:val="00BE5595"/>
    <w:rsid w:val="00BE6146"/>
    <w:rsid w:val="00BE6355"/>
    <w:rsid w:val="00BE6712"/>
    <w:rsid w:val="00BE69FD"/>
    <w:rsid w:val="00BE6D0F"/>
    <w:rsid w:val="00BE6EFE"/>
    <w:rsid w:val="00BE6F2D"/>
    <w:rsid w:val="00BE70C5"/>
    <w:rsid w:val="00BE7350"/>
    <w:rsid w:val="00BE7BB9"/>
    <w:rsid w:val="00BE7CEA"/>
    <w:rsid w:val="00BF0611"/>
    <w:rsid w:val="00BF0DA3"/>
    <w:rsid w:val="00BF1369"/>
    <w:rsid w:val="00BF1604"/>
    <w:rsid w:val="00BF18B7"/>
    <w:rsid w:val="00BF1BC7"/>
    <w:rsid w:val="00BF1D07"/>
    <w:rsid w:val="00BF2342"/>
    <w:rsid w:val="00BF23CA"/>
    <w:rsid w:val="00BF271A"/>
    <w:rsid w:val="00BF2DF3"/>
    <w:rsid w:val="00BF3037"/>
    <w:rsid w:val="00BF3859"/>
    <w:rsid w:val="00BF3A05"/>
    <w:rsid w:val="00BF3D7F"/>
    <w:rsid w:val="00BF3F64"/>
    <w:rsid w:val="00BF4498"/>
    <w:rsid w:val="00BF460A"/>
    <w:rsid w:val="00BF4A5D"/>
    <w:rsid w:val="00BF4A9D"/>
    <w:rsid w:val="00BF4B2A"/>
    <w:rsid w:val="00BF4CAC"/>
    <w:rsid w:val="00BF5A87"/>
    <w:rsid w:val="00BF6B32"/>
    <w:rsid w:val="00BF6DCE"/>
    <w:rsid w:val="00BF740C"/>
    <w:rsid w:val="00BF77DB"/>
    <w:rsid w:val="00BF77FD"/>
    <w:rsid w:val="00BF7BEC"/>
    <w:rsid w:val="00C001FF"/>
    <w:rsid w:val="00C003A7"/>
    <w:rsid w:val="00C0096F"/>
    <w:rsid w:val="00C00B70"/>
    <w:rsid w:val="00C015AD"/>
    <w:rsid w:val="00C01634"/>
    <w:rsid w:val="00C01A0B"/>
    <w:rsid w:val="00C01AE1"/>
    <w:rsid w:val="00C01AE2"/>
    <w:rsid w:val="00C01C00"/>
    <w:rsid w:val="00C01C60"/>
    <w:rsid w:val="00C01EAF"/>
    <w:rsid w:val="00C01F57"/>
    <w:rsid w:val="00C0224A"/>
    <w:rsid w:val="00C026CA"/>
    <w:rsid w:val="00C02ECD"/>
    <w:rsid w:val="00C0322D"/>
    <w:rsid w:val="00C0323B"/>
    <w:rsid w:val="00C033AC"/>
    <w:rsid w:val="00C034E4"/>
    <w:rsid w:val="00C0387B"/>
    <w:rsid w:val="00C03D23"/>
    <w:rsid w:val="00C03FB9"/>
    <w:rsid w:val="00C040F3"/>
    <w:rsid w:val="00C04108"/>
    <w:rsid w:val="00C04178"/>
    <w:rsid w:val="00C04D6E"/>
    <w:rsid w:val="00C050C9"/>
    <w:rsid w:val="00C0545B"/>
    <w:rsid w:val="00C05698"/>
    <w:rsid w:val="00C05C13"/>
    <w:rsid w:val="00C05CF4"/>
    <w:rsid w:val="00C0677F"/>
    <w:rsid w:val="00C0679D"/>
    <w:rsid w:val="00C06E3B"/>
    <w:rsid w:val="00C0719B"/>
    <w:rsid w:val="00C07275"/>
    <w:rsid w:val="00C0789E"/>
    <w:rsid w:val="00C0796E"/>
    <w:rsid w:val="00C07C4E"/>
    <w:rsid w:val="00C07CD7"/>
    <w:rsid w:val="00C07DF0"/>
    <w:rsid w:val="00C1006B"/>
    <w:rsid w:val="00C1068B"/>
    <w:rsid w:val="00C1080F"/>
    <w:rsid w:val="00C1092D"/>
    <w:rsid w:val="00C10D4D"/>
    <w:rsid w:val="00C11099"/>
    <w:rsid w:val="00C1119B"/>
    <w:rsid w:val="00C112D9"/>
    <w:rsid w:val="00C114AC"/>
    <w:rsid w:val="00C11C4D"/>
    <w:rsid w:val="00C11DA4"/>
    <w:rsid w:val="00C11FF1"/>
    <w:rsid w:val="00C12326"/>
    <w:rsid w:val="00C1252F"/>
    <w:rsid w:val="00C1261A"/>
    <w:rsid w:val="00C1264B"/>
    <w:rsid w:val="00C12777"/>
    <w:rsid w:val="00C129D9"/>
    <w:rsid w:val="00C12A07"/>
    <w:rsid w:val="00C12DDA"/>
    <w:rsid w:val="00C131FA"/>
    <w:rsid w:val="00C138DD"/>
    <w:rsid w:val="00C13C1D"/>
    <w:rsid w:val="00C13DE0"/>
    <w:rsid w:val="00C14305"/>
    <w:rsid w:val="00C14397"/>
    <w:rsid w:val="00C14796"/>
    <w:rsid w:val="00C14A79"/>
    <w:rsid w:val="00C14E1A"/>
    <w:rsid w:val="00C14E5F"/>
    <w:rsid w:val="00C14EC0"/>
    <w:rsid w:val="00C15A1D"/>
    <w:rsid w:val="00C15A30"/>
    <w:rsid w:val="00C15DD8"/>
    <w:rsid w:val="00C15E5B"/>
    <w:rsid w:val="00C16514"/>
    <w:rsid w:val="00C1653C"/>
    <w:rsid w:val="00C16BA6"/>
    <w:rsid w:val="00C16DAB"/>
    <w:rsid w:val="00C170C6"/>
    <w:rsid w:val="00C172E5"/>
    <w:rsid w:val="00C17756"/>
    <w:rsid w:val="00C1796F"/>
    <w:rsid w:val="00C17A1C"/>
    <w:rsid w:val="00C17CF1"/>
    <w:rsid w:val="00C17F8E"/>
    <w:rsid w:val="00C2069A"/>
    <w:rsid w:val="00C20738"/>
    <w:rsid w:val="00C20C17"/>
    <w:rsid w:val="00C20C22"/>
    <w:rsid w:val="00C20C2A"/>
    <w:rsid w:val="00C20D25"/>
    <w:rsid w:val="00C20D63"/>
    <w:rsid w:val="00C20E4C"/>
    <w:rsid w:val="00C20E8A"/>
    <w:rsid w:val="00C21423"/>
    <w:rsid w:val="00C21B4F"/>
    <w:rsid w:val="00C21F2F"/>
    <w:rsid w:val="00C22012"/>
    <w:rsid w:val="00C221CE"/>
    <w:rsid w:val="00C22234"/>
    <w:rsid w:val="00C22521"/>
    <w:rsid w:val="00C22890"/>
    <w:rsid w:val="00C228E2"/>
    <w:rsid w:val="00C22B0A"/>
    <w:rsid w:val="00C22C13"/>
    <w:rsid w:val="00C230E9"/>
    <w:rsid w:val="00C237A9"/>
    <w:rsid w:val="00C2396B"/>
    <w:rsid w:val="00C23E22"/>
    <w:rsid w:val="00C24271"/>
    <w:rsid w:val="00C242FB"/>
    <w:rsid w:val="00C2438B"/>
    <w:rsid w:val="00C2455A"/>
    <w:rsid w:val="00C248D3"/>
    <w:rsid w:val="00C25605"/>
    <w:rsid w:val="00C2567E"/>
    <w:rsid w:val="00C26000"/>
    <w:rsid w:val="00C263FC"/>
    <w:rsid w:val="00C26834"/>
    <w:rsid w:val="00C26B47"/>
    <w:rsid w:val="00C275C2"/>
    <w:rsid w:val="00C2777C"/>
    <w:rsid w:val="00C3009E"/>
    <w:rsid w:val="00C306FD"/>
    <w:rsid w:val="00C307B2"/>
    <w:rsid w:val="00C3085C"/>
    <w:rsid w:val="00C309FA"/>
    <w:rsid w:val="00C30A25"/>
    <w:rsid w:val="00C30DA4"/>
    <w:rsid w:val="00C30E50"/>
    <w:rsid w:val="00C30EF6"/>
    <w:rsid w:val="00C30F6B"/>
    <w:rsid w:val="00C31063"/>
    <w:rsid w:val="00C3143C"/>
    <w:rsid w:val="00C31466"/>
    <w:rsid w:val="00C316F2"/>
    <w:rsid w:val="00C31A31"/>
    <w:rsid w:val="00C31FCA"/>
    <w:rsid w:val="00C31FE8"/>
    <w:rsid w:val="00C320CC"/>
    <w:rsid w:val="00C32257"/>
    <w:rsid w:val="00C326C6"/>
    <w:rsid w:val="00C32738"/>
    <w:rsid w:val="00C32B32"/>
    <w:rsid w:val="00C32D6E"/>
    <w:rsid w:val="00C3309C"/>
    <w:rsid w:val="00C33166"/>
    <w:rsid w:val="00C331D3"/>
    <w:rsid w:val="00C3366E"/>
    <w:rsid w:val="00C348BF"/>
    <w:rsid w:val="00C34B84"/>
    <w:rsid w:val="00C34FA7"/>
    <w:rsid w:val="00C354FB"/>
    <w:rsid w:val="00C35DED"/>
    <w:rsid w:val="00C35F67"/>
    <w:rsid w:val="00C36027"/>
    <w:rsid w:val="00C360BD"/>
    <w:rsid w:val="00C36357"/>
    <w:rsid w:val="00C36438"/>
    <w:rsid w:val="00C3658C"/>
    <w:rsid w:val="00C36B1B"/>
    <w:rsid w:val="00C36C74"/>
    <w:rsid w:val="00C36C9B"/>
    <w:rsid w:val="00C3701B"/>
    <w:rsid w:val="00C3773C"/>
    <w:rsid w:val="00C379EF"/>
    <w:rsid w:val="00C37EA8"/>
    <w:rsid w:val="00C40190"/>
    <w:rsid w:val="00C40442"/>
    <w:rsid w:val="00C406EC"/>
    <w:rsid w:val="00C406FD"/>
    <w:rsid w:val="00C4099B"/>
    <w:rsid w:val="00C40AFE"/>
    <w:rsid w:val="00C40BA7"/>
    <w:rsid w:val="00C40C78"/>
    <w:rsid w:val="00C40DF4"/>
    <w:rsid w:val="00C4127C"/>
    <w:rsid w:val="00C41BBB"/>
    <w:rsid w:val="00C41BE8"/>
    <w:rsid w:val="00C41BEC"/>
    <w:rsid w:val="00C41DAF"/>
    <w:rsid w:val="00C42715"/>
    <w:rsid w:val="00C42F43"/>
    <w:rsid w:val="00C43174"/>
    <w:rsid w:val="00C443E3"/>
    <w:rsid w:val="00C44D97"/>
    <w:rsid w:val="00C44E1A"/>
    <w:rsid w:val="00C44E7C"/>
    <w:rsid w:val="00C44F8D"/>
    <w:rsid w:val="00C454DA"/>
    <w:rsid w:val="00C45A8C"/>
    <w:rsid w:val="00C45B1A"/>
    <w:rsid w:val="00C45E87"/>
    <w:rsid w:val="00C45F71"/>
    <w:rsid w:val="00C4690B"/>
    <w:rsid w:val="00C4714B"/>
    <w:rsid w:val="00C47358"/>
    <w:rsid w:val="00C47494"/>
    <w:rsid w:val="00C47F5A"/>
    <w:rsid w:val="00C50340"/>
    <w:rsid w:val="00C503DF"/>
    <w:rsid w:val="00C50828"/>
    <w:rsid w:val="00C50FC4"/>
    <w:rsid w:val="00C51138"/>
    <w:rsid w:val="00C51670"/>
    <w:rsid w:val="00C5188D"/>
    <w:rsid w:val="00C51C4B"/>
    <w:rsid w:val="00C52433"/>
    <w:rsid w:val="00C5268A"/>
    <w:rsid w:val="00C52968"/>
    <w:rsid w:val="00C534C3"/>
    <w:rsid w:val="00C539A2"/>
    <w:rsid w:val="00C53A5E"/>
    <w:rsid w:val="00C53E8D"/>
    <w:rsid w:val="00C54252"/>
    <w:rsid w:val="00C54D20"/>
    <w:rsid w:val="00C5576A"/>
    <w:rsid w:val="00C557FB"/>
    <w:rsid w:val="00C55982"/>
    <w:rsid w:val="00C55B81"/>
    <w:rsid w:val="00C55DA6"/>
    <w:rsid w:val="00C55E4E"/>
    <w:rsid w:val="00C55F7D"/>
    <w:rsid w:val="00C56037"/>
    <w:rsid w:val="00C564BB"/>
    <w:rsid w:val="00C57322"/>
    <w:rsid w:val="00C57565"/>
    <w:rsid w:val="00C579B9"/>
    <w:rsid w:val="00C57DAF"/>
    <w:rsid w:val="00C57F96"/>
    <w:rsid w:val="00C60A01"/>
    <w:rsid w:val="00C60B0D"/>
    <w:rsid w:val="00C60B8D"/>
    <w:rsid w:val="00C60C0D"/>
    <w:rsid w:val="00C616FF"/>
    <w:rsid w:val="00C61E60"/>
    <w:rsid w:val="00C6235E"/>
    <w:rsid w:val="00C6287A"/>
    <w:rsid w:val="00C628D2"/>
    <w:rsid w:val="00C6324A"/>
    <w:rsid w:val="00C63687"/>
    <w:rsid w:val="00C63827"/>
    <w:rsid w:val="00C63845"/>
    <w:rsid w:val="00C63849"/>
    <w:rsid w:val="00C63C51"/>
    <w:rsid w:val="00C6429C"/>
    <w:rsid w:val="00C64597"/>
    <w:rsid w:val="00C647A9"/>
    <w:rsid w:val="00C64EF6"/>
    <w:rsid w:val="00C659E4"/>
    <w:rsid w:val="00C65A39"/>
    <w:rsid w:val="00C65EDC"/>
    <w:rsid w:val="00C661C3"/>
    <w:rsid w:val="00C664DC"/>
    <w:rsid w:val="00C66699"/>
    <w:rsid w:val="00C66942"/>
    <w:rsid w:val="00C66B27"/>
    <w:rsid w:val="00C66B36"/>
    <w:rsid w:val="00C6741F"/>
    <w:rsid w:val="00C67469"/>
    <w:rsid w:val="00C6747C"/>
    <w:rsid w:val="00C67A5C"/>
    <w:rsid w:val="00C67A94"/>
    <w:rsid w:val="00C67D84"/>
    <w:rsid w:val="00C700DF"/>
    <w:rsid w:val="00C70198"/>
    <w:rsid w:val="00C706FC"/>
    <w:rsid w:val="00C7099F"/>
    <w:rsid w:val="00C709CF"/>
    <w:rsid w:val="00C70E39"/>
    <w:rsid w:val="00C71B83"/>
    <w:rsid w:val="00C71C67"/>
    <w:rsid w:val="00C720C2"/>
    <w:rsid w:val="00C7287C"/>
    <w:rsid w:val="00C72C2B"/>
    <w:rsid w:val="00C72DF1"/>
    <w:rsid w:val="00C72E60"/>
    <w:rsid w:val="00C73190"/>
    <w:rsid w:val="00C73363"/>
    <w:rsid w:val="00C734B0"/>
    <w:rsid w:val="00C73765"/>
    <w:rsid w:val="00C73848"/>
    <w:rsid w:val="00C73A90"/>
    <w:rsid w:val="00C73C79"/>
    <w:rsid w:val="00C740E7"/>
    <w:rsid w:val="00C743EC"/>
    <w:rsid w:val="00C7452A"/>
    <w:rsid w:val="00C74951"/>
    <w:rsid w:val="00C74D2F"/>
    <w:rsid w:val="00C74E04"/>
    <w:rsid w:val="00C755E7"/>
    <w:rsid w:val="00C75A5A"/>
    <w:rsid w:val="00C75E20"/>
    <w:rsid w:val="00C7660E"/>
    <w:rsid w:val="00C77FB6"/>
    <w:rsid w:val="00C803D4"/>
    <w:rsid w:val="00C807D5"/>
    <w:rsid w:val="00C80BD9"/>
    <w:rsid w:val="00C80C2B"/>
    <w:rsid w:val="00C80DEA"/>
    <w:rsid w:val="00C811B5"/>
    <w:rsid w:val="00C81358"/>
    <w:rsid w:val="00C81364"/>
    <w:rsid w:val="00C81657"/>
    <w:rsid w:val="00C81680"/>
    <w:rsid w:val="00C8174A"/>
    <w:rsid w:val="00C81918"/>
    <w:rsid w:val="00C81A50"/>
    <w:rsid w:val="00C81B82"/>
    <w:rsid w:val="00C82724"/>
    <w:rsid w:val="00C8276C"/>
    <w:rsid w:val="00C82AF0"/>
    <w:rsid w:val="00C82B60"/>
    <w:rsid w:val="00C836D7"/>
    <w:rsid w:val="00C83B02"/>
    <w:rsid w:val="00C83F84"/>
    <w:rsid w:val="00C84608"/>
    <w:rsid w:val="00C84D31"/>
    <w:rsid w:val="00C84EFD"/>
    <w:rsid w:val="00C8579B"/>
    <w:rsid w:val="00C8588E"/>
    <w:rsid w:val="00C85CA0"/>
    <w:rsid w:val="00C85FA2"/>
    <w:rsid w:val="00C8636F"/>
    <w:rsid w:val="00C86846"/>
    <w:rsid w:val="00C86C8F"/>
    <w:rsid w:val="00C87326"/>
    <w:rsid w:val="00C8747E"/>
    <w:rsid w:val="00C8751A"/>
    <w:rsid w:val="00C8756D"/>
    <w:rsid w:val="00C87B77"/>
    <w:rsid w:val="00C901D3"/>
    <w:rsid w:val="00C9028C"/>
    <w:rsid w:val="00C90BD2"/>
    <w:rsid w:val="00C90EED"/>
    <w:rsid w:val="00C9116C"/>
    <w:rsid w:val="00C914A7"/>
    <w:rsid w:val="00C916A4"/>
    <w:rsid w:val="00C91815"/>
    <w:rsid w:val="00C9198B"/>
    <w:rsid w:val="00C91EBF"/>
    <w:rsid w:val="00C92407"/>
    <w:rsid w:val="00C92B79"/>
    <w:rsid w:val="00C92FBD"/>
    <w:rsid w:val="00C93B3A"/>
    <w:rsid w:val="00C93F55"/>
    <w:rsid w:val="00C941FB"/>
    <w:rsid w:val="00C9428B"/>
    <w:rsid w:val="00C94477"/>
    <w:rsid w:val="00C94B9D"/>
    <w:rsid w:val="00C94D62"/>
    <w:rsid w:val="00C94DBE"/>
    <w:rsid w:val="00C94F73"/>
    <w:rsid w:val="00C96ACC"/>
    <w:rsid w:val="00C975CB"/>
    <w:rsid w:val="00C975D7"/>
    <w:rsid w:val="00C979CC"/>
    <w:rsid w:val="00CA0033"/>
    <w:rsid w:val="00CA0189"/>
    <w:rsid w:val="00CA03CD"/>
    <w:rsid w:val="00CA0E71"/>
    <w:rsid w:val="00CA1568"/>
    <w:rsid w:val="00CA17F2"/>
    <w:rsid w:val="00CA191C"/>
    <w:rsid w:val="00CA1CDD"/>
    <w:rsid w:val="00CA1D6F"/>
    <w:rsid w:val="00CA1DEA"/>
    <w:rsid w:val="00CA290F"/>
    <w:rsid w:val="00CA2CC4"/>
    <w:rsid w:val="00CA2E9B"/>
    <w:rsid w:val="00CA3647"/>
    <w:rsid w:val="00CA3864"/>
    <w:rsid w:val="00CA3B8D"/>
    <w:rsid w:val="00CA3B98"/>
    <w:rsid w:val="00CA3E8D"/>
    <w:rsid w:val="00CA41E1"/>
    <w:rsid w:val="00CA436F"/>
    <w:rsid w:val="00CA43DE"/>
    <w:rsid w:val="00CA53C7"/>
    <w:rsid w:val="00CA5589"/>
    <w:rsid w:val="00CA5F88"/>
    <w:rsid w:val="00CA6701"/>
    <w:rsid w:val="00CA6A59"/>
    <w:rsid w:val="00CA6BB1"/>
    <w:rsid w:val="00CA6DB3"/>
    <w:rsid w:val="00CA76F1"/>
    <w:rsid w:val="00CA794A"/>
    <w:rsid w:val="00CA7DF6"/>
    <w:rsid w:val="00CB014A"/>
    <w:rsid w:val="00CB0232"/>
    <w:rsid w:val="00CB032E"/>
    <w:rsid w:val="00CB1507"/>
    <w:rsid w:val="00CB1FE7"/>
    <w:rsid w:val="00CB2263"/>
    <w:rsid w:val="00CB271A"/>
    <w:rsid w:val="00CB2AD9"/>
    <w:rsid w:val="00CB3A4B"/>
    <w:rsid w:val="00CB3FDC"/>
    <w:rsid w:val="00CB410D"/>
    <w:rsid w:val="00CB41A4"/>
    <w:rsid w:val="00CB42DB"/>
    <w:rsid w:val="00CB526E"/>
    <w:rsid w:val="00CB53FA"/>
    <w:rsid w:val="00CB5D79"/>
    <w:rsid w:val="00CB5EC2"/>
    <w:rsid w:val="00CB6246"/>
    <w:rsid w:val="00CB6538"/>
    <w:rsid w:val="00CB6594"/>
    <w:rsid w:val="00CB6956"/>
    <w:rsid w:val="00CB69AF"/>
    <w:rsid w:val="00CB6C2E"/>
    <w:rsid w:val="00CB6DE0"/>
    <w:rsid w:val="00CB7E12"/>
    <w:rsid w:val="00CC006C"/>
    <w:rsid w:val="00CC0082"/>
    <w:rsid w:val="00CC0129"/>
    <w:rsid w:val="00CC0825"/>
    <w:rsid w:val="00CC0A84"/>
    <w:rsid w:val="00CC0B15"/>
    <w:rsid w:val="00CC0B76"/>
    <w:rsid w:val="00CC0E4F"/>
    <w:rsid w:val="00CC18FF"/>
    <w:rsid w:val="00CC1B4D"/>
    <w:rsid w:val="00CC1B76"/>
    <w:rsid w:val="00CC20A2"/>
    <w:rsid w:val="00CC20B9"/>
    <w:rsid w:val="00CC2116"/>
    <w:rsid w:val="00CC246E"/>
    <w:rsid w:val="00CC24B6"/>
    <w:rsid w:val="00CC2873"/>
    <w:rsid w:val="00CC2AEE"/>
    <w:rsid w:val="00CC30DE"/>
    <w:rsid w:val="00CC30E5"/>
    <w:rsid w:val="00CC3161"/>
    <w:rsid w:val="00CC364C"/>
    <w:rsid w:val="00CC3B84"/>
    <w:rsid w:val="00CC4015"/>
    <w:rsid w:val="00CC4055"/>
    <w:rsid w:val="00CC4E4E"/>
    <w:rsid w:val="00CC5652"/>
    <w:rsid w:val="00CC5AF7"/>
    <w:rsid w:val="00CC5ECD"/>
    <w:rsid w:val="00CC657C"/>
    <w:rsid w:val="00CC6CB7"/>
    <w:rsid w:val="00CC6D1E"/>
    <w:rsid w:val="00CC6EFD"/>
    <w:rsid w:val="00CC7CBF"/>
    <w:rsid w:val="00CC7E49"/>
    <w:rsid w:val="00CC7FC5"/>
    <w:rsid w:val="00CD0149"/>
    <w:rsid w:val="00CD0793"/>
    <w:rsid w:val="00CD169B"/>
    <w:rsid w:val="00CD1BCD"/>
    <w:rsid w:val="00CD1BD0"/>
    <w:rsid w:val="00CD1DA6"/>
    <w:rsid w:val="00CD20EA"/>
    <w:rsid w:val="00CD25FF"/>
    <w:rsid w:val="00CD2D1B"/>
    <w:rsid w:val="00CD3619"/>
    <w:rsid w:val="00CD3F42"/>
    <w:rsid w:val="00CD406A"/>
    <w:rsid w:val="00CD439E"/>
    <w:rsid w:val="00CD5397"/>
    <w:rsid w:val="00CD5725"/>
    <w:rsid w:val="00CD5ED2"/>
    <w:rsid w:val="00CD61A7"/>
    <w:rsid w:val="00CD6793"/>
    <w:rsid w:val="00CD6FA4"/>
    <w:rsid w:val="00CD73A7"/>
    <w:rsid w:val="00CD73C4"/>
    <w:rsid w:val="00CD73F0"/>
    <w:rsid w:val="00CD79A1"/>
    <w:rsid w:val="00CD7FFD"/>
    <w:rsid w:val="00CE0376"/>
    <w:rsid w:val="00CE0461"/>
    <w:rsid w:val="00CE0D60"/>
    <w:rsid w:val="00CE1002"/>
    <w:rsid w:val="00CE12DE"/>
    <w:rsid w:val="00CE1429"/>
    <w:rsid w:val="00CE15C6"/>
    <w:rsid w:val="00CE166D"/>
    <w:rsid w:val="00CE16C8"/>
    <w:rsid w:val="00CE17B6"/>
    <w:rsid w:val="00CE17E7"/>
    <w:rsid w:val="00CE1B52"/>
    <w:rsid w:val="00CE2297"/>
    <w:rsid w:val="00CE239B"/>
    <w:rsid w:val="00CE2C39"/>
    <w:rsid w:val="00CE2D04"/>
    <w:rsid w:val="00CE3648"/>
    <w:rsid w:val="00CE3900"/>
    <w:rsid w:val="00CE3EDC"/>
    <w:rsid w:val="00CE4069"/>
    <w:rsid w:val="00CE4686"/>
    <w:rsid w:val="00CE48D7"/>
    <w:rsid w:val="00CE63B7"/>
    <w:rsid w:val="00CE67D9"/>
    <w:rsid w:val="00CE6EAF"/>
    <w:rsid w:val="00CE789F"/>
    <w:rsid w:val="00CE7B92"/>
    <w:rsid w:val="00CE7C58"/>
    <w:rsid w:val="00CF0125"/>
    <w:rsid w:val="00CF0585"/>
    <w:rsid w:val="00CF0669"/>
    <w:rsid w:val="00CF06D8"/>
    <w:rsid w:val="00CF07F4"/>
    <w:rsid w:val="00CF0BF6"/>
    <w:rsid w:val="00CF11CA"/>
    <w:rsid w:val="00CF138C"/>
    <w:rsid w:val="00CF14AC"/>
    <w:rsid w:val="00CF16AA"/>
    <w:rsid w:val="00CF1700"/>
    <w:rsid w:val="00CF19F4"/>
    <w:rsid w:val="00CF1E15"/>
    <w:rsid w:val="00CF1F70"/>
    <w:rsid w:val="00CF1F90"/>
    <w:rsid w:val="00CF20F9"/>
    <w:rsid w:val="00CF2289"/>
    <w:rsid w:val="00CF229A"/>
    <w:rsid w:val="00CF24C2"/>
    <w:rsid w:val="00CF24DD"/>
    <w:rsid w:val="00CF2A20"/>
    <w:rsid w:val="00CF2DE5"/>
    <w:rsid w:val="00CF2F06"/>
    <w:rsid w:val="00CF35DB"/>
    <w:rsid w:val="00CF372C"/>
    <w:rsid w:val="00CF392C"/>
    <w:rsid w:val="00CF405B"/>
    <w:rsid w:val="00CF4070"/>
    <w:rsid w:val="00CF4EEE"/>
    <w:rsid w:val="00CF545F"/>
    <w:rsid w:val="00CF5582"/>
    <w:rsid w:val="00CF5709"/>
    <w:rsid w:val="00CF5863"/>
    <w:rsid w:val="00CF5FAF"/>
    <w:rsid w:val="00CF61F1"/>
    <w:rsid w:val="00CF650B"/>
    <w:rsid w:val="00CF6633"/>
    <w:rsid w:val="00CF6A13"/>
    <w:rsid w:val="00CF6F51"/>
    <w:rsid w:val="00CF6FE4"/>
    <w:rsid w:val="00CF71A1"/>
    <w:rsid w:val="00CF744B"/>
    <w:rsid w:val="00CF7595"/>
    <w:rsid w:val="00CF7BB5"/>
    <w:rsid w:val="00CF7DF8"/>
    <w:rsid w:val="00D00513"/>
    <w:rsid w:val="00D00C97"/>
    <w:rsid w:val="00D02126"/>
    <w:rsid w:val="00D021C4"/>
    <w:rsid w:val="00D0251A"/>
    <w:rsid w:val="00D02966"/>
    <w:rsid w:val="00D03284"/>
    <w:rsid w:val="00D0380D"/>
    <w:rsid w:val="00D03D74"/>
    <w:rsid w:val="00D03F1D"/>
    <w:rsid w:val="00D04246"/>
    <w:rsid w:val="00D04C0A"/>
    <w:rsid w:val="00D04E36"/>
    <w:rsid w:val="00D0517D"/>
    <w:rsid w:val="00D05428"/>
    <w:rsid w:val="00D057E7"/>
    <w:rsid w:val="00D05C78"/>
    <w:rsid w:val="00D05E23"/>
    <w:rsid w:val="00D060AB"/>
    <w:rsid w:val="00D0619C"/>
    <w:rsid w:val="00D06467"/>
    <w:rsid w:val="00D06632"/>
    <w:rsid w:val="00D066EA"/>
    <w:rsid w:val="00D069E6"/>
    <w:rsid w:val="00D06C06"/>
    <w:rsid w:val="00D06D4F"/>
    <w:rsid w:val="00D07234"/>
    <w:rsid w:val="00D0787B"/>
    <w:rsid w:val="00D07ADF"/>
    <w:rsid w:val="00D07B09"/>
    <w:rsid w:val="00D07EC0"/>
    <w:rsid w:val="00D07F7C"/>
    <w:rsid w:val="00D1025B"/>
    <w:rsid w:val="00D1091A"/>
    <w:rsid w:val="00D10D0D"/>
    <w:rsid w:val="00D10F1D"/>
    <w:rsid w:val="00D110A9"/>
    <w:rsid w:val="00D118C3"/>
    <w:rsid w:val="00D11F71"/>
    <w:rsid w:val="00D12394"/>
    <w:rsid w:val="00D123D9"/>
    <w:rsid w:val="00D12431"/>
    <w:rsid w:val="00D1249E"/>
    <w:rsid w:val="00D128A0"/>
    <w:rsid w:val="00D12AAA"/>
    <w:rsid w:val="00D12D64"/>
    <w:rsid w:val="00D12EA2"/>
    <w:rsid w:val="00D1300E"/>
    <w:rsid w:val="00D131F7"/>
    <w:rsid w:val="00D133BB"/>
    <w:rsid w:val="00D13436"/>
    <w:rsid w:val="00D136E7"/>
    <w:rsid w:val="00D13A6C"/>
    <w:rsid w:val="00D13EA0"/>
    <w:rsid w:val="00D143B7"/>
    <w:rsid w:val="00D146AF"/>
    <w:rsid w:val="00D14ABF"/>
    <w:rsid w:val="00D14B86"/>
    <w:rsid w:val="00D14C89"/>
    <w:rsid w:val="00D14DB3"/>
    <w:rsid w:val="00D1546E"/>
    <w:rsid w:val="00D158C4"/>
    <w:rsid w:val="00D15941"/>
    <w:rsid w:val="00D15D2B"/>
    <w:rsid w:val="00D16139"/>
    <w:rsid w:val="00D161FB"/>
    <w:rsid w:val="00D16B90"/>
    <w:rsid w:val="00D16C8B"/>
    <w:rsid w:val="00D171E5"/>
    <w:rsid w:val="00D1720F"/>
    <w:rsid w:val="00D17B29"/>
    <w:rsid w:val="00D17E29"/>
    <w:rsid w:val="00D200D7"/>
    <w:rsid w:val="00D20681"/>
    <w:rsid w:val="00D20869"/>
    <w:rsid w:val="00D20AD3"/>
    <w:rsid w:val="00D20E65"/>
    <w:rsid w:val="00D211A6"/>
    <w:rsid w:val="00D21529"/>
    <w:rsid w:val="00D2155D"/>
    <w:rsid w:val="00D21715"/>
    <w:rsid w:val="00D21AEE"/>
    <w:rsid w:val="00D21FE2"/>
    <w:rsid w:val="00D22AD9"/>
    <w:rsid w:val="00D23700"/>
    <w:rsid w:val="00D23A7E"/>
    <w:rsid w:val="00D23DC0"/>
    <w:rsid w:val="00D244F9"/>
    <w:rsid w:val="00D24586"/>
    <w:rsid w:val="00D247AE"/>
    <w:rsid w:val="00D24B3C"/>
    <w:rsid w:val="00D24CF4"/>
    <w:rsid w:val="00D24EC8"/>
    <w:rsid w:val="00D25D6A"/>
    <w:rsid w:val="00D26085"/>
    <w:rsid w:val="00D2652A"/>
    <w:rsid w:val="00D26899"/>
    <w:rsid w:val="00D26D7D"/>
    <w:rsid w:val="00D272CF"/>
    <w:rsid w:val="00D273F0"/>
    <w:rsid w:val="00D3017D"/>
    <w:rsid w:val="00D30268"/>
    <w:rsid w:val="00D308A0"/>
    <w:rsid w:val="00D30C60"/>
    <w:rsid w:val="00D30E34"/>
    <w:rsid w:val="00D314C4"/>
    <w:rsid w:val="00D314CF"/>
    <w:rsid w:val="00D31763"/>
    <w:rsid w:val="00D31C27"/>
    <w:rsid w:val="00D31E71"/>
    <w:rsid w:val="00D31F1A"/>
    <w:rsid w:val="00D320E0"/>
    <w:rsid w:val="00D3297B"/>
    <w:rsid w:val="00D33213"/>
    <w:rsid w:val="00D33317"/>
    <w:rsid w:val="00D33446"/>
    <w:rsid w:val="00D33A94"/>
    <w:rsid w:val="00D33B9A"/>
    <w:rsid w:val="00D342BA"/>
    <w:rsid w:val="00D34686"/>
    <w:rsid w:val="00D34891"/>
    <w:rsid w:val="00D348D1"/>
    <w:rsid w:val="00D34A59"/>
    <w:rsid w:val="00D34AE0"/>
    <w:rsid w:val="00D34AE1"/>
    <w:rsid w:val="00D34F01"/>
    <w:rsid w:val="00D34F4F"/>
    <w:rsid w:val="00D353F1"/>
    <w:rsid w:val="00D35500"/>
    <w:rsid w:val="00D357B8"/>
    <w:rsid w:val="00D3622D"/>
    <w:rsid w:val="00D363DD"/>
    <w:rsid w:val="00D3687A"/>
    <w:rsid w:val="00D36AB4"/>
    <w:rsid w:val="00D3728C"/>
    <w:rsid w:val="00D37394"/>
    <w:rsid w:val="00D3751E"/>
    <w:rsid w:val="00D376A8"/>
    <w:rsid w:val="00D37705"/>
    <w:rsid w:val="00D37A1D"/>
    <w:rsid w:val="00D400B3"/>
    <w:rsid w:val="00D40BD5"/>
    <w:rsid w:val="00D40DFB"/>
    <w:rsid w:val="00D4126E"/>
    <w:rsid w:val="00D412B5"/>
    <w:rsid w:val="00D41744"/>
    <w:rsid w:val="00D417A0"/>
    <w:rsid w:val="00D41964"/>
    <w:rsid w:val="00D41B0A"/>
    <w:rsid w:val="00D41F6B"/>
    <w:rsid w:val="00D4235A"/>
    <w:rsid w:val="00D423C6"/>
    <w:rsid w:val="00D42A3C"/>
    <w:rsid w:val="00D42CA9"/>
    <w:rsid w:val="00D43130"/>
    <w:rsid w:val="00D4318D"/>
    <w:rsid w:val="00D4367A"/>
    <w:rsid w:val="00D43915"/>
    <w:rsid w:val="00D43A43"/>
    <w:rsid w:val="00D44316"/>
    <w:rsid w:val="00D44D15"/>
    <w:rsid w:val="00D45661"/>
    <w:rsid w:val="00D464C9"/>
    <w:rsid w:val="00D4665B"/>
    <w:rsid w:val="00D46CA7"/>
    <w:rsid w:val="00D4748E"/>
    <w:rsid w:val="00D47A2A"/>
    <w:rsid w:val="00D47B35"/>
    <w:rsid w:val="00D47B92"/>
    <w:rsid w:val="00D47BF1"/>
    <w:rsid w:val="00D47FB9"/>
    <w:rsid w:val="00D5034E"/>
    <w:rsid w:val="00D50707"/>
    <w:rsid w:val="00D50896"/>
    <w:rsid w:val="00D50C36"/>
    <w:rsid w:val="00D50EDE"/>
    <w:rsid w:val="00D51819"/>
    <w:rsid w:val="00D51CF5"/>
    <w:rsid w:val="00D51F0C"/>
    <w:rsid w:val="00D51F18"/>
    <w:rsid w:val="00D5220D"/>
    <w:rsid w:val="00D52A99"/>
    <w:rsid w:val="00D52B3F"/>
    <w:rsid w:val="00D52CCC"/>
    <w:rsid w:val="00D52E49"/>
    <w:rsid w:val="00D53500"/>
    <w:rsid w:val="00D5370D"/>
    <w:rsid w:val="00D537E8"/>
    <w:rsid w:val="00D53E39"/>
    <w:rsid w:val="00D53E3D"/>
    <w:rsid w:val="00D54220"/>
    <w:rsid w:val="00D54417"/>
    <w:rsid w:val="00D547B7"/>
    <w:rsid w:val="00D54A83"/>
    <w:rsid w:val="00D54E5C"/>
    <w:rsid w:val="00D54EA1"/>
    <w:rsid w:val="00D552EE"/>
    <w:rsid w:val="00D5583F"/>
    <w:rsid w:val="00D55A39"/>
    <w:rsid w:val="00D55C8E"/>
    <w:rsid w:val="00D56557"/>
    <w:rsid w:val="00D56764"/>
    <w:rsid w:val="00D56954"/>
    <w:rsid w:val="00D569D3"/>
    <w:rsid w:val="00D56A95"/>
    <w:rsid w:val="00D56AF0"/>
    <w:rsid w:val="00D57116"/>
    <w:rsid w:val="00D57AC3"/>
    <w:rsid w:val="00D601B5"/>
    <w:rsid w:val="00D601DD"/>
    <w:rsid w:val="00D6026F"/>
    <w:rsid w:val="00D60622"/>
    <w:rsid w:val="00D607AB"/>
    <w:rsid w:val="00D6120E"/>
    <w:rsid w:val="00D615BA"/>
    <w:rsid w:val="00D61B6C"/>
    <w:rsid w:val="00D62E3B"/>
    <w:rsid w:val="00D633BA"/>
    <w:rsid w:val="00D63E4E"/>
    <w:rsid w:val="00D64485"/>
    <w:rsid w:val="00D6452A"/>
    <w:rsid w:val="00D64581"/>
    <w:rsid w:val="00D646B6"/>
    <w:rsid w:val="00D6479B"/>
    <w:rsid w:val="00D64A6C"/>
    <w:rsid w:val="00D64CAA"/>
    <w:rsid w:val="00D651CC"/>
    <w:rsid w:val="00D651CF"/>
    <w:rsid w:val="00D652D6"/>
    <w:rsid w:val="00D6530D"/>
    <w:rsid w:val="00D661D7"/>
    <w:rsid w:val="00D66486"/>
    <w:rsid w:val="00D668DF"/>
    <w:rsid w:val="00D66952"/>
    <w:rsid w:val="00D66ED2"/>
    <w:rsid w:val="00D66FE7"/>
    <w:rsid w:val="00D670D6"/>
    <w:rsid w:val="00D67A4C"/>
    <w:rsid w:val="00D67A88"/>
    <w:rsid w:val="00D67B68"/>
    <w:rsid w:val="00D67FFE"/>
    <w:rsid w:val="00D70126"/>
    <w:rsid w:val="00D70363"/>
    <w:rsid w:val="00D707BE"/>
    <w:rsid w:val="00D709EA"/>
    <w:rsid w:val="00D70B18"/>
    <w:rsid w:val="00D711EF"/>
    <w:rsid w:val="00D71259"/>
    <w:rsid w:val="00D71344"/>
    <w:rsid w:val="00D716EE"/>
    <w:rsid w:val="00D71935"/>
    <w:rsid w:val="00D71B4A"/>
    <w:rsid w:val="00D71D50"/>
    <w:rsid w:val="00D7237B"/>
    <w:rsid w:val="00D72524"/>
    <w:rsid w:val="00D7258B"/>
    <w:rsid w:val="00D729A9"/>
    <w:rsid w:val="00D72A8D"/>
    <w:rsid w:val="00D72D5E"/>
    <w:rsid w:val="00D72D71"/>
    <w:rsid w:val="00D730E7"/>
    <w:rsid w:val="00D73170"/>
    <w:rsid w:val="00D7342A"/>
    <w:rsid w:val="00D73597"/>
    <w:rsid w:val="00D736DC"/>
    <w:rsid w:val="00D74702"/>
    <w:rsid w:val="00D751D6"/>
    <w:rsid w:val="00D753A2"/>
    <w:rsid w:val="00D75427"/>
    <w:rsid w:val="00D756AD"/>
    <w:rsid w:val="00D75926"/>
    <w:rsid w:val="00D766BF"/>
    <w:rsid w:val="00D76A89"/>
    <w:rsid w:val="00D771D5"/>
    <w:rsid w:val="00D7737A"/>
    <w:rsid w:val="00D77A0C"/>
    <w:rsid w:val="00D77A5C"/>
    <w:rsid w:val="00D77AEC"/>
    <w:rsid w:val="00D80879"/>
    <w:rsid w:val="00D80A25"/>
    <w:rsid w:val="00D80C9B"/>
    <w:rsid w:val="00D8102D"/>
    <w:rsid w:val="00D81744"/>
    <w:rsid w:val="00D818C3"/>
    <w:rsid w:val="00D818D3"/>
    <w:rsid w:val="00D81C44"/>
    <w:rsid w:val="00D82AD1"/>
    <w:rsid w:val="00D82C78"/>
    <w:rsid w:val="00D83118"/>
    <w:rsid w:val="00D8331C"/>
    <w:rsid w:val="00D834E6"/>
    <w:rsid w:val="00D840B0"/>
    <w:rsid w:val="00D84157"/>
    <w:rsid w:val="00D84294"/>
    <w:rsid w:val="00D8435B"/>
    <w:rsid w:val="00D843E1"/>
    <w:rsid w:val="00D84AC3"/>
    <w:rsid w:val="00D84BB6"/>
    <w:rsid w:val="00D84CB1"/>
    <w:rsid w:val="00D85114"/>
    <w:rsid w:val="00D859FC"/>
    <w:rsid w:val="00D86038"/>
    <w:rsid w:val="00D86343"/>
    <w:rsid w:val="00D86B31"/>
    <w:rsid w:val="00D86BAA"/>
    <w:rsid w:val="00D87695"/>
    <w:rsid w:val="00D87716"/>
    <w:rsid w:val="00D87FB2"/>
    <w:rsid w:val="00D87FCD"/>
    <w:rsid w:val="00D903FD"/>
    <w:rsid w:val="00D904D6"/>
    <w:rsid w:val="00D9063E"/>
    <w:rsid w:val="00D918E7"/>
    <w:rsid w:val="00D91D86"/>
    <w:rsid w:val="00D92138"/>
    <w:rsid w:val="00D926AD"/>
    <w:rsid w:val="00D92C26"/>
    <w:rsid w:val="00D92DC8"/>
    <w:rsid w:val="00D92F52"/>
    <w:rsid w:val="00D93CE3"/>
    <w:rsid w:val="00D941BA"/>
    <w:rsid w:val="00D9492D"/>
    <w:rsid w:val="00D94976"/>
    <w:rsid w:val="00D94F2B"/>
    <w:rsid w:val="00D951AE"/>
    <w:rsid w:val="00D951F1"/>
    <w:rsid w:val="00D95317"/>
    <w:rsid w:val="00D9561A"/>
    <w:rsid w:val="00D95EC9"/>
    <w:rsid w:val="00D96CD6"/>
    <w:rsid w:val="00D96EAF"/>
    <w:rsid w:val="00D972F3"/>
    <w:rsid w:val="00D97628"/>
    <w:rsid w:val="00D978F7"/>
    <w:rsid w:val="00D97E05"/>
    <w:rsid w:val="00DA0167"/>
    <w:rsid w:val="00DA024C"/>
    <w:rsid w:val="00DA0746"/>
    <w:rsid w:val="00DA13F9"/>
    <w:rsid w:val="00DA1640"/>
    <w:rsid w:val="00DA1825"/>
    <w:rsid w:val="00DA1B00"/>
    <w:rsid w:val="00DA1C79"/>
    <w:rsid w:val="00DA1CFE"/>
    <w:rsid w:val="00DA21DF"/>
    <w:rsid w:val="00DA2618"/>
    <w:rsid w:val="00DA2A14"/>
    <w:rsid w:val="00DA2C43"/>
    <w:rsid w:val="00DA2DC3"/>
    <w:rsid w:val="00DA307A"/>
    <w:rsid w:val="00DA326A"/>
    <w:rsid w:val="00DA50DA"/>
    <w:rsid w:val="00DA53BF"/>
    <w:rsid w:val="00DA53D4"/>
    <w:rsid w:val="00DA5554"/>
    <w:rsid w:val="00DA5634"/>
    <w:rsid w:val="00DA56BB"/>
    <w:rsid w:val="00DA5784"/>
    <w:rsid w:val="00DA5BD2"/>
    <w:rsid w:val="00DA5F23"/>
    <w:rsid w:val="00DA6253"/>
    <w:rsid w:val="00DA6692"/>
    <w:rsid w:val="00DA6918"/>
    <w:rsid w:val="00DA6B09"/>
    <w:rsid w:val="00DA6D78"/>
    <w:rsid w:val="00DA6D7E"/>
    <w:rsid w:val="00DA758C"/>
    <w:rsid w:val="00DA7754"/>
    <w:rsid w:val="00DA7948"/>
    <w:rsid w:val="00DA7A76"/>
    <w:rsid w:val="00DB00D8"/>
    <w:rsid w:val="00DB0125"/>
    <w:rsid w:val="00DB136F"/>
    <w:rsid w:val="00DB1509"/>
    <w:rsid w:val="00DB1C3A"/>
    <w:rsid w:val="00DB2073"/>
    <w:rsid w:val="00DB208C"/>
    <w:rsid w:val="00DB20D7"/>
    <w:rsid w:val="00DB22B6"/>
    <w:rsid w:val="00DB23AD"/>
    <w:rsid w:val="00DB25D6"/>
    <w:rsid w:val="00DB2739"/>
    <w:rsid w:val="00DB3349"/>
    <w:rsid w:val="00DB341C"/>
    <w:rsid w:val="00DB38CA"/>
    <w:rsid w:val="00DB3A07"/>
    <w:rsid w:val="00DB3B99"/>
    <w:rsid w:val="00DB44AD"/>
    <w:rsid w:val="00DB47CB"/>
    <w:rsid w:val="00DB4B35"/>
    <w:rsid w:val="00DB53FD"/>
    <w:rsid w:val="00DB675C"/>
    <w:rsid w:val="00DB718B"/>
    <w:rsid w:val="00DC0147"/>
    <w:rsid w:val="00DC0211"/>
    <w:rsid w:val="00DC104B"/>
    <w:rsid w:val="00DC1492"/>
    <w:rsid w:val="00DC17A6"/>
    <w:rsid w:val="00DC1D2C"/>
    <w:rsid w:val="00DC1F2C"/>
    <w:rsid w:val="00DC2233"/>
    <w:rsid w:val="00DC259B"/>
    <w:rsid w:val="00DC274F"/>
    <w:rsid w:val="00DC2828"/>
    <w:rsid w:val="00DC2E2D"/>
    <w:rsid w:val="00DC38FC"/>
    <w:rsid w:val="00DC40D6"/>
    <w:rsid w:val="00DC44F5"/>
    <w:rsid w:val="00DC4583"/>
    <w:rsid w:val="00DC49E2"/>
    <w:rsid w:val="00DC4FAF"/>
    <w:rsid w:val="00DC511C"/>
    <w:rsid w:val="00DC55AB"/>
    <w:rsid w:val="00DC5AEA"/>
    <w:rsid w:val="00DC5EFF"/>
    <w:rsid w:val="00DC6277"/>
    <w:rsid w:val="00DC642B"/>
    <w:rsid w:val="00DC6686"/>
    <w:rsid w:val="00DC66EC"/>
    <w:rsid w:val="00DC6BFB"/>
    <w:rsid w:val="00DC6D43"/>
    <w:rsid w:val="00DC6E29"/>
    <w:rsid w:val="00DC6E8C"/>
    <w:rsid w:val="00DC6F84"/>
    <w:rsid w:val="00DC7395"/>
    <w:rsid w:val="00DC7985"/>
    <w:rsid w:val="00DC7E04"/>
    <w:rsid w:val="00DD0391"/>
    <w:rsid w:val="00DD088C"/>
    <w:rsid w:val="00DD0E02"/>
    <w:rsid w:val="00DD0E8E"/>
    <w:rsid w:val="00DD0FB0"/>
    <w:rsid w:val="00DD1552"/>
    <w:rsid w:val="00DD1785"/>
    <w:rsid w:val="00DD18DB"/>
    <w:rsid w:val="00DD1946"/>
    <w:rsid w:val="00DD1C1C"/>
    <w:rsid w:val="00DD2696"/>
    <w:rsid w:val="00DD26A2"/>
    <w:rsid w:val="00DD3216"/>
    <w:rsid w:val="00DD328B"/>
    <w:rsid w:val="00DD32A6"/>
    <w:rsid w:val="00DD3E77"/>
    <w:rsid w:val="00DD3F4E"/>
    <w:rsid w:val="00DD4F40"/>
    <w:rsid w:val="00DD526A"/>
    <w:rsid w:val="00DD5314"/>
    <w:rsid w:val="00DD5A9A"/>
    <w:rsid w:val="00DD5D89"/>
    <w:rsid w:val="00DD5E27"/>
    <w:rsid w:val="00DD6364"/>
    <w:rsid w:val="00DD6809"/>
    <w:rsid w:val="00DD6F7C"/>
    <w:rsid w:val="00DD7D52"/>
    <w:rsid w:val="00DE0025"/>
    <w:rsid w:val="00DE006E"/>
    <w:rsid w:val="00DE02F7"/>
    <w:rsid w:val="00DE0434"/>
    <w:rsid w:val="00DE07A8"/>
    <w:rsid w:val="00DE0828"/>
    <w:rsid w:val="00DE0AAA"/>
    <w:rsid w:val="00DE0ED5"/>
    <w:rsid w:val="00DE0EDA"/>
    <w:rsid w:val="00DE13B7"/>
    <w:rsid w:val="00DE141C"/>
    <w:rsid w:val="00DE2687"/>
    <w:rsid w:val="00DE26BE"/>
    <w:rsid w:val="00DE27C5"/>
    <w:rsid w:val="00DE2C6C"/>
    <w:rsid w:val="00DE30A5"/>
    <w:rsid w:val="00DE328F"/>
    <w:rsid w:val="00DE330A"/>
    <w:rsid w:val="00DE3401"/>
    <w:rsid w:val="00DE368A"/>
    <w:rsid w:val="00DE3D58"/>
    <w:rsid w:val="00DE43F2"/>
    <w:rsid w:val="00DE4490"/>
    <w:rsid w:val="00DE44EE"/>
    <w:rsid w:val="00DE456A"/>
    <w:rsid w:val="00DE4614"/>
    <w:rsid w:val="00DE4AF8"/>
    <w:rsid w:val="00DE4D9D"/>
    <w:rsid w:val="00DE53D0"/>
    <w:rsid w:val="00DE5870"/>
    <w:rsid w:val="00DE58BA"/>
    <w:rsid w:val="00DE5904"/>
    <w:rsid w:val="00DE5938"/>
    <w:rsid w:val="00DE59DD"/>
    <w:rsid w:val="00DE5FA9"/>
    <w:rsid w:val="00DE62A0"/>
    <w:rsid w:val="00DE674C"/>
    <w:rsid w:val="00DE730F"/>
    <w:rsid w:val="00DE73FF"/>
    <w:rsid w:val="00DE7565"/>
    <w:rsid w:val="00DE7598"/>
    <w:rsid w:val="00DE78DD"/>
    <w:rsid w:val="00DE7A3D"/>
    <w:rsid w:val="00DE7E5C"/>
    <w:rsid w:val="00DF0309"/>
    <w:rsid w:val="00DF0423"/>
    <w:rsid w:val="00DF0AFD"/>
    <w:rsid w:val="00DF0BAA"/>
    <w:rsid w:val="00DF0C70"/>
    <w:rsid w:val="00DF0F36"/>
    <w:rsid w:val="00DF1133"/>
    <w:rsid w:val="00DF1592"/>
    <w:rsid w:val="00DF162F"/>
    <w:rsid w:val="00DF1926"/>
    <w:rsid w:val="00DF197B"/>
    <w:rsid w:val="00DF1A29"/>
    <w:rsid w:val="00DF1B4C"/>
    <w:rsid w:val="00DF1E64"/>
    <w:rsid w:val="00DF1FB5"/>
    <w:rsid w:val="00DF221F"/>
    <w:rsid w:val="00DF2A0B"/>
    <w:rsid w:val="00DF2A7F"/>
    <w:rsid w:val="00DF2B0D"/>
    <w:rsid w:val="00DF2B66"/>
    <w:rsid w:val="00DF30B7"/>
    <w:rsid w:val="00DF3112"/>
    <w:rsid w:val="00DF3B43"/>
    <w:rsid w:val="00DF3B5D"/>
    <w:rsid w:val="00DF4197"/>
    <w:rsid w:val="00DF419D"/>
    <w:rsid w:val="00DF4407"/>
    <w:rsid w:val="00DF4492"/>
    <w:rsid w:val="00DF463B"/>
    <w:rsid w:val="00DF4F4B"/>
    <w:rsid w:val="00DF550F"/>
    <w:rsid w:val="00DF55E5"/>
    <w:rsid w:val="00DF5677"/>
    <w:rsid w:val="00DF5747"/>
    <w:rsid w:val="00DF5C1C"/>
    <w:rsid w:val="00DF6034"/>
    <w:rsid w:val="00DF6423"/>
    <w:rsid w:val="00DF6897"/>
    <w:rsid w:val="00DF68D4"/>
    <w:rsid w:val="00DF6BBC"/>
    <w:rsid w:val="00DF77EA"/>
    <w:rsid w:val="00DF7DF0"/>
    <w:rsid w:val="00E00044"/>
    <w:rsid w:val="00E00B10"/>
    <w:rsid w:val="00E00D8E"/>
    <w:rsid w:val="00E01187"/>
    <w:rsid w:val="00E018FC"/>
    <w:rsid w:val="00E01A38"/>
    <w:rsid w:val="00E02DBB"/>
    <w:rsid w:val="00E02E90"/>
    <w:rsid w:val="00E02EF0"/>
    <w:rsid w:val="00E03185"/>
    <w:rsid w:val="00E037DE"/>
    <w:rsid w:val="00E038BA"/>
    <w:rsid w:val="00E03949"/>
    <w:rsid w:val="00E03B5F"/>
    <w:rsid w:val="00E03D09"/>
    <w:rsid w:val="00E04155"/>
    <w:rsid w:val="00E0477D"/>
    <w:rsid w:val="00E047B1"/>
    <w:rsid w:val="00E04B5C"/>
    <w:rsid w:val="00E04B6D"/>
    <w:rsid w:val="00E04B8F"/>
    <w:rsid w:val="00E04CA9"/>
    <w:rsid w:val="00E04F51"/>
    <w:rsid w:val="00E05E5B"/>
    <w:rsid w:val="00E06605"/>
    <w:rsid w:val="00E0669C"/>
    <w:rsid w:val="00E066DD"/>
    <w:rsid w:val="00E0698A"/>
    <w:rsid w:val="00E06CCC"/>
    <w:rsid w:val="00E07C04"/>
    <w:rsid w:val="00E07C35"/>
    <w:rsid w:val="00E10294"/>
    <w:rsid w:val="00E1044E"/>
    <w:rsid w:val="00E10BA3"/>
    <w:rsid w:val="00E1184F"/>
    <w:rsid w:val="00E1248A"/>
    <w:rsid w:val="00E126DD"/>
    <w:rsid w:val="00E12D79"/>
    <w:rsid w:val="00E12EE7"/>
    <w:rsid w:val="00E12FDD"/>
    <w:rsid w:val="00E130DD"/>
    <w:rsid w:val="00E131FF"/>
    <w:rsid w:val="00E13620"/>
    <w:rsid w:val="00E13AA9"/>
    <w:rsid w:val="00E13F3C"/>
    <w:rsid w:val="00E13FD8"/>
    <w:rsid w:val="00E140B8"/>
    <w:rsid w:val="00E14216"/>
    <w:rsid w:val="00E1453F"/>
    <w:rsid w:val="00E14708"/>
    <w:rsid w:val="00E14794"/>
    <w:rsid w:val="00E14D65"/>
    <w:rsid w:val="00E151E7"/>
    <w:rsid w:val="00E1521A"/>
    <w:rsid w:val="00E1594D"/>
    <w:rsid w:val="00E15B17"/>
    <w:rsid w:val="00E15CAC"/>
    <w:rsid w:val="00E15D21"/>
    <w:rsid w:val="00E16410"/>
    <w:rsid w:val="00E165D9"/>
    <w:rsid w:val="00E16913"/>
    <w:rsid w:val="00E16BF5"/>
    <w:rsid w:val="00E16EC4"/>
    <w:rsid w:val="00E174C4"/>
    <w:rsid w:val="00E17623"/>
    <w:rsid w:val="00E17B18"/>
    <w:rsid w:val="00E204E9"/>
    <w:rsid w:val="00E20524"/>
    <w:rsid w:val="00E20890"/>
    <w:rsid w:val="00E20A50"/>
    <w:rsid w:val="00E20F9D"/>
    <w:rsid w:val="00E212CC"/>
    <w:rsid w:val="00E21330"/>
    <w:rsid w:val="00E214E0"/>
    <w:rsid w:val="00E2187C"/>
    <w:rsid w:val="00E224D8"/>
    <w:rsid w:val="00E22C4F"/>
    <w:rsid w:val="00E23410"/>
    <w:rsid w:val="00E2343A"/>
    <w:rsid w:val="00E23B57"/>
    <w:rsid w:val="00E243C3"/>
    <w:rsid w:val="00E2489A"/>
    <w:rsid w:val="00E249F3"/>
    <w:rsid w:val="00E24A58"/>
    <w:rsid w:val="00E24AFF"/>
    <w:rsid w:val="00E24D9B"/>
    <w:rsid w:val="00E2508E"/>
    <w:rsid w:val="00E25335"/>
    <w:rsid w:val="00E25790"/>
    <w:rsid w:val="00E25C4F"/>
    <w:rsid w:val="00E2643F"/>
    <w:rsid w:val="00E26E20"/>
    <w:rsid w:val="00E27705"/>
    <w:rsid w:val="00E27B13"/>
    <w:rsid w:val="00E27F0B"/>
    <w:rsid w:val="00E305A8"/>
    <w:rsid w:val="00E30AC3"/>
    <w:rsid w:val="00E30D23"/>
    <w:rsid w:val="00E30FFC"/>
    <w:rsid w:val="00E314C6"/>
    <w:rsid w:val="00E319BC"/>
    <w:rsid w:val="00E31A20"/>
    <w:rsid w:val="00E32303"/>
    <w:rsid w:val="00E3293A"/>
    <w:rsid w:val="00E32AA2"/>
    <w:rsid w:val="00E32E71"/>
    <w:rsid w:val="00E33AE6"/>
    <w:rsid w:val="00E33B0F"/>
    <w:rsid w:val="00E33C9F"/>
    <w:rsid w:val="00E341E6"/>
    <w:rsid w:val="00E34365"/>
    <w:rsid w:val="00E34605"/>
    <w:rsid w:val="00E34C3E"/>
    <w:rsid w:val="00E35190"/>
    <w:rsid w:val="00E3521C"/>
    <w:rsid w:val="00E35287"/>
    <w:rsid w:val="00E3528A"/>
    <w:rsid w:val="00E35385"/>
    <w:rsid w:val="00E35817"/>
    <w:rsid w:val="00E35C43"/>
    <w:rsid w:val="00E35F1B"/>
    <w:rsid w:val="00E35FAD"/>
    <w:rsid w:val="00E36001"/>
    <w:rsid w:val="00E36191"/>
    <w:rsid w:val="00E3632C"/>
    <w:rsid w:val="00E363C2"/>
    <w:rsid w:val="00E370C8"/>
    <w:rsid w:val="00E37C1A"/>
    <w:rsid w:val="00E4048A"/>
    <w:rsid w:val="00E40CB5"/>
    <w:rsid w:val="00E40E79"/>
    <w:rsid w:val="00E40F92"/>
    <w:rsid w:val="00E41507"/>
    <w:rsid w:val="00E42699"/>
    <w:rsid w:val="00E42841"/>
    <w:rsid w:val="00E42A41"/>
    <w:rsid w:val="00E42FA0"/>
    <w:rsid w:val="00E4310E"/>
    <w:rsid w:val="00E43395"/>
    <w:rsid w:val="00E435A2"/>
    <w:rsid w:val="00E43649"/>
    <w:rsid w:val="00E43D9E"/>
    <w:rsid w:val="00E4405C"/>
    <w:rsid w:val="00E44670"/>
    <w:rsid w:val="00E44AA3"/>
    <w:rsid w:val="00E44AEE"/>
    <w:rsid w:val="00E45292"/>
    <w:rsid w:val="00E45592"/>
    <w:rsid w:val="00E458CE"/>
    <w:rsid w:val="00E459E0"/>
    <w:rsid w:val="00E45B83"/>
    <w:rsid w:val="00E4693A"/>
    <w:rsid w:val="00E4701D"/>
    <w:rsid w:val="00E4786F"/>
    <w:rsid w:val="00E47DFE"/>
    <w:rsid w:val="00E47E83"/>
    <w:rsid w:val="00E47F4F"/>
    <w:rsid w:val="00E500A0"/>
    <w:rsid w:val="00E50DED"/>
    <w:rsid w:val="00E5129F"/>
    <w:rsid w:val="00E5161C"/>
    <w:rsid w:val="00E5188A"/>
    <w:rsid w:val="00E5194A"/>
    <w:rsid w:val="00E51B4E"/>
    <w:rsid w:val="00E51BBD"/>
    <w:rsid w:val="00E51DC9"/>
    <w:rsid w:val="00E521F3"/>
    <w:rsid w:val="00E5256D"/>
    <w:rsid w:val="00E527EC"/>
    <w:rsid w:val="00E5284B"/>
    <w:rsid w:val="00E52A64"/>
    <w:rsid w:val="00E531EE"/>
    <w:rsid w:val="00E533A6"/>
    <w:rsid w:val="00E534F7"/>
    <w:rsid w:val="00E5398E"/>
    <w:rsid w:val="00E54088"/>
    <w:rsid w:val="00E5494F"/>
    <w:rsid w:val="00E54A8B"/>
    <w:rsid w:val="00E54B0B"/>
    <w:rsid w:val="00E54CB8"/>
    <w:rsid w:val="00E54D19"/>
    <w:rsid w:val="00E55198"/>
    <w:rsid w:val="00E551A5"/>
    <w:rsid w:val="00E55519"/>
    <w:rsid w:val="00E55BAC"/>
    <w:rsid w:val="00E56370"/>
    <w:rsid w:val="00E57281"/>
    <w:rsid w:val="00E57810"/>
    <w:rsid w:val="00E578EA"/>
    <w:rsid w:val="00E57931"/>
    <w:rsid w:val="00E57BDA"/>
    <w:rsid w:val="00E57E22"/>
    <w:rsid w:val="00E600F2"/>
    <w:rsid w:val="00E60208"/>
    <w:rsid w:val="00E6027D"/>
    <w:rsid w:val="00E608AE"/>
    <w:rsid w:val="00E60BD1"/>
    <w:rsid w:val="00E6165A"/>
    <w:rsid w:val="00E616E3"/>
    <w:rsid w:val="00E62029"/>
    <w:rsid w:val="00E62174"/>
    <w:rsid w:val="00E623F0"/>
    <w:rsid w:val="00E62477"/>
    <w:rsid w:val="00E62541"/>
    <w:rsid w:val="00E6274E"/>
    <w:rsid w:val="00E627F4"/>
    <w:rsid w:val="00E62849"/>
    <w:rsid w:val="00E62C77"/>
    <w:rsid w:val="00E63025"/>
    <w:rsid w:val="00E63370"/>
    <w:rsid w:val="00E63FB4"/>
    <w:rsid w:val="00E6453B"/>
    <w:rsid w:val="00E64CA7"/>
    <w:rsid w:val="00E64FB6"/>
    <w:rsid w:val="00E65006"/>
    <w:rsid w:val="00E652E1"/>
    <w:rsid w:val="00E65A8C"/>
    <w:rsid w:val="00E65BAF"/>
    <w:rsid w:val="00E6633E"/>
    <w:rsid w:val="00E665EC"/>
    <w:rsid w:val="00E6678D"/>
    <w:rsid w:val="00E667BC"/>
    <w:rsid w:val="00E66B7C"/>
    <w:rsid w:val="00E66F4B"/>
    <w:rsid w:val="00E672DB"/>
    <w:rsid w:val="00E67718"/>
    <w:rsid w:val="00E67B86"/>
    <w:rsid w:val="00E67E1D"/>
    <w:rsid w:val="00E70041"/>
    <w:rsid w:val="00E712A8"/>
    <w:rsid w:val="00E71303"/>
    <w:rsid w:val="00E71B8E"/>
    <w:rsid w:val="00E71D53"/>
    <w:rsid w:val="00E71E27"/>
    <w:rsid w:val="00E721E4"/>
    <w:rsid w:val="00E7293B"/>
    <w:rsid w:val="00E72B44"/>
    <w:rsid w:val="00E73524"/>
    <w:rsid w:val="00E73C37"/>
    <w:rsid w:val="00E74182"/>
    <w:rsid w:val="00E743C3"/>
    <w:rsid w:val="00E74526"/>
    <w:rsid w:val="00E74E1C"/>
    <w:rsid w:val="00E74EAD"/>
    <w:rsid w:val="00E74FC9"/>
    <w:rsid w:val="00E7500D"/>
    <w:rsid w:val="00E756F4"/>
    <w:rsid w:val="00E76407"/>
    <w:rsid w:val="00E767D5"/>
    <w:rsid w:val="00E76FDA"/>
    <w:rsid w:val="00E770B1"/>
    <w:rsid w:val="00E7757E"/>
    <w:rsid w:val="00E77A57"/>
    <w:rsid w:val="00E77A87"/>
    <w:rsid w:val="00E77C5A"/>
    <w:rsid w:val="00E80448"/>
    <w:rsid w:val="00E8047C"/>
    <w:rsid w:val="00E80843"/>
    <w:rsid w:val="00E80965"/>
    <w:rsid w:val="00E80ABB"/>
    <w:rsid w:val="00E81044"/>
    <w:rsid w:val="00E81478"/>
    <w:rsid w:val="00E81B65"/>
    <w:rsid w:val="00E81BC5"/>
    <w:rsid w:val="00E82362"/>
    <w:rsid w:val="00E8256B"/>
    <w:rsid w:val="00E8310B"/>
    <w:rsid w:val="00E83624"/>
    <w:rsid w:val="00E8363C"/>
    <w:rsid w:val="00E8381B"/>
    <w:rsid w:val="00E83FD8"/>
    <w:rsid w:val="00E843A7"/>
    <w:rsid w:val="00E84517"/>
    <w:rsid w:val="00E8467F"/>
    <w:rsid w:val="00E848AA"/>
    <w:rsid w:val="00E84AF0"/>
    <w:rsid w:val="00E84C97"/>
    <w:rsid w:val="00E84CBE"/>
    <w:rsid w:val="00E84F89"/>
    <w:rsid w:val="00E85302"/>
    <w:rsid w:val="00E85654"/>
    <w:rsid w:val="00E867EE"/>
    <w:rsid w:val="00E869A5"/>
    <w:rsid w:val="00E869D9"/>
    <w:rsid w:val="00E87022"/>
    <w:rsid w:val="00E87175"/>
    <w:rsid w:val="00E8738E"/>
    <w:rsid w:val="00E87849"/>
    <w:rsid w:val="00E87E38"/>
    <w:rsid w:val="00E90C6A"/>
    <w:rsid w:val="00E90C7F"/>
    <w:rsid w:val="00E91953"/>
    <w:rsid w:val="00E91977"/>
    <w:rsid w:val="00E91CF8"/>
    <w:rsid w:val="00E91F1B"/>
    <w:rsid w:val="00E92925"/>
    <w:rsid w:val="00E92C41"/>
    <w:rsid w:val="00E92EF0"/>
    <w:rsid w:val="00E937D0"/>
    <w:rsid w:val="00E93BD1"/>
    <w:rsid w:val="00E94085"/>
    <w:rsid w:val="00E94C3B"/>
    <w:rsid w:val="00E94F38"/>
    <w:rsid w:val="00E9503E"/>
    <w:rsid w:val="00E95165"/>
    <w:rsid w:val="00E95166"/>
    <w:rsid w:val="00E957D5"/>
    <w:rsid w:val="00E95A63"/>
    <w:rsid w:val="00E95C81"/>
    <w:rsid w:val="00E95DBB"/>
    <w:rsid w:val="00E95EBE"/>
    <w:rsid w:val="00E96778"/>
    <w:rsid w:val="00E96899"/>
    <w:rsid w:val="00E96B21"/>
    <w:rsid w:val="00E96CE2"/>
    <w:rsid w:val="00E97058"/>
    <w:rsid w:val="00E97AAB"/>
    <w:rsid w:val="00E97AFC"/>
    <w:rsid w:val="00EA01BF"/>
    <w:rsid w:val="00EA0277"/>
    <w:rsid w:val="00EA080B"/>
    <w:rsid w:val="00EA08AE"/>
    <w:rsid w:val="00EA09ED"/>
    <w:rsid w:val="00EA0C0A"/>
    <w:rsid w:val="00EA1115"/>
    <w:rsid w:val="00EA1573"/>
    <w:rsid w:val="00EA184E"/>
    <w:rsid w:val="00EA1C91"/>
    <w:rsid w:val="00EA287B"/>
    <w:rsid w:val="00EA2ACE"/>
    <w:rsid w:val="00EA3535"/>
    <w:rsid w:val="00EA35F6"/>
    <w:rsid w:val="00EA3A1C"/>
    <w:rsid w:val="00EA3B40"/>
    <w:rsid w:val="00EA431A"/>
    <w:rsid w:val="00EA442B"/>
    <w:rsid w:val="00EA48B2"/>
    <w:rsid w:val="00EA4CF3"/>
    <w:rsid w:val="00EA522D"/>
    <w:rsid w:val="00EA5922"/>
    <w:rsid w:val="00EA63DB"/>
    <w:rsid w:val="00EA64CA"/>
    <w:rsid w:val="00EA699C"/>
    <w:rsid w:val="00EA773C"/>
    <w:rsid w:val="00EA7915"/>
    <w:rsid w:val="00EA7E8F"/>
    <w:rsid w:val="00EA7EFD"/>
    <w:rsid w:val="00EB0EAE"/>
    <w:rsid w:val="00EB1599"/>
    <w:rsid w:val="00EB1761"/>
    <w:rsid w:val="00EB1EAF"/>
    <w:rsid w:val="00EB254C"/>
    <w:rsid w:val="00EB266E"/>
    <w:rsid w:val="00EB2755"/>
    <w:rsid w:val="00EB27CF"/>
    <w:rsid w:val="00EB3699"/>
    <w:rsid w:val="00EB3752"/>
    <w:rsid w:val="00EB3DED"/>
    <w:rsid w:val="00EB4445"/>
    <w:rsid w:val="00EB4B27"/>
    <w:rsid w:val="00EB539C"/>
    <w:rsid w:val="00EB5861"/>
    <w:rsid w:val="00EB5E99"/>
    <w:rsid w:val="00EB61ED"/>
    <w:rsid w:val="00EB69A9"/>
    <w:rsid w:val="00EB6DBB"/>
    <w:rsid w:val="00EB7469"/>
    <w:rsid w:val="00EB7E35"/>
    <w:rsid w:val="00EC0793"/>
    <w:rsid w:val="00EC0956"/>
    <w:rsid w:val="00EC0C48"/>
    <w:rsid w:val="00EC0F6E"/>
    <w:rsid w:val="00EC1391"/>
    <w:rsid w:val="00EC1B23"/>
    <w:rsid w:val="00EC25DA"/>
    <w:rsid w:val="00EC2CCE"/>
    <w:rsid w:val="00EC2FFE"/>
    <w:rsid w:val="00EC3067"/>
    <w:rsid w:val="00EC32C1"/>
    <w:rsid w:val="00EC3485"/>
    <w:rsid w:val="00EC3800"/>
    <w:rsid w:val="00EC39F2"/>
    <w:rsid w:val="00EC4066"/>
    <w:rsid w:val="00EC42AB"/>
    <w:rsid w:val="00EC4A7D"/>
    <w:rsid w:val="00EC56A2"/>
    <w:rsid w:val="00EC5ABE"/>
    <w:rsid w:val="00EC5BFA"/>
    <w:rsid w:val="00EC5DA9"/>
    <w:rsid w:val="00EC5FFE"/>
    <w:rsid w:val="00EC602F"/>
    <w:rsid w:val="00EC61D7"/>
    <w:rsid w:val="00EC6635"/>
    <w:rsid w:val="00EC6B98"/>
    <w:rsid w:val="00EC7120"/>
    <w:rsid w:val="00EC79F6"/>
    <w:rsid w:val="00EC7AFA"/>
    <w:rsid w:val="00EC7B97"/>
    <w:rsid w:val="00ED006F"/>
    <w:rsid w:val="00ED0450"/>
    <w:rsid w:val="00ED0731"/>
    <w:rsid w:val="00ED0F14"/>
    <w:rsid w:val="00ED0F25"/>
    <w:rsid w:val="00ED103B"/>
    <w:rsid w:val="00ED1181"/>
    <w:rsid w:val="00ED13F9"/>
    <w:rsid w:val="00ED1E49"/>
    <w:rsid w:val="00ED1F1A"/>
    <w:rsid w:val="00ED2347"/>
    <w:rsid w:val="00ED23AD"/>
    <w:rsid w:val="00ED25A7"/>
    <w:rsid w:val="00ED2601"/>
    <w:rsid w:val="00ED2651"/>
    <w:rsid w:val="00ED2A50"/>
    <w:rsid w:val="00ED3351"/>
    <w:rsid w:val="00ED3BE0"/>
    <w:rsid w:val="00ED4EE6"/>
    <w:rsid w:val="00ED4F62"/>
    <w:rsid w:val="00ED50B7"/>
    <w:rsid w:val="00ED568C"/>
    <w:rsid w:val="00ED57BC"/>
    <w:rsid w:val="00ED5AC2"/>
    <w:rsid w:val="00ED5C1D"/>
    <w:rsid w:val="00ED5DF2"/>
    <w:rsid w:val="00ED6084"/>
    <w:rsid w:val="00ED68FF"/>
    <w:rsid w:val="00ED6A6B"/>
    <w:rsid w:val="00ED6BDC"/>
    <w:rsid w:val="00ED7174"/>
    <w:rsid w:val="00ED71D4"/>
    <w:rsid w:val="00ED7594"/>
    <w:rsid w:val="00ED774A"/>
    <w:rsid w:val="00ED7992"/>
    <w:rsid w:val="00ED7A79"/>
    <w:rsid w:val="00EE0428"/>
    <w:rsid w:val="00EE0B2A"/>
    <w:rsid w:val="00EE16BA"/>
    <w:rsid w:val="00EE1C7C"/>
    <w:rsid w:val="00EE1EF4"/>
    <w:rsid w:val="00EE2015"/>
    <w:rsid w:val="00EE2049"/>
    <w:rsid w:val="00EE24DD"/>
    <w:rsid w:val="00EE2C22"/>
    <w:rsid w:val="00EE2CC8"/>
    <w:rsid w:val="00EE2E75"/>
    <w:rsid w:val="00EE3035"/>
    <w:rsid w:val="00EE320D"/>
    <w:rsid w:val="00EE33C1"/>
    <w:rsid w:val="00EE36F0"/>
    <w:rsid w:val="00EE3CF7"/>
    <w:rsid w:val="00EE43DB"/>
    <w:rsid w:val="00EE4655"/>
    <w:rsid w:val="00EE4882"/>
    <w:rsid w:val="00EE4A4B"/>
    <w:rsid w:val="00EE4B56"/>
    <w:rsid w:val="00EE4C38"/>
    <w:rsid w:val="00EE4DB1"/>
    <w:rsid w:val="00EE52F7"/>
    <w:rsid w:val="00EE54A9"/>
    <w:rsid w:val="00EE57C1"/>
    <w:rsid w:val="00EE5E88"/>
    <w:rsid w:val="00EE73C3"/>
    <w:rsid w:val="00EE7C77"/>
    <w:rsid w:val="00EE7DE9"/>
    <w:rsid w:val="00EF014F"/>
    <w:rsid w:val="00EF0768"/>
    <w:rsid w:val="00EF08EA"/>
    <w:rsid w:val="00EF0A52"/>
    <w:rsid w:val="00EF0C8B"/>
    <w:rsid w:val="00EF16B1"/>
    <w:rsid w:val="00EF1D16"/>
    <w:rsid w:val="00EF20F1"/>
    <w:rsid w:val="00EF2A31"/>
    <w:rsid w:val="00EF2B13"/>
    <w:rsid w:val="00EF2C45"/>
    <w:rsid w:val="00EF2DA9"/>
    <w:rsid w:val="00EF2E50"/>
    <w:rsid w:val="00EF3076"/>
    <w:rsid w:val="00EF315E"/>
    <w:rsid w:val="00EF34B4"/>
    <w:rsid w:val="00EF36DA"/>
    <w:rsid w:val="00EF38C2"/>
    <w:rsid w:val="00EF4E2A"/>
    <w:rsid w:val="00EF4E92"/>
    <w:rsid w:val="00EF4FD3"/>
    <w:rsid w:val="00EF5246"/>
    <w:rsid w:val="00EF5D1C"/>
    <w:rsid w:val="00EF5EB5"/>
    <w:rsid w:val="00EF5F3C"/>
    <w:rsid w:val="00EF6284"/>
    <w:rsid w:val="00EF644C"/>
    <w:rsid w:val="00EF6F55"/>
    <w:rsid w:val="00EF704A"/>
    <w:rsid w:val="00EF799C"/>
    <w:rsid w:val="00EF7E1D"/>
    <w:rsid w:val="00EF7F39"/>
    <w:rsid w:val="00F001A6"/>
    <w:rsid w:val="00F001CA"/>
    <w:rsid w:val="00F004E7"/>
    <w:rsid w:val="00F00742"/>
    <w:rsid w:val="00F00938"/>
    <w:rsid w:val="00F00D03"/>
    <w:rsid w:val="00F01914"/>
    <w:rsid w:val="00F01D3F"/>
    <w:rsid w:val="00F0201F"/>
    <w:rsid w:val="00F020F0"/>
    <w:rsid w:val="00F021A8"/>
    <w:rsid w:val="00F021C8"/>
    <w:rsid w:val="00F021FD"/>
    <w:rsid w:val="00F02239"/>
    <w:rsid w:val="00F022EA"/>
    <w:rsid w:val="00F025F8"/>
    <w:rsid w:val="00F027CB"/>
    <w:rsid w:val="00F029D1"/>
    <w:rsid w:val="00F02CBA"/>
    <w:rsid w:val="00F0312C"/>
    <w:rsid w:val="00F03335"/>
    <w:rsid w:val="00F03A17"/>
    <w:rsid w:val="00F03BB8"/>
    <w:rsid w:val="00F03E91"/>
    <w:rsid w:val="00F03E95"/>
    <w:rsid w:val="00F0421A"/>
    <w:rsid w:val="00F04377"/>
    <w:rsid w:val="00F04426"/>
    <w:rsid w:val="00F04FB8"/>
    <w:rsid w:val="00F050D8"/>
    <w:rsid w:val="00F05515"/>
    <w:rsid w:val="00F0552B"/>
    <w:rsid w:val="00F0555B"/>
    <w:rsid w:val="00F05E28"/>
    <w:rsid w:val="00F06083"/>
    <w:rsid w:val="00F06234"/>
    <w:rsid w:val="00F06253"/>
    <w:rsid w:val="00F0645F"/>
    <w:rsid w:val="00F06518"/>
    <w:rsid w:val="00F065D1"/>
    <w:rsid w:val="00F06945"/>
    <w:rsid w:val="00F074C9"/>
    <w:rsid w:val="00F0750E"/>
    <w:rsid w:val="00F07629"/>
    <w:rsid w:val="00F07A1D"/>
    <w:rsid w:val="00F07B2F"/>
    <w:rsid w:val="00F07BAA"/>
    <w:rsid w:val="00F102B8"/>
    <w:rsid w:val="00F10359"/>
    <w:rsid w:val="00F1051C"/>
    <w:rsid w:val="00F107EE"/>
    <w:rsid w:val="00F10CDB"/>
    <w:rsid w:val="00F1143F"/>
    <w:rsid w:val="00F11FFA"/>
    <w:rsid w:val="00F13125"/>
    <w:rsid w:val="00F134C5"/>
    <w:rsid w:val="00F13E40"/>
    <w:rsid w:val="00F14006"/>
    <w:rsid w:val="00F141F8"/>
    <w:rsid w:val="00F148B1"/>
    <w:rsid w:val="00F14B13"/>
    <w:rsid w:val="00F14BA4"/>
    <w:rsid w:val="00F14BE0"/>
    <w:rsid w:val="00F152EF"/>
    <w:rsid w:val="00F15333"/>
    <w:rsid w:val="00F153BE"/>
    <w:rsid w:val="00F15828"/>
    <w:rsid w:val="00F15906"/>
    <w:rsid w:val="00F1626A"/>
    <w:rsid w:val="00F166C1"/>
    <w:rsid w:val="00F167A5"/>
    <w:rsid w:val="00F16913"/>
    <w:rsid w:val="00F16A85"/>
    <w:rsid w:val="00F16F35"/>
    <w:rsid w:val="00F1753F"/>
    <w:rsid w:val="00F175D3"/>
    <w:rsid w:val="00F17C15"/>
    <w:rsid w:val="00F17FAD"/>
    <w:rsid w:val="00F200D2"/>
    <w:rsid w:val="00F208C1"/>
    <w:rsid w:val="00F2103F"/>
    <w:rsid w:val="00F2123C"/>
    <w:rsid w:val="00F2131E"/>
    <w:rsid w:val="00F21886"/>
    <w:rsid w:val="00F21A73"/>
    <w:rsid w:val="00F21B03"/>
    <w:rsid w:val="00F21D43"/>
    <w:rsid w:val="00F21F17"/>
    <w:rsid w:val="00F2206D"/>
    <w:rsid w:val="00F2244F"/>
    <w:rsid w:val="00F226F8"/>
    <w:rsid w:val="00F22A2E"/>
    <w:rsid w:val="00F22A98"/>
    <w:rsid w:val="00F22C5F"/>
    <w:rsid w:val="00F2317E"/>
    <w:rsid w:val="00F2327A"/>
    <w:rsid w:val="00F23288"/>
    <w:rsid w:val="00F23DBB"/>
    <w:rsid w:val="00F24C0C"/>
    <w:rsid w:val="00F24C0F"/>
    <w:rsid w:val="00F24F71"/>
    <w:rsid w:val="00F24FA3"/>
    <w:rsid w:val="00F250B4"/>
    <w:rsid w:val="00F2552C"/>
    <w:rsid w:val="00F2552E"/>
    <w:rsid w:val="00F260D0"/>
    <w:rsid w:val="00F2646C"/>
    <w:rsid w:val="00F2677B"/>
    <w:rsid w:val="00F26788"/>
    <w:rsid w:val="00F2689C"/>
    <w:rsid w:val="00F26B33"/>
    <w:rsid w:val="00F26B3B"/>
    <w:rsid w:val="00F2701D"/>
    <w:rsid w:val="00F274F2"/>
    <w:rsid w:val="00F27BC7"/>
    <w:rsid w:val="00F27C14"/>
    <w:rsid w:val="00F27C4F"/>
    <w:rsid w:val="00F302A2"/>
    <w:rsid w:val="00F30AC6"/>
    <w:rsid w:val="00F30B9B"/>
    <w:rsid w:val="00F313D5"/>
    <w:rsid w:val="00F318D4"/>
    <w:rsid w:val="00F31CB1"/>
    <w:rsid w:val="00F3216C"/>
    <w:rsid w:val="00F32362"/>
    <w:rsid w:val="00F32461"/>
    <w:rsid w:val="00F3246D"/>
    <w:rsid w:val="00F32665"/>
    <w:rsid w:val="00F32722"/>
    <w:rsid w:val="00F330BA"/>
    <w:rsid w:val="00F333F6"/>
    <w:rsid w:val="00F335CC"/>
    <w:rsid w:val="00F33810"/>
    <w:rsid w:val="00F338C1"/>
    <w:rsid w:val="00F33E68"/>
    <w:rsid w:val="00F345B7"/>
    <w:rsid w:val="00F34878"/>
    <w:rsid w:val="00F34AA5"/>
    <w:rsid w:val="00F34D09"/>
    <w:rsid w:val="00F35A87"/>
    <w:rsid w:val="00F35B9A"/>
    <w:rsid w:val="00F35BF3"/>
    <w:rsid w:val="00F367BC"/>
    <w:rsid w:val="00F36B22"/>
    <w:rsid w:val="00F36F03"/>
    <w:rsid w:val="00F37D6D"/>
    <w:rsid w:val="00F40070"/>
    <w:rsid w:val="00F4012D"/>
    <w:rsid w:val="00F4044B"/>
    <w:rsid w:val="00F412DB"/>
    <w:rsid w:val="00F415C7"/>
    <w:rsid w:val="00F41C38"/>
    <w:rsid w:val="00F4212D"/>
    <w:rsid w:val="00F4274F"/>
    <w:rsid w:val="00F43192"/>
    <w:rsid w:val="00F43255"/>
    <w:rsid w:val="00F43937"/>
    <w:rsid w:val="00F439D1"/>
    <w:rsid w:val="00F43D47"/>
    <w:rsid w:val="00F43DFD"/>
    <w:rsid w:val="00F43EEE"/>
    <w:rsid w:val="00F43F59"/>
    <w:rsid w:val="00F4403A"/>
    <w:rsid w:val="00F44A25"/>
    <w:rsid w:val="00F44F7E"/>
    <w:rsid w:val="00F45236"/>
    <w:rsid w:val="00F45E1B"/>
    <w:rsid w:val="00F46C87"/>
    <w:rsid w:val="00F47222"/>
    <w:rsid w:val="00F474D4"/>
    <w:rsid w:val="00F4781D"/>
    <w:rsid w:val="00F47971"/>
    <w:rsid w:val="00F479D4"/>
    <w:rsid w:val="00F47FD0"/>
    <w:rsid w:val="00F5031C"/>
    <w:rsid w:val="00F50554"/>
    <w:rsid w:val="00F50B57"/>
    <w:rsid w:val="00F50D20"/>
    <w:rsid w:val="00F50D67"/>
    <w:rsid w:val="00F50DC2"/>
    <w:rsid w:val="00F515E9"/>
    <w:rsid w:val="00F523A5"/>
    <w:rsid w:val="00F5260D"/>
    <w:rsid w:val="00F52720"/>
    <w:rsid w:val="00F52797"/>
    <w:rsid w:val="00F52F2A"/>
    <w:rsid w:val="00F53606"/>
    <w:rsid w:val="00F538F1"/>
    <w:rsid w:val="00F53943"/>
    <w:rsid w:val="00F53C2C"/>
    <w:rsid w:val="00F53F72"/>
    <w:rsid w:val="00F55011"/>
    <w:rsid w:val="00F55453"/>
    <w:rsid w:val="00F55767"/>
    <w:rsid w:val="00F558F1"/>
    <w:rsid w:val="00F563EB"/>
    <w:rsid w:val="00F56CB5"/>
    <w:rsid w:val="00F56DD6"/>
    <w:rsid w:val="00F56EF1"/>
    <w:rsid w:val="00F5743D"/>
    <w:rsid w:val="00F5754F"/>
    <w:rsid w:val="00F578F5"/>
    <w:rsid w:val="00F57EFB"/>
    <w:rsid w:val="00F60DEC"/>
    <w:rsid w:val="00F60E48"/>
    <w:rsid w:val="00F6110C"/>
    <w:rsid w:val="00F6120E"/>
    <w:rsid w:val="00F6155D"/>
    <w:rsid w:val="00F61677"/>
    <w:rsid w:val="00F616D0"/>
    <w:rsid w:val="00F61ECB"/>
    <w:rsid w:val="00F6206C"/>
    <w:rsid w:val="00F620B6"/>
    <w:rsid w:val="00F62331"/>
    <w:rsid w:val="00F6294C"/>
    <w:rsid w:val="00F63183"/>
    <w:rsid w:val="00F6327B"/>
    <w:rsid w:val="00F63D51"/>
    <w:rsid w:val="00F63F32"/>
    <w:rsid w:val="00F64580"/>
    <w:rsid w:val="00F6463B"/>
    <w:rsid w:val="00F64D58"/>
    <w:rsid w:val="00F64F01"/>
    <w:rsid w:val="00F653CB"/>
    <w:rsid w:val="00F65460"/>
    <w:rsid w:val="00F656F8"/>
    <w:rsid w:val="00F65790"/>
    <w:rsid w:val="00F65BA0"/>
    <w:rsid w:val="00F65BD5"/>
    <w:rsid w:val="00F65D9D"/>
    <w:rsid w:val="00F6617D"/>
    <w:rsid w:val="00F6633D"/>
    <w:rsid w:val="00F66AC3"/>
    <w:rsid w:val="00F66BF9"/>
    <w:rsid w:val="00F66EC1"/>
    <w:rsid w:val="00F66EE5"/>
    <w:rsid w:val="00F670F5"/>
    <w:rsid w:val="00F671D8"/>
    <w:rsid w:val="00F67508"/>
    <w:rsid w:val="00F67551"/>
    <w:rsid w:val="00F67C46"/>
    <w:rsid w:val="00F70777"/>
    <w:rsid w:val="00F7129B"/>
    <w:rsid w:val="00F71A08"/>
    <w:rsid w:val="00F71B37"/>
    <w:rsid w:val="00F71F86"/>
    <w:rsid w:val="00F72708"/>
    <w:rsid w:val="00F72875"/>
    <w:rsid w:val="00F72E35"/>
    <w:rsid w:val="00F731D7"/>
    <w:rsid w:val="00F7337E"/>
    <w:rsid w:val="00F73C1A"/>
    <w:rsid w:val="00F74179"/>
    <w:rsid w:val="00F74609"/>
    <w:rsid w:val="00F749CC"/>
    <w:rsid w:val="00F74AB6"/>
    <w:rsid w:val="00F74E19"/>
    <w:rsid w:val="00F75205"/>
    <w:rsid w:val="00F7535E"/>
    <w:rsid w:val="00F75AC2"/>
    <w:rsid w:val="00F75BD1"/>
    <w:rsid w:val="00F75DEB"/>
    <w:rsid w:val="00F75FB4"/>
    <w:rsid w:val="00F7607D"/>
    <w:rsid w:val="00F7631F"/>
    <w:rsid w:val="00F76B6C"/>
    <w:rsid w:val="00F76B99"/>
    <w:rsid w:val="00F76BF1"/>
    <w:rsid w:val="00F77370"/>
    <w:rsid w:val="00F7738F"/>
    <w:rsid w:val="00F776E2"/>
    <w:rsid w:val="00F777B9"/>
    <w:rsid w:val="00F778F1"/>
    <w:rsid w:val="00F77A25"/>
    <w:rsid w:val="00F77C0B"/>
    <w:rsid w:val="00F8015A"/>
    <w:rsid w:val="00F801DC"/>
    <w:rsid w:val="00F8025B"/>
    <w:rsid w:val="00F80431"/>
    <w:rsid w:val="00F804DB"/>
    <w:rsid w:val="00F807C1"/>
    <w:rsid w:val="00F80AD0"/>
    <w:rsid w:val="00F80FC8"/>
    <w:rsid w:val="00F8102B"/>
    <w:rsid w:val="00F8106E"/>
    <w:rsid w:val="00F81114"/>
    <w:rsid w:val="00F811FB"/>
    <w:rsid w:val="00F8162A"/>
    <w:rsid w:val="00F81B8E"/>
    <w:rsid w:val="00F81F99"/>
    <w:rsid w:val="00F8280B"/>
    <w:rsid w:val="00F82DBE"/>
    <w:rsid w:val="00F82FB6"/>
    <w:rsid w:val="00F83091"/>
    <w:rsid w:val="00F83511"/>
    <w:rsid w:val="00F839AD"/>
    <w:rsid w:val="00F83C01"/>
    <w:rsid w:val="00F83C16"/>
    <w:rsid w:val="00F84289"/>
    <w:rsid w:val="00F84A15"/>
    <w:rsid w:val="00F84C44"/>
    <w:rsid w:val="00F85125"/>
    <w:rsid w:val="00F85185"/>
    <w:rsid w:val="00F853F2"/>
    <w:rsid w:val="00F85718"/>
    <w:rsid w:val="00F85773"/>
    <w:rsid w:val="00F86079"/>
    <w:rsid w:val="00F86523"/>
    <w:rsid w:val="00F86650"/>
    <w:rsid w:val="00F86DC2"/>
    <w:rsid w:val="00F86F75"/>
    <w:rsid w:val="00F871B7"/>
    <w:rsid w:val="00F871BA"/>
    <w:rsid w:val="00F87700"/>
    <w:rsid w:val="00F877A5"/>
    <w:rsid w:val="00F87C39"/>
    <w:rsid w:val="00F87DAD"/>
    <w:rsid w:val="00F87EA3"/>
    <w:rsid w:val="00F90050"/>
    <w:rsid w:val="00F90305"/>
    <w:rsid w:val="00F90407"/>
    <w:rsid w:val="00F9048B"/>
    <w:rsid w:val="00F90736"/>
    <w:rsid w:val="00F9104F"/>
    <w:rsid w:val="00F91E59"/>
    <w:rsid w:val="00F92D35"/>
    <w:rsid w:val="00F9306B"/>
    <w:rsid w:val="00F93125"/>
    <w:rsid w:val="00F9367A"/>
    <w:rsid w:val="00F93E76"/>
    <w:rsid w:val="00F94045"/>
    <w:rsid w:val="00F94876"/>
    <w:rsid w:val="00F949B0"/>
    <w:rsid w:val="00F94A62"/>
    <w:rsid w:val="00F9559E"/>
    <w:rsid w:val="00F955EC"/>
    <w:rsid w:val="00F95A87"/>
    <w:rsid w:val="00F95B44"/>
    <w:rsid w:val="00F960FF"/>
    <w:rsid w:val="00F96193"/>
    <w:rsid w:val="00F96353"/>
    <w:rsid w:val="00F965D2"/>
    <w:rsid w:val="00F965F2"/>
    <w:rsid w:val="00F96640"/>
    <w:rsid w:val="00F9665E"/>
    <w:rsid w:val="00F96699"/>
    <w:rsid w:val="00F96906"/>
    <w:rsid w:val="00F969DC"/>
    <w:rsid w:val="00F96A37"/>
    <w:rsid w:val="00F96D43"/>
    <w:rsid w:val="00F96E25"/>
    <w:rsid w:val="00F973DF"/>
    <w:rsid w:val="00F97880"/>
    <w:rsid w:val="00F97A26"/>
    <w:rsid w:val="00FA001B"/>
    <w:rsid w:val="00FA013F"/>
    <w:rsid w:val="00FA0564"/>
    <w:rsid w:val="00FA0586"/>
    <w:rsid w:val="00FA0BB7"/>
    <w:rsid w:val="00FA0C17"/>
    <w:rsid w:val="00FA10DA"/>
    <w:rsid w:val="00FA1952"/>
    <w:rsid w:val="00FA1A04"/>
    <w:rsid w:val="00FA1F27"/>
    <w:rsid w:val="00FA26FB"/>
    <w:rsid w:val="00FA2BB4"/>
    <w:rsid w:val="00FA2CB0"/>
    <w:rsid w:val="00FA2E34"/>
    <w:rsid w:val="00FA35FB"/>
    <w:rsid w:val="00FA3B70"/>
    <w:rsid w:val="00FA3BD4"/>
    <w:rsid w:val="00FA3C0B"/>
    <w:rsid w:val="00FA42E0"/>
    <w:rsid w:val="00FA4B1E"/>
    <w:rsid w:val="00FA4D1E"/>
    <w:rsid w:val="00FA4EF7"/>
    <w:rsid w:val="00FA5060"/>
    <w:rsid w:val="00FA5F1B"/>
    <w:rsid w:val="00FA62D9"/>
    <w:rsid w:val="00FA642D"/>
    <w:rsid w:val="00FA72AC"/>
    <w:rsid w:val="00FA752E"/>
    <w:rsid w:val="00FA7684"/>
    <w:rsid w:val="00FA7E0E"/>
    <w:rsid w:val="00FA7FE1"/>
    <w:rsid w:val="00FB01E2"/>
    <w:rsid w:val="00FB0286"/>
    <w:rsid w:val="00FB02F5"/>
    <w:rsid w:val="00FB0E76"/>
    <w:rsid w:val="00FB0FEB"/>
    <w:rsid w:val="00FB114E"/>
    <w:rsid w:val="00FB117D"/>
    <w:rsid w:val="00FB15CB"/>
    <w:rsid w:val="00FB1680"/>
    <w:rsid w:val="00FB1914"/>
    <w:rsid w:val="00FB1AA6"/>
    <w:rsid w:val="00FB1D89"/>
    <w:rsid w:val="00FB21E8"/>
    <w:rsid w:val="00FB26A7"/>
    <w:rsid w:val="00FB2C29"/>
    <w:rsid w:val="00FB3403"/>
    <w:rsid w:val="00FB3E71"/>
    <w:rsid w:val="00FB4360"/>
    <w:rsid w:val="00FB4439"/>
    <w:rsid w:val="00FB44E5"/>
    <w:rsid w:val="00FB484C"/>
    <w:rsid w:val="00FB4C7D"/>
    <w:rsid w:val="00FB4F4C"/>
    <w:rsid w:val="00FB54A2"/>
    <w:rsid w:val="00FB5AE7"/>
    <w:rsid w:val="00FB5AF3"/>
    <w:rsid w:val="00FB6530"/>
    <w:rsid w:val="00FB66D5"/>
    <w:rsid w:val="00FB6A98"/>
    <w:rsid w:val="00FB6D59"/>
    <w:rsid w:val="00FB72BA"/>
    <w:rsid w:val="00FB73B0"/>
    <w:rsid w:val="00FB7A7E"/>
    <w:rsid w:val="00FB7F88"/>
    <w:rsid w:val="00FC0136"/>
    <w:rsid w:val="00FC099C"/>
    <w:rsid w:val="00FC0EEA"/>
    <w:rsid w:val="00FC136B"/>
    <w:rsid w:val="00FC1E86"/>
    <w:rsid w:val="00FC211F"/>
    <w:rsid w:val="00FC213B"/>
    <w:rsid w:val="00FC24ED"/>
    <w:rsid w:val="00FC2924"/>
    <w:rsid w:val="00FC29F4"/>
    <w:rsid w:val="00FC2EA5"/>
    <w:rsid w:val="00FC30A9"/>
    <w:rsid w:val="00FC36AB"/>
    <w:rsid w:val="00FC374C"/>
    <w:rsid w:val="00FC37BB"/>
    <w:rsid w:val="00FC398A"/>
    <w:rsid w:val="00FC3DE1"/>
    <w:rsid w:val="00FC4190"/>
    <w:rsid w:val="00FC421F"/>
    <w:rsid w:val="00FC46C2"/>
    <w:rsid w:val="00FC48BE"/>
    <w:rsid w:val="00FC49E3"/>
    <w:rsid w:val="00FC506D"/>
    <w:rsid w:val="00FC52EF"/>
    <w:rsid w:val="00FC530D"/>
    <w:rsid w:val="00FC5469"/>
    <w:rsid w:val="00FC5A4D"/>
    <w:rsid w:val="00FC5A5A"/>
    <w:rsid w:val="00FC5B41"/>
    <w:rsid w:val="00FC5BD3"/>
    <w:rsid w:val="00FC5D22"/>
    <w:rsid w:val="00FC604F"/>
    <w:rsid w:val="00FC6292"/>
    <w:rsid w:val="00FC647E"/>
    <w:rsid w:val="00FC68D8"/>
    <w:rsid w:val="00FC6AD7"/>
    <w:rsid w:val="00FC6B61"/>
    <w:rsid w:val="00FC705E"/>
    <w:rsid w:val="00FC78A1"/>
    <w:rsid w:val="00FC7BFE"/>
    <w:rsid w:val="00FC7E65"/>
    <w:rsid w:val="00FC7E8B"/>
    <w:rsid w:val="00FD01DE"/>
    <w:rsid w:val="00FD01F3"/>
    <w:rsid w:val="00FD06A1"/>
    <w:rsid w:val="00FD0A11"/>
    <w:rsid w:val="00FD1427"/>
    <w:rsid w:val="00FD2235"/>
    <w:rsid w:val="00FD23A4"/>
    <w:rsid w:val="00FD274A"/>
    <w:rsid w:val="00FD2A4A"/>
    <w:rsid w:val="00FD2AAC"/>
    <w:rsid w:val="00FD31C8"/>
    <w:rsid w:val="00FD320C"/>
    <w:rsid w:val="00FD37AD"/>
    <w:rsid w:val="00FD38F5"/>
    <w:rsid w:val="00FD3A06"/>
    <w:rsid w:val="00FD426A"/>
    <w:rsid w:val="00FD45C9"/>
    <w:rsid w:val="00FD4924"/>
    <w:rsid w:val="00FD492F"/>
    <w:rsid w:val="00FD4960"/>
    <w:rsid w:val="00FD4B11"/>
    <w:rsid w:val="00FD5152"/>
    <w:rsid w:val="00FD52F7"/>
    <w:rsid w:val="00FD5577"/>
    <w:rsid w:val="00FD5B01"/>
    <w:rsid w:val="00FD5C7D"/>
    <w:rsid w:val="00FD5DF3"/>
    <w:rsid w:val="00FD5FAA"/>
    <w:rsid w:val="00FD5FE7"/>
    <w:rsid w:val="00FD6028"/>
    <w:rsid w:val="00FD6774"/>
    <w:rsid w:val="00FD67AE"/>
    <w:rsid w:val="00FD6961"/>
    <w:rsid w:val="00FD699C"/>
    <w:rsid w:val="00FD6B1B"/>
    <w:rsid w:val="00FD788F"/>
    <w:rsid w:val="00FD7AD1"/>
    <w:rsid w:val="00FD7DAB"/>
    <w:rsid w:val="00FE028B"/>
    <w:rsid w:val="00FE0359"/>
    <w:rsid w:val="00FE0C98"/>
    <w:rsid w:val="00FE1568"/>
    <w:rsid w:val="00FE184C"/>
    <w:rsid w:val="00FE22F8"/>
    <w:rsid w:val="00FE23B6"/>
    <w:rsid w:val="00FE2E1D"/>
    <w:rsid w:val="00FE3820"/>
    <w:rsid w:val="00FE38A0"/>
    <w:rsid w:val="00FE38DD"/>
    <w:rsid w:val="00FE3997"/>
    <w:rsid w:val="00FE39D9"/>
    <w:rsid w:val="00FE45EB"/>
    <w:rsid w:val="00FE4A13"/>
    <w:rsid w:val="00FE4B12"/>
    <w:rsid w:val="00FE4FE4"/>
    <w:rsid w:val="00FE52C1"/>
    <w:rsid w:val="00FE58D8"/>
    <w:rsid w:val="00FE5ED1"/>
    <w:rsid w:val="00FE5EFF"/>
    <w:rsid w:val="00FE601A"/>
    <w:rsid w:val="00FE64AF"/>
    <w:rsid w:val="00FE6959"/>
    <w:rsid w:val="00FE6C53"/>
    <w:rsid w:val="00FE6E7F"/>
    <w:rsid w:val="00FE70AA"/>
    <w:rsid w:val="00FE7443"/>
    <w:rsid w:val="00FE75DE"/>
    <w:rsid w:val="00FE7A8F"/>
    <w:rsid w:val="00FE7D0B"/>
    <w:rsid w:val="00FE7D6C"/>
    <w:rsid w:val="00FE7EBD"/>
    <w:rsid w:val="00FF022C"/>
    <w:rsid w:val="00FF05F0"/>
    <w:rsid w:val="00FF1169"/>
    <w:rsid w:val="00FF1542"/>
    <w:rsid w:val="00FF1592"/>
    <w:rsid w:val="00FF180A"/>
    <w:rsid w:val="00FF199C"/>
    <w:rsid w:val="00FF1C5E"/>
    <w:rsid w:val="00FF20F5"/>
    <w:rsid w:val="00FF2198"/>
    <w:rsid w:val="00FF27A3"/>
    <w:rsid w:val="00FF284B"/>
    <w:rsid w:val="00FF30D7"/>
    <w:rsid w:val="00FF3AB5"/>
    <w:rsid w:val="00FF3D9C"/>
    <w:rsid w:val="00FF41B3"/>
    <w:rsid w:val="00FF45A5"/>
    <w:rsid w:val="00FF488C"/>
    <w:rsid w:val="00FF4B3B"/>
    <w:rsid w:val="00FF4B78"/>
    <w:rsid w:val="00FF4BF9"/>
    <w:rsid w:val="00FF4C7A"/>
    <w:rsid w:val="00FF55F9"/>
    <w:rsid w:val="00FF59E5"/>
    <w:rsid w:val="00FF5A91"/>
    <w:rsid w:val="00FF5B3E"/>
    <w:rsid w:val="00FF5C01"/>
    <w:rsid w:val="00FF6215"/>
    <w:rsid w:val="00FF64D3"/>
    <w:rsid w:val="00FF6537"/>
    <w:rsid w:val="00FF682A"/>
    <w:rsid w:val="00FF69A7"/>
    <w:rsid w:val="00FF6A31"/>
    <w:rsid w:val="00FF6AF2"/>
    <w:rsid w:val="00FF709E"/>
    <w:rsid w:val="00FF728E"/>
    <w:rsid w:val="01E858AD"/>
    <w:rsid w:val="020EACAB"/>
    <w:rsid w:val="024507BA"/>
    <w:rsid w:val="02F32789"/>
    <w:rsid w:val="0493F0BA"/>
    <w:rsid w:val="049888EC"/>
    <w:rsid w:val="04D38DAB"/>
    <w:rsid w:val="04DFA0A3"/>
    <w:rsid w:val="0517796D"/>
    <w:rsid w:val="0588B0C2"/>
    <w:rsid w:val="058B5F9D"/>
    <w:rsid w:val="060FD95D"/>
    <w:rsid w:val="0611FB02"/>
    <w:rsid w:val="066110DF"/>
    <w:rsid w:val="06B786BB"/>
    <w:rsid w:val="06B8D973"/>
    <w:rsid w:val="06C32D06"/>
    <w:rsid w:val="06FB44DC"/>
    <w:rsid w:val="07176CAB"/>
    <w:rsid w:val="07805D28"/>
    <w:rsid w:val="07AFA88A"/>
    <w:rsid w:val="07E98DFE"/>
    <w:rsid w:val="081597B2"/>
    <w:rsid w:val="083A6AB4"/>
    <w:rsid w:val="08621C67"/>
    <w:rsid w:val="08EB78B0"/>
    <w:rsid w:val="096AFBDA"/>
    <w:rsid w:val="09F9858A"/>
    <w:rsid w:val="0A5ED8E1"/>
    <w:rsid w:val="0AADA690"/>
    <w:rsid w:val="0B13323B"/>
    <w:rsid w:val="0B148673"/>
    <w:rsid w:val="0B544E00"/>
    <w:rsid w:val="0B5BB978"/>
    <w:rsid w:val="0BAE7A2C"/>
    <w:rsid w:val="0C0C3E4C"/>
    <w:rsid w:val="0CB8C161"/>
    <w:rsid w:val="0D44D3B9"/>
    <w:rsid w:val="0D498C8E"/>
    <w:rsid w:val="0D8CFF41"/>
    <w:rsid w:val="0DAAF421"/>
    <w:rsid w:val="0E14C424"/>
    <w:rsid w:val="0E372C54"/>
    <w:rsid w:val="0E4C6F52"/>
    <w:rsid w:val="10263A84"/>
    <w:rsid w:val="1137A240"/>
    <w:rsid w:val="11404D33"/>
    <w:rsid w:val="114AFF67"/>
    <w:rsid w:val="115F2E05"/>
    <w:rsid w:val="118920A1"/>
    <w:rsid w:val="12274317"/>
    <w:rsid w:val="12555DDC"/>
    <w:rsid w:val="12F00C48"/>
    <w:rsid w:val="13F0EEC0"/>
    <w:rsid w:val="140234B1"/>
    <w:rsid w:val="14077540"/>
    <w:rsid w:val="1424ABBB"/>
    <w:rsid w:val="144A68D5"/>
    <w:rsid w:val="14ED3ECA"/>
    <w:rsid w:val="14F09FF6"/>
    <w:rsid w:val="14F9E558"/>
    <w:rsid w:val="1536DAFE"/>
    <w:rsid w:val="15AD3168"/>
    <w:rsid w:val="15EDB9E6"/>
    <w:rsid w:val="15F9D312"/>
    <w:rsid w:val="160D7822"/>
    <w:rsid w:val="161B1558"/>
    <w:rsid w:val="1642AAB9"/>
    <w:rsid w:val="16AA2E55"/>
    <w:rsid w:val="16CFE35B"/>
    <w:rsid w:val="16FF83A5"/>
    <w:rsid w:val="1796282D"/>
    <w:rsid w:val="17B35C1C"/>
    <w:rsid w:val="17E827AC"/>
    <w:rsid w:val="17F995FA"/>
    <w:rsid w:val="1810A65F"/>
    <w:rsid w:val="1849F8AF"/>
    <w:rsid w:val="18BAA037"/>
    <w:rsid w:val="18F5DEA0"/>
    <w:rsid w:val="1931D475"/>
    <w:rsid w:val="193D9B6D"/>
    <w:rsid w:val="19634771"/>
    <w:rsid w:val="196ABF7D"/>
    <w:rsid w:val="19755623"/>
    <w:rsid w:val="1994AB64"/>
    <w:rsid w:val="19EF394E"/>
    <w:rsid w:val="1A00E5BD"/>
    <w:rsid w:val="1AA97B9D"/>
    <w:rsid w:val="1AE147DF"/>
    <w:rsid w:val="1B24EBB4"/>
    <w:rsid w:val="1B317403"/>
    <w:rsid w:val="1B586CA9"/>
    <w:rsid w:val="1B69B45A"/>
    <w:rsid w:val="1C4DB75B"/>
    <w:rsid w:val="1CAEFE8B"/>
    <w:rsid w:val="1CDA6A7A"/>
    <w:rsid w:val="1CE87BDA"/>
    <w:rsid w:val="1CF54927"/>
    <w:rsid w:val="1D0DBA2F"/>
    <w:rsid w:val="1D29DEE9"/>
    <w:rsid w:val="1D6CDA0B"/>
    <w:rsid w:val="1D8909B8"/>
    <w:rsid w:val="1DCE4BFD"/>
    <w:rsid w:val="1EFE2223"/>
    <w:rsid w:val="1F0233DA"/>
    <w:rsid w:val="1F6355CE"/>
    <w:rsid w:val="1F650785"/>
    <w:rsid w:val="20136419"/>
    <w:rsid w:val="207F4E6B"/>
    <w:rsid w:val="20C75F15"/>
    <w:rsid w:val="21078D2A"/>
    <w:rsid w:val="2170A81D"/>
    <w:rsid w:val="21A7FA4D"/>
    <w:rsid w:val="2209A782"/>
    <w:rsid w:val="22127033"/>
    <w:rsid w:val="2212E52B"/>
    <w:rsid w:val="22628BC0"/>
    <w:rsid w:val="226CB35A"/>
    <w:rsid w:val="227DAABC"/>
    <w:rsid w:val="22E4A067"/>
    <w:rsid w:val="22F50510"/>
    <w:rsid w:val="232AAC8E"/>
    <w:rsid w:val="235035CE"/>
    <w:rsid w:val="235397DC"/>
    <w:rsid w:val="2356A0EA"/>
    <w:rsid w:val="23980745"/>
    <w:rsid w:val="239C2F12"/>
    <w:rsid w:val="23C771DC"/>
    <w:rsid w:val="23EDDDB9"/>
    <w:rsid w:val="243A5230"/>
    <w:rsid w:val="246D386F"/>
    <w:rsid w:val="24BEC76C"/>
    <w:rsid w:val="24F7FE75"/>
    <w:rsid w:val="2529FCA2"/>
    <w:rsid w:val="255F492A"/>
    <w:rsid w:val="25CAE51B"/>
    <w:rsid w:val="26405093"/>
    <w:rsid w:val="26993A98"/>
    <w:rsid w:val="26A87188"/>
    <w:rsid w:val="26BC7821"/>
    <w:rsid w:val="26F910FE"/>
    <w:rsid w:val="2795DE37"/>
    <w:rsid w:val="27B48580"/>
    <w:rsid w:val="2844A86A"/>
    <w:rsid w:val="2848170F"/>
    <w:rsid w:val="285EB78E"/>
    <w:rsid w:val="28D3F52B"/>
    <w:rsid w:val="28E87565"/>
    <w:rsid w:val="28EA656A"/>
    <w:rsid w:val="28F22A29"/>
    <w:rsid w:val="296BBDA5"/>
    <w:rsid w:val="29EAE43A"/>
    <w:rsid w:val="2AC2E023"/>
    <w:rsid w:val="2AD9A04A"/>
    <w:rsid w:val="2ADFC0C7"/>
    <w:rsid w:val="2B0554B3"/>
    <w:rsid w:val="2B1642F5"/>
    <w:rsid w:val="2C091D4D"/>
    <w:rsid w:val="2C592FF7"/>
    <w:rsid w:val="2C707112"/>
    <w:rsid w:val="2C8BEFD2"/>
    <w:rsid w:val="2D01C8AB"/>
    <w:rsid w:val="2D22899B"/>
    <w:rsid w:val="2D9C27DB"/>
    <w:rsid w:val="2E2803AF"/>
    <w:rsid w:val="2E31788B"/>
    <w:rsid w:val="2E42B934"/>
    <w:rsid w:val="2E6925AA"/>
    <w:rsid w:val="2E6FBC6B"/>
    <w:rsid w:val="2EA242CC"/>
    <w:rsid w:val="2F2E4C38"/>
    <w:rsid w:val="2F5761AC"/>
    <w:rsid w:val="2FF29EDD"/>
    <w:rsid w:val="3002948F"/>
    <w:rsid w:val="3044118B"/>
    <w:rsid w:val="30C4DC3E"/>
    <w:rsid w:val="30EEF563"/>
    <w:rsid w:val="31425C7E"/>
    <w:rsid w:val="31482BC4"/>
    <w:rsid w:val="31583FAD"/>
    <w:rsid w:val="316DA2E2"/>
    <w:rsid w:val="31993F61"/>
    <w:rsid w:val="31C4E394"/>
    <w:rsid w:val="31CB0048"/>
    <w:rsid w:val="3210E0B3"/>
    <w:rsid w:val="321CE79F"/>
    <w:rsid w:val="323E2D7F"/>
    <w:rsid w:val="3358FF10"/>
    <w:rsid w:val="336F4612"/>
    <w:rsid w:val="338C4CD2"/>
    <w:rsid w:val="33A49F99"/>
    <w:rsid w:val="33C3B904"/>
    <w:rsid w:val="340312D6"/>
    <w:rsid w:val="3428F24B"/>
    <w:rsid w:val="34510AEE"/>
    <w:rsid w:val="346A7372"/>
    <w:rsid w:val="346B80C2"/>
    <w:rsid w:val="34735ABA"/>
    <w:rsid w:val="34D49870"/>
    <w:rsid w:val="34DFB709"/>
    <w:rsid w:val="34F4389E"/>
    <w:rsid w:val="350E8368"/>
    <w:rsid w:val="35A3AFF0"/>
    <w:rsid w:val="36012F94"/>
    <w:rsid w:val="368AECAB"/>
    <w:rsid w:val="37CA9443"/>
    <w:rsid w:val="38256F6F"/>
    <w:rsid w:val="385A9722"/>
    <w:rsid w:val="39640BFB"/>
    <w:rsid w:val="39CDECCE"/>
    <w:rsid w:val="39E7876F"/>
    <w:rsid w:val="39EB1031"/>
    <w:rsid w:val="39F724F5"/>
    <w:rsid w:val="3A09FB1F"/>
    <w:rsid w:val="3A7A7018"/>
    <w:rsid w:val="3A97DEE9"/>
    <w:rsid w:val="3AAE1E1F"/>
    <w:rsid w:val="3AE9F377"/>
    <w:rsid w:val="3B6F6680"/>
    <w:rsid w:val="3B7EC81E"/>
    <w:rsid w:val="3B93F5F4"/>
    <w:rsid w:val="3BB855AE"/>
    <w:rsid w:val="3BD7773B"/>
    <w:rsid w:val="3C02075B"/>
    <w:rsid w:val="3C17AAB6"/>
    <w:rsid w:val="3C21DB9A"/>
    <w:rsid w:val="3C31177A"/>
    <w:rsid w:val="3CB4259C"/>
    <w:rsid w:val="3CF7046F"/>
    <w:rsid w:val="3D0E9129"/>
    <w:rsid w:val="3D1F91F1"/>
    <w:rsid w:val="3D3D035C"/>
    <w:rsid w:val="3DEA73C7"/>
    <w:rsid w:val="3E5B95C0"/>
    <w:rsid w:val="3E798761"/>
    <w:rsid w:val="3E99B3C2"/>
    <w:rsid w:val="3ED5CB44"/>
    <w:rsid w:val="3EDEED0F"/>
    <w:rsid w:val="3F70254A"/>
    <w:rsid w:val="405208DA"/>
    <w:rsid w:val="40576191"/>
    <w:rsid w:val="406EDE24"/>
    <w:rsid w:val="40B81681"/>
    <w:rsid w:val="40C9DE08"/>
    <w:rsid w:val="411732F9"/>
    <w:rsid w:val="41E4BB30"/>
    <w:rsid w:val="4218DAB1"/>
    <w:rsid w:val="422AB6F3"/>
    <w:rsid w:val="4252B651"/>
    <w:rsid w:val="42BD2B0C"/>
    <w:rsid w:val="42E39D1F"/>
    <w:rsid w:val="4311776E"/>
    <w:rsid w:val="4363BF2A"/>
    <w:rsid w:val="440819BB"/>
    <w:rsid w:val="457BDB28"/>
    <w:rsid w:val="45A1C3AE"/>
    <w:rsid w:val="45F0AEE7"/>
    <w:rsid w:val="46277FD2"/>
    <w:rsid w:val="46433A3F"/>
    <w:rsid w:val="46604298"/>
    <w:rsid w:val="46DDD38F"/>
    <w:rsid w:val="46EE1E59"/>
    <w:rsid w:val="471F0221"/>
    <w:rsid w:val="4748BFA6"/>
    <w:rsid w:val="47B387A6"/>
    <w:rsid w:val="4831A73E"/>
    <w:rsid w:val="48397A6B"/>
    <w:rsid w:val="48433113"/>
    <w:rsid w:val="48593DBB"/>
    <w:rsid w:val="4897070A"/>
    <w:rsid w:val="48CB65E1"/>
    <w:rsid w:val="492A56A9"/>
    <w:rsid w:val="49630490"/>
    <w:rsid w:val="498A9952"/>
    <w:rsid w:val="49DF42C0"/>
    <w:rsid w:val="4A377F26"/>
    <w:rsid w:val="4A84B632"/>
    <w:rsid w:val="4AA78A16"/>
    <w:rsid w:val="4B2754FA"/>
    <w:rsid w:val="4B76BB64"/>
    <w:rsid w:val="4B9BF03E"/>
    <w:rsid w:val="4BC61F60"/>
    <w:rsid w:val="4BD659CC"/>
    <w:rsid w:val="4C127AA6"/>
    <w:rsid w:val="4C4FD61C"/>
    <w:rsid w:val="4CCFCFAE"/>
    <w:rsid w:val="4D5B034E"/>
    <w:rsid w:val="4DBE3683"/>
    <w:rsid w:val="4E1B4303"/>
    <w:rsid w:val="4E26887A"/>
    <w:rsid w:val="4E28A3A6"/>
    <w:rsid w:val="4E8B9CE6"/>
    <w:rsid w:val="4EC55D2E"/>
    <w:rsid w:val="4EEA2460"/>
    <w:rsid w:val="4EF16B7F"/>
    <w:rsid w:val="4F0CAFBF"/>
    <w:rsid w:val="4FAC0748"/>
    <w:rsid w:val="4FB442BA"/>
    <w:rsid w:val="504F94EE"/>
    <w:rsid w:val="50C62A39"/>
    <w:rsid w:val="517E774D"/>
    <w:rsid w:val="51F92191"/>
    <w:rsid w:val="53369F79"/>
    <w:rsid w:val="5345CCE9"/>
    <w:rsid w:val="5376D748"/>
    <w:rsid w:val="54198FC0"/>
    <w:rsid w:val="5471C3A6"/>
    <w:rsid w:val="54A7310E"/>
    <w:rsid w:val="5566F447"/>
    <w:rsid w:val="558ECA39"/>
    <w:rsid w:val="566D90B9"/>
    <w:rsid w:val="56A83E27"/>
    <w:rsid w:val="56A9B17D"/>
    <w:rsid w:val="56FDC56C"/>
    <w:rsid w:val="5750024A"/>
    <w:rsid w:val="57B01CB7"/>
    <w:rsid w:val="57EFF7E9"/>
    <w:rsid w:val="58B55FEB"/>
    <w:rsid w:val="5960C697"/>
    <w:rsid w:val="59BFEC13"/>
    <w:rsid w:val="59CBCF7C"/>
    <w:rsid w:val="5A0CB564"/>
    <w:rsid w:val="5A512D62"/>
    <w:rsid w:val="5ADF6A16"/>
    <w:rsid w:val="5B5442A1"/>
    <w:rsid w:val="5BAE0600"/>
    <w:rsid w:val="5C18B58F"/>
    <w:rsid w:val="5C3DAA9A"/>
    <w:rsid w:val="5C7B16B7"/>
    <w:rsid w:val="5C95456E"/>
    <w:rsid w:val="5CA37C72"/>
    <w:rsid w:val="5CA8C673"/>
    <w:rsid w:val="5D432DBE"/>
    <w:rsid w:val="5D66849E"/>
    <w:rsid w:val="5DB9E7ED"/>
    <w:rsid w:val="5DD4734A"/>
    <w:rsid w:val="5E2C358D"/>
    <w:rsid w:val="5E8860B6"/>
    <w:rsid w:val="5EB7824E"/>
    <w:rsid w:val="5ED66177"/>
    <w:rsid w:val="5F82F2DE"/>
    <w:rsid w:val="5F88E9BC"/>
    <w:rsid w:val="5FB92958"/>
    <w:rsid w:val="6003DDAE"/>
    <w:rsid w:val="6028F018"/>
    <w:rsid w:val="6081972E"/>
    <w:rsid w:val="60E32651"/>
    <w:rsid w:val="60F610FA"/>
    <w:rsid w:val="617A3AAE"/>
    <w:rsid w:val="61D816A7"/>
    <w:rsid w:val="61F67C5A"/>
    <w:rsid w:val="623CF60E"/>
    <w:rsid w:val="62676A51"/>
    <w:rsid w:val="627DFC9E"/>
    <w:rsid w:val="6297439F"/>
    <w:rsid w:val="62A31B42"/>
    <w:rsid w:val="62B2A91D"/>
    <w:rsid w:val="62EF87A9"/>
    <w:rsid w:val="62F018EC"/>
    <w:rsid w:val="6388CD97"/>
    <w:rsid w:val="646F18CE"/>
    <w:rsid w:val="64A15A45"/>
    <w:rsid w:val="64C98EA4"/>
    <w:rsid w:val="64CC796A"/>
    <w:rsid w:val="6505552B"/>
    <w:rsid w:val="651D220D"/>
    <w:rsid w:val="6585BC68"/>
    <w:rsid w:val="66659972"/>
    <w:rsid w:val="66B4C319"/>
    <w:rsid w:val="66E5FC02"/>
    <w:rsid w:val="66EC7267"/>
    <w:rsid w:val="670CDC06"/>
    <w:rsid w:val="67AB5AB4"/>
    <w:rsid w:val="67D1CFE8"/>
    <w:rsid w:val="682F25E4"/>
    <w:rsid w:val="686E3880"/>
    <w:rsid w:val="68F535F0"/>
    <w:rsid w:val="6A83B89B"/>
    <w:rsid w:val="6ADE3BF1"/>
    <w:rsid w:val="6B5135E9"/>
    <w:rsid w:val="6C81BCE3"/>
    <w:rsid w:val="6C99F9EA"/>
    <w:rsid w:val="6CADA62B"/>
    <w:rsid w:val="6D70DA51"/>
    <w:rsid w:val="6E08A9D2"/>
    <w:rsid w:val="6E25AFA0"/>
    <w:rsid w:val="6E486E94"/>
    <w:rsid w:val="6EA9B7DA"/>
    <w:rsid w:val="6EC7A977"/>
    <w:rsid w:val="6F2495AF"/>
    <w:rsid w:val="6F2A0123"/>
    <w:rsid w:val="6F4D39DA"/>
    <w:rsid w:val="6FA5266D"/>
    <w:rsid w:val="7007057C"/>
    <w:rsid w:val="70A5D432"/>
    <w:rsid w:val="710C80F8"/>
    <w:rsid w:val="711EDF44"/>
    <w:rsid w:val="71A4FCB9"/>
    <w:rsid w:val="71D2F4A7"/>
    <w:rsid w:val="72032864"/>
    <w:rsid w:val="727C86F2"/>
    <w:rsid w:val="7298DDF7"/>
    <w:rsid w:val="72B99880"/>
    <w:rsid w:val="72F54F9C"/>
    <w:rsid w:val="73591379"/>
    <w:rsid w:val="73BB957E"/>
    <w:rsid w:val="742CC89D"/>
    <w:rsid w:val="747C373D"/>
    <w:rsid w:val="74D0029E"/>
    <w:rsid w:val="74DB502E"/>
    <w:rsid w:val="7594A493"/>
    <w:rsid w:val="75C8B488"/>
    <w:rsid w:val="75F44436"/>
    <w:rsid w:val="7657C7F7"/>
    <w:rsid w:val="767BCB2D"/>
    <w:rsid w:val="768CF8D2"/>
    <w:rsid w:val="76A9FDF9"/>
    <w:rsid w:val="772B83B7"/>
    <w:rsid w:val="777D31FE"/>
    <w:rsid w:val="78869A87"/>
    <w:rsid w:val="7886C883"/>
    <w:rsid w:val="78F6B71A"/>
    <w:rsid w:val="79159C08"/>
    <w:rsid w:val="79513416"/>
    <w:rsid w:val="7969A0FF"/>
    <w:rsid w:val="79B09636"/>
    <w:rsid w:val="7A6D9789"/>
    <w:rsid w:val="7AA66009"/>
    <w:rsid w:val="7AB8B1FC"/>
    <w:rsid w:val="7B76733A"/>
    <w:rsid w:val="7BB5966C"/>
    <w:rsid w:val="7BC82A9D"/>
    <w:rsid w:val="7BD02785"/>
    <w:rsid w:val="7C68C6AD"/>
    <w:rsid w:val="7C717CB1"/>
    <w:rsid w:val="7CFAD6EB"/>
    <w:rsid w:val="7D08E8DA"/>
    <w:rsid w:val="7D170DB1"/>
    <w:rsid w:val="7DAD6613"/>
    <w:rsid w:val="7E2F7BD3"/>
    <w:rsid w:val="7EBF400B"/>
    <w:rsid w:val="7ECBA660"/>
    <w:rsid w:val="7F3435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1C3E"/>
  <w15:chartTrackingRefBased/>
  <w15:docId w15:val="{F7210F0F-1A54-4049-9C9C-4DE6195C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CF7"/>
    <w:pPr>
      <w:spacing w:line="276" w:lineRule="auto"/>
    </w:pPr>
    <w:rPr>
      <w:rFonts w:ascii="Arial" w:hAnsi="Arial"/>
    </w:rPr>
  </w:style>
  <w:style w:type="paragraph" w:styleId="Heading1">
    <w:name w:val="heading 1"/>
    <w:basedOn w:val="Normal"/>
    <w:next w:val="Normal"/>
    <w:link w:val="Heading1Char"/>
    <w:autoRedefine/>
    <w:uiPriority w:val="9"/>
    <w:qFormat/>
    <w:rsid w:val="00CE17B6"/>
    <w:pPr>
      <w:keepNext/>
      <w:keepLines/>
      <w:numPr>
        <w:numId w:val="2"/>
      </w:numPr>
      <w:spacing w:before="360"/>
      <w:ind w:left="567" w:hanging="567"/>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10321"/>
    <w:pPr>
      <w:keepNext/>
      <w:keepLines/>
      <w:spacing w:before="160" w:after="80" w:line="259" w:lineRule="auto"/>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A0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7B6"/>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10321"/>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A0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53"/>
    <w:rPr>
      <w:rFonts w:eastAsiaTheme="majorEastAsia" w:cstheme="majorBidi"/>
      <w:color w:val="272727" w:themeColor="text1" w:themeTint="D8"/>
    </w:rPr>
  </w:style>
  <w:style w:type="paragraph" w:styleId="Title">
    <w:name w:val="Title"/>
    <w:basedOn w:val="Normal"/>
    <w:next w:val="Normal"/>
    <w:link w:val="TitleChar"/>
    <w:uiPriority w:val="10"/>
    <w:qFormat/>
    <w:rsid w:val="00A02553"/>
    <w:pPr>
      <w:spacing w:after="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A02553"/>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A02553"/>
    <w:pPr>
      <w:numPr>
        <w:ilvl w:val="1"/>
      </w:numPr>
    </w:pPr>
    <w:rPr>
      <w:rFonts w:eastAsiaTheme="majorEastAsia" w:cstheme="majorBidi"/>
      <w:b/>
      <w:color w:val="0070C0"/>
      <w:spacing w:val="15"/>
      <w:sz w:val="32"/>
      <w:szCs w:val="28"/>
    </w:rPr>
  </w:style>
  <w:style w:type="character" w:customStyle="1" w:styleId="SubtitleChar">
    <w:name w:val="Subtitle Char"/>
    <w:basedOn w:val="DefaultParagraphFont"/>
    <w:link w:val="Subtitle"/>
    <w:uiPriority w:val="11"/>
    <w:rsid w:val="00A02553"/>
    <w:rPr>
      <w:rFonts w:ascii="Arial" w:eastAsiaTheme="majorEastAsia" w:hAnsi="Arial" w:cstheme="majorBidi"/>
      <w:b/>
      <w:color w:val="0070C0"/>
      <w:spacing w:val="15"/>
      <w:sz w:val="32"/>
      <w:szCs w:val="28"/>
    </w:rPr>
  </w:style>
  <w:style w:type="paragraph" w:styleId="ListParagraph">
    <w:name w:val="List Paragraph"/>
    <w:basedOn w:val="Normal"/>
    <w:uiPriority w:val="34"/>
    <w:qFormat/>
    <w:rsid w:val="001B33C3"/>
    <w:pPr>
      <w:numPr>
        <w:numId w:val="4"/>
      </w:numPr>
    </w:pPr>
  </w:style>
  <w:style w:type="paragraph" w:styleId="Quote">
    <w:name w:val="Quote"/>
    <w:basedOn w:val="Normal"/>
    <w:next w:val="Normal"/>
    <w:link w:val="QuoteChar"/>
    <w:uiPriority w:val="29"/>
    <w:qFormat/>
    <w:rsid w:val="00A025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553"/>
    <w:rPr>
      <w:i/>
      <w:iCs/>
      <w:color w:val="404040" w:themeColor="text1" w:themeTint="BF"/>
    </w:rPr>
  </w:style>
  <w:style w:type="paragraph" w:styleId="IntenseQuote">
    <w:name w:val="Intense Quote"/>
    <w:basedOn w:val="Normal"/>
    <w:next w:val="Normal"/>
    <w:link w:val="IntenseQuoteChar"/>
    <w:uiPriority w:val="30"/>
    <w:qFormat/>
    <w:rsid w:val="00A0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553"/>
    <w:rPr>
      <w:i/>
      <w:iCs/>
      <w:color w:val="0F4761" w:themeColor="accent1" w:themeShade="BF"/>
    </w:rPr>
  </w:style>
  <w:style w:type="character" w:styleId="IntenseEmphasis">
    <w:name w:val="Intense Emphasis"/>
    <w:basedOn w:val="DefaultParagraphFont"/>
    <w:uiPriority w:val="21"/>
    <w:qFormat/>
    <w:rsid w:val="00A02553"/>
    <w:rPr>
      <w:i/>
      <w:iCs/>
      <w:color w:val="0F4761" w:themeColor="accent1" w:themeShade="BF"/>
    </w:rPr>
  </w:style>
  <w:style w:type="character" w:styleId="IntenseReference">
    <w:name w:val="Intense Reference"/>
    <w:basedOn w:val="DefaultParagraphFont"/>
    <w:uiPriority w:val="32"/>
    <w:qFormat/>
    <w:rsid w:val="00A02553"/>
    <w:rPr>
      <w:b/>
      <w:bCs/>
      <w:smallCaps/>
      <w:color w:val="0F4761" w:themeColor="accent1" w:themeShade="BF"/>
      <w:spacing w:val="5"/>
    </w:rPr>
  </w:style>
  <w:style w:type="paragraph" w:styleId="TOCHeading">
    <w:name w:val="TOC Heading"/>
    <w:basedOn w:val="Heading1"/>
    <w:next w:val="Normal"/>
    <w:uiPriority w:val="39"/>
    <w:unhideWhenUsed/>
    <w:qFormat/>
    <w:rsid w:val="00AA2682"/>
    <w:pPr>
      <w:numPr>
        <w:numId w:val="0"/>
      </w:numPr>
      <w:spacing w:before="240" w:after="0"/>
      <w:outlineLvl w:val="9"/>
    </w:pPr>
    <w:rPr>
      <w:rFonts w:asciiTheme="majorHAnsi" w:hAnsiTheme="majorHAnsi"/>
      <w:b w:val="0"/>
      <w:color w:val="0F4761" w:themeColor="accent1" w:themeShade="BF"/>
      <w:kern w:val="0"/>
      <w:sz w:val="32"/>
      <w:szCs w:val="32"/>
      <w:lang w:eastAsia="en-GB"/>
      <w14:ligatures w14:val="none"/>
    </w:rPr>
  </w:style>
  <w:style w:type="character" w:styleId="CommentReference">
    <w:name w:val="annotation reference"/>
    <w:basedOn w:val="DefaultParagraphFont"/>
    <w:uiPriority w:val="99"/>
    <w:semiHidden/>
    <w:unhideWhenUsed/>
    <w:rsid w:val="00366543"/>
    <w:rPr>
      <w:sz w:val="16"/>
      <w:szCs w:val="16"/>
    </w:rPr>
  </w:style>
  <w:style w:type="paragraph" w:styleId="CommentText">
    <w:name w:val="annotation text"/>
    <w:basedOn w:val="Normal"/>
    <w:link w:val="CommentTextChar"/>
    <w:uiPriority w:val="99"/>
    <w:unhideWhenUsed/>
    <w:rsid w:val="00366543"/>
    <w:pPr>
      <w:spacing w:line="240" w:lineRule="auto"/>
    </w:pPr>
    <w:rPr>
      <w:sz w:val="20"/>
      <w:szCs w:val="20"/>
    </w:rPr>
  </w:style>
  <w:style w:type="character" w:customStyle="1" w:styleId="CommentTextChar">
    <w:name w:val="Comment Text Char"/>
    <w:basedOn w:val="DefaultParagraphFont"/>
    <w:link w:val="CommentText"/>
    <w:uiPriority w:val="99"/>
    <w:rsid w:val="003665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6543"/>
    <w:rPr>
      <w:b/>
      <w:bCs/>
    </w:rPr>
  </w:style>
  <w:style w:type="character" w:customStyle="1" w:styleId="CommentSubjectChar">
    <w:name w:val="Comment Subject Char"/>
    <w:basedOn w:val="CommentTextChar"/>
    <w:link w:val="CommentSubject"/>
    <w:uiPriority w:val="99"/>
    <w:semiHidden/>
    <w:rsid w:val="00366543"/>
    <w:rPr>
      <w:rFonts w:ascii="Arial" w:hAnsi="Arial"/>
      <w:b/>
      <w:bCs/>
      <w:sz w:val="20"/>
      <w:szCs w:val="20"/>
    </w:rPr>
  </w:style>
  <w:style w:type="paragraph" w:styleId="FootnoteText">
    <w:name w:val="footnote text"/>
    <w:basedOn w:val="Normal"/>
    <w:link w:val="FootnoteTextChar"/>
    <w:uiPriority w:val="99"/>
    <w:semiHidden/>
    <w:unhideWhenUsed/>
    <w:rsid w:val="00964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0E5"/>
    <w:rPr>
      <w:rFonts w:ascii="Arial" w:hAnsi="Arial"/>
      <w:sz w:val="20"/>
      <w:szCs w:val="20"/>
    </w:rPr>
  </w:style>
  <w:style w:type="character" w:styleId="FootnoteReference">
    <w:name w:val="footnote reference"/>
    <w:basedOn w:val="DefaultParagraphFont"/>
    <w:uiPriority w:val="99"/>
    <w:semiHidden/>
    <w:unhideWhenUsed/>
    <w:rsid w:val="009640E5"/>
    <w:rPr>
      <w:vertAlign w:val="superscript"/>
    </w:rPr>
  </w:style>
  <w:style w:type="character" w:styleId="Hyperlink">
    <w:name w:val="Hyperlink"/>
    <w:basedOn w:val="DefaultParagraphFont"/>
    <w:uiPriority w:val="99"/>
    <w:unhideWhenUsed/>
    <w:rsid w:val="009640E5"/>
    <w:rPr>
      <w:color w:val="467886" w:themeColor="hyperlink"/>
      <w:u w:val="single"/>
    </w:rPr>
  </w:style>
  <w:style w:type="paragraph" w:styleId="TOC1">
    <w:name w:val="toc 1"/>
    <w:basedOn w:val="Normal"/>
    <w:next w:val="Normal"/>
    <w:autoRedefine/>
    <w:uiPriority w:val="39"/>
    <w:unhideWhenUsed/>
    <w:rsid w:val="00810321"/>
    <w:pPr>
      <w:tabs>
        <w:tab w:val="left" w:pos="480"/>
        <w:tab w:val="right" w:leader="dot" w:pos="9016"/>
      </w:tabs>
      <w:spacing w:after="100"/>
    </w:pPr>
  </w:style>
  <w:style w:type="paragraph" w:styleId="Header">
    <w:name w:val="header"/>
    <w:basedOn w:val="Normal"/>
    <w:link w:val="HeaderChar"/>
    <w:uiPriority w:val="99"/>
    <w:unhideWhenUsed/>
    <w:rsid w:val="00626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7A"/>
    <w:rPr>
      <w:rFonts w:ascii="Arial" w:hAnsi="Arial"/>
    </w:rPr>
  </w:style>
  <w:style w:type="paragraph" w:styleId="Footer">
    <w:name w:val="footer"/>
    <w:basedOn w:val="Normal"/>
    <w:link w:val="FooterChar"/>
    <w:uiPriority w:val="99"/>
    <w:unhideWhenUsed/>
    <w:rsid w:val="0062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7A"/>
    <w:rPr>
      <w:rFonts w:ascii="Arial" w:hAnsi="Arial"/>
    </w:rPr>
  </w:style>
  <w:style w:type="paragraph" w:styleId="TOC2">
    <w:name w:val="toc 2"/>
    <w:basedOn w:val="Normal"/>
    <w:next w:val="Normal"/>
    <w:autoRedefine/>
    <w:uiPriority w:val="39"/>
    <w:unhideWhenUsed/>
    <w:rsid w:val="00810321"/>
    <w:pPr>
      <w:spacing w:after="100"/>
      <w:ind w:left="220"/>
    </w:pPr>
  </w:style>
  <w:style w:type="character" w:styleId="UnresolvedMention">
    <w:name w:val="Unresolved Mention"/>
    <w:basedOn w:val="DefaultParagraphFont"/>
    <w:uiPriority w:val="99"/>
    <w:semiHidden/>
    <w:unhideWhenUsed/>
    <w:rsid w:val="00255778"/>
    <w:rPr>
      <w:color w:val="605E5C"/>
      <w:shd w:val="clear" w:color="auto" w:fill="E1DFDD"/>
    </w:rPr>
  </w:style>
  <w:style w:type="table" w:styleId="TableGrid">
    <w:name w:val="Table Grid"/>
    <w:basedOn w:val="TableNormal"/>
    <w:uiPriority w:val="39"/>
    <w:rsid w:val="00F0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01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40190"/>
  </w:style>
  <w:style w:type="character" w:customStyle="1" w:styleId="eop">
    <w:name w:val="eop"/>
    <w:basedOn w:val="DefaultParagraphFont"/>
    <w:rsid w:val="00C40190"/>
  </w:style>
  <w:style w:type="paragraph" w:styleId="Revision">
    <w:name w:val="Revision"/>
    <w:hidden/>
    <w:uiPriority w:val="99"/>
    <w:semiHidden/>
    <w:rsid w:val="00583F74"/>
    <w:pPr>
      <w:spacing w:after="0" w:line="240" w:lineRule="auto"/>
    </w:pPr>
    <w:rPr>
      <w:rFonts w:ascii="Arial" w:hAnsi="Arial"/>
    </w:rPr>
  </w:style>
  <w:style w:type="character" w:styleId="Mention">
    <w:name w:val="Mention"/>
    <w:basedOn w:val="DefaultParagraphFont"/>
    <w:uiPriority w:val="99"/>
    <w:unhideWhenUsed/>
    <w:rsid w:val="007B3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phlgroup.co.uk/pioneerabouthealth/"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gmintegratedcare.org.uk/" TargetMode="External"/><Relationship Id="rId1" Type="http://schemas.openxmlformats.org/officeDocument/2006/relationships/hyperlink" Target="https://chec.uk/"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phlgroup.co.uk/phl-group-acquires-the-trading-subsidiaries-of-totally-plc/"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phl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C2287-0427-4B33-8AA7-F20EB283ABDF}">
  <ds:schemaRefs>
    <ds:schemaRef ds:uri="http://schemas.microsoft.com/sharepoint/v3/contenttype/forms"/>
  </ds:schemaRefs>
</ds:datastoreItem>
</file>

<file path=customXml/itemProps2.xml><?xml version="1.0" encoding="utf-8"?>
<ds:datastoreItem xmlns:ds="http://schemas.openxmlformats.org/officeDocument/2006/customXml" ds:itemID="{5D9F8D35-3C46-40C6-99D2-ADC2581B3B48}">
  <ds:schemaRefs>
    <ds:schemaRef ds:uri="http://schemas.openxmlformats.org/officeDocument/2006/bibliography"/>
  </ds:schemaRefs>
</ds:datastoreItem>
</file>

<file path=customXml/itemProps3.xml><?xml version="1.0" encoding="utf-8"?>
<ds:datastoreItem xmlns:ds="http://schemas.openxmlformats.org/officeDocument/2006/customXml" ds:itemID="{FC5F42C8-62C6-4304-BCF1-3251C394ACCD}">
  <ds:schemaRefs>
    <ds:schemaRef ds:uri="http://schemas.openxmlformats.org/package/2006/metadata/core-properties"/>
    <ds:schemaRef ds:uri="47bd0a4b-cdef-49e3-b4c2-dc603af9f461"/>
    <ds:schemaRef ds:uri="http://schemas.microsoft.com/office/2006/documentManagement/types"/>
    <ds:schemaRef ds:uri="http://purl.org/dc/elements/1.1/"/>
    <ds:schemaRef ds:uri="http://schemas.microsoft.com/sharepoint/v3"/>
    <ds:schemaRef ds:uri="http://purl.org/dc/dcmitype/"/>
    <ds:schemaRef ds:uri="http://purl.org/dc/terms/"/>
    <ds:schemaRef ds:uri="http://schemas.microsoft.com/office/infopath/2007/PartnerControls"/>
    <ds:schemaRef ds:uri="96410c0b-a514-402d-9462-ba76dadfba3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6B3D9BE-043E-4917-8EE0-8C10387CF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28</Pages>
  <Words>11571</Words>
  <Characters>65959</Characters>
  <Application>Microsoft Office Word</Application>
  <DocSecurity>8</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77376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GRIFFITHS, Tom (NHS SOUTH, CENTRAL AND WEST COMMISSIONING SUPPORT UNIT)</cp:lastModifiedBy>
  <cp:revision>6</cp:revision>
  <cp:lastPrinted>2026-01-28T12:28:00Z</cp:lastPrinted>
  <dcterms:created xsi:type="dcterms:W3CDTF">2026-01-28T12:25:00Z</dcterms:created>
  <dcterms:modified xsi:type="dcterms:W3CDTF">2026-01-28T12:33:00Z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0x01010053B4B43881409A4B9BCB39EE28F08756</vt:lpwstr>
  </property>
  <property fmtid="{D5CDD505-2E9C-101B-9397-08002B2CF9AE}" pid="4" name="docLang">
    <vt:lpwstr>en</vt:lpwstr>
  </property>
</Properties>
</file>