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D040" w14:textId="77777777" w:rsidR="006747EA" w:rsidRPr="006747EA" w:rsidRDefault="006747EA" w:rsidP="006747EA">
      <w:pPr>
        <w:pStyle w:val="Title"/>
        <w:spacing w:before="2600" w:after="480"/>
        <w:rPr>
          <w:rFonts w:ascii="Arial" w:hAnsi="Arial" w:cs="Arial"/>
          <w:b/>
          <w:bCs/>
          <w:color w:val="0070C0"/>
          <w:sz w:val="40"/>
          <w:szCs w:val="40"/>
        </w:rPr>
      </w:pPr>
      <w:r w:rsidRPr="006747EA">
        <w:rPr>
          <w:rFonts w:ascii="Arial" w:hAnsi="Arial" w:cs="Arial"/>
          <w:b/>
          <w:bCs/>
          <w:color w:val="0070C0"/>
          <w:sz w:val="40"/>
          <w:szCs w:val="40"/>
        </w:rPr>
        <w:t>Independent Patient Choice and Procurement Panel</w:t>
      </w:r>
    </w:p>
    <w:p w14:paraId="0C412498" w14:textId="31DC0841" w:rsidR="006747EA" w:rsidRPr="006747EA" w:rsidRDefault="006747EA" w:rsidP="006747EA">
      <w:pPr>
        <w:pStyle w:val="Subtitle"/>
        <w:spacing w:after="600"/>
        <w:rPr>
          <w:rFonts w:cs="Arial"/>
          <w:b/>
          <w:bCs/>
          <w:color w:val="0070C0"/>
          <w:sz w:val="32"/>
          <w:szCs w:val="32"/>
        </w:rPr>
      </w:pPr>
      <w:r w:rsidRPr="006747EA">
        <w:rPr>
          <w:rFonts w:cs="Arial"/>
          <w:b/>
          <w:bCs/>
          <w:color w:val="0070C0"/>
          <w:sz w:val="32"/>
          <w:szCs w:val="32"/>
        </w:rPr>
        <w:t xml:space="preserve">Review of a proposed contract award </w:t>
      </w:r>
    </w:p>
    <w:p w14:paraId="3A25A300" w14:textId="3539D26E" w:rsidR="006747EA" w:rsidRPr="006747EA" w:rsidRDefault="00756B2B" w:rsidP="006747EA">
      <w:pPr>
        <w:pStyle w:val="Subtitle"/>
        <w:spacing w:after="1680"/>
        <w:rPr>
          <w:rFonts w:cs="Arial"/>
          <w:b/>
          <w:bCs/>
          <w:color w:val="0070C0"/>
          <w:sz w:val="32"/>
          <w:szCs w:val="32"/>
        </w:rPr>
      </w:pPr>
      <w:r w:rsidRPr="00756B2B">
        <w:rPr>
          <w:rFonts w:cs="Arial"/>
          <w:b/>
          <w:bCs/>
          <w:color w:val="0070C0"/>
          <w:sz w:val="32"/>
          <w:szCs w:val="32"/>
        </w:rPr>
        <w:t xml:space="preserve">Cross Sectional </w:t>
      </w:r>
      <w:r w:rsidR="00CF4D9F">
        <w:rPr>
          <w:rFonts w:cs="Arial"/>
          <w:b/>
          <w:bCs/>
          <w:color w:val="0070C0"/>
          <w:sz w:val="32"/>
          <w:szCs w:val="32"/>
        </w:rPr>
        <w:t>Post-Mortem</w:t>
      </w:r>
      <w:r w:rsidRPr="00756B2B">
        <w:rPr>
          <w:rFonts w:cs="Arial"/>
          <w:b/>
          <w:bCs/>
          <w:color w:val="0070C0"/>
          <w:sz w:val="32"/>
          <w:szCs w:val="32"/>
        </w:rPr>
        <w:t xml:space="preserve"> Imaging Services </w:t>
      </w:r>
      <w:r w:rsidR="00F37925">
        <w:rPr>
          <w:rFonts w:cs="Arial"/>
          <w:b/>
          <w:bCs/>
          <w:color w:val="0070C0"/>
          <w:sz w:val="32"/>
          <w:szCs w:val="32"/>
        </w:rPr>
        <w:t>in</w:t>
      </w:r>
      <w:r w:rsidRPr="00756B2B">
        <w:rPr>
          <w:rFonts w:cs="Arial"/>
          <w:b/>
          <w:bCs/>
          <w:color w:val="0070C0"/>
          <w:sz w:val="32"/>
          <w:szCs w:val="32"/>
        </w:rPr>
        <w:t xml:space="preserve"> Rochdale</w:t>
      </w:r>
      <w:r w:rsidR="0096652E">
        <w:rPr>
          <w:rFonts w:cs="Arial"/>
          <w:b/>
          <w:bCs/>
          <w:color w:val="0070C0"/>
          <w:sz w:val="32"/>
          <w:szCs w:val="32"/>
        </w:rPr>
        <w:t>, Oldham and Bury</w:t>
      </w:r>
    </w:p>
    <w:p w14:paraId="1A289B71" w14:textId="3508FE3C" w:rsidR="006747EA" w:rsidRPr="006747EA" w:rsidRDefault="006747EA" w:rsidP="006747EA">
      <w:pPr>
        <w:pStyle w:val="Subtitle"/>
        <w:rPr>
          <w:rFonts w:cs="Arial"/>
          <w:b/>
          <w:bCs/>
          <w:color w:val="0070C0"/>
          <w:szCs w:val="24"/>
        </w:rPr>
      </w:pPr>
      <w:r w:rsidRPr="006747EA">
        <w:rPr>
          <w:rFonts w:cs="Arial"/>
          <w:b/>
          <w:bCs/>
          <w:color w:val="0070C0"/>
          <w:szCs w:val="24"/>
        </w:rPr>
        <w:t xml:space="preserve">Case Reference: </w:t>
      </w:r>
      <w:r w:rsidRPr="00756B2B">
        <w:rPr>
          <w:rFonts w:cs="Arial"/>
          <w:b/>
          <w:bCs/>
          <w:color w:val="0070C0"/>
          <w:szCs w:val="24"/>
        </w:rPr>
        <w:t>CR00</w:t>
      </w:r>
      <w:r w:rsidR="00756B2B" w:rsidRPr="00756B2B">
        <w:rPr>
          <w:rFonts w:cs="Arial"/>
          <w:b/>
          <w:bCs/>
          <w:color w:val="0070C0"/>
          <w:szCs w:val="24"/>
        </w:rPr>
        <w:t>45</w:t>
      </w:r>
      <w:r w:rsidRPr="00756B2B">
        <w:rPr>
          <w:rFonts w:cs="Arial"/>
          <w:b/>
          <w:bCs/>
          <w:color w:val="0070C0"/>
          <w:szCs w:val="24"/>
        </w:rPr>
        <w:t>-</w:t>
      </w:r>
      <w:r w:rsidR="00756B2B" w:rsidRPr="00756B2B">
        <w:rPr>
          <w:rFonts w:cs="Arial"/>
          <w:b/>
          <w:bCs/>
          <w:color w:val="0070C0"/>
          <w:szCs w:val="24"/>
        </w:rPr>
        <w:t>26</w:t>
      </w:r>
    </w:p>
    <w:p w14:paraId="22E0017D" w14:textId="7768750F" w:rsidR="006747EA" w:rsidRPr="003A6B4E" w:rsidRDefault="003A6B4E" w:rsidP="006747EA">
      <w:pPr>
        <w:pStyle w:val="Subtitle"/>
        <w:rPr>
          <w:rFonts w:cs="Arial"/>
          <w:b/>
          <w:bCs/>
          <w:color w:val="0070C0"/>
          <w:szCs w:val="24"/>
        </w:rPr>
      </w:pPr>
      <w:r w:rsidRPr="003A6B4E">
        <w:rPr>
          <w:rFonts w:cs="Arial"/>
          <w:b/>
          <w:bCs/>
          <w:color w:val="0070C0"/>
          <w:szCs w:val="24"/>
        </w:rPr>
        <w:t>18</w:t>
      </w:r>
      <w:r w:rsidR="006747EA" w:rsidRPr="003A6B4E">
        <w:rPr>
          <w:rFonts w:cs="Arial"/>
          <w:b/>
          <w:bCs/>
          <w:color w:val="0070C0"/>
          <w:szCs w:val="24"/>
        </w:rPr>
        <w:t xml:space="preserve"> </w:t>
      </w:r>
      <w:r w:rsidR="00756B2B" w:rsidRPr="003A6B4E">
        <w:rPr>
          <w:rFonts w:cs="Arial"/>
          <w:b/>
          <w:bCs/>
          <w:color w:val="0070C0"/>
          <w:szCs w:val="24"/>
        </w:rPr>
        <w:t>February 2026</w:t>
      </w:r>
    </w:p>
    <w:p w14:paraId="3F741E4E" w14:textId="77777777" w:rsidR="006747EA" w:rsidRDefault="006747EA">
      <w:pPr>
        <w:rPr>
          <w:rFonts w:eastAsiaTheme="majorEastAsia" w:cs="Arial"/>
          <w:b/>
          <w:bCs/>
          <w:color w:val="0070C0"/>
          <w:spacing w:val="15"/>
          <w:sz w:val="28"/>
          <w:szCs w:val="24"/>
          <w:highlight w:val="yellow"/>
        </w:rPr>
      </w:pPr>
      <w:r>
        <w:rPr>
          <w:rFonts w:cs="Arial"/>
          <w:b/>
          <w:bCs/>
          <w:color w:val="0070C0"/>
          <w:szCs w:val="24"/>
          <w:highlight w:val="yellow"/>
        </w:rPr>
        <w:br w:type="page"/>
      </w:r>
    </w:p>
    <w:sdt>
      <w:sdtPr>
        <w:rPr>
          <w:b/>
          <w:bCs/>
          <w:sz w:val="32"/>
          <w:szCs w:val="32"/>
        </w:rPr>
        <w:id w:val="-601573918"/>
        <w:docPartObj>
          <w:docPartGallery w:val="Table of Contents"/>
          <w:docPartUnique/>
        </w:docPartObj>
      </w:sdtPr>
      <w:sdtEndPr>
        <w:rPr>
          <w:b w:val="0"/>
          <w:sz w:val="22"/>
          <w:szCs w:val="22"/>
        </w:rPr>
      </w:sdtEndPr>
      <w:sdtContent>
        <w:p w14:paraId="377A6F20" w14:textId="6691450B" w:rsidR="005B530D" w:rsidRPr="008F35FD" w:rsidRDefault="005B530D" w:rsidP="008F35FD">
          <w:pPr>
            <w:rPr>
              <w:b/>
              <w:bCs/>
              <w:sz w:val="32"/>
              <w:szCs w:val="32"/>
            </w:rPr>
          </w:pPr>
          <w:r w:rsidRPr="008F35FD">
            <w:rPr>
              <w:b/>
              <w:bCs/>
              <w:sz w:val="32"/>
              <w:szCs w:val="32"/>
            </w:rPr>
            <w:t>Contents</w:t>
          </w:r>
        </w:p>
        <w:p w14:paraId="031972C7" w14:textId="21ED44DF" w:rsidR="00CB3B4F" w:rsidRDefault="005B530D">
          <w:pPr>
            <w:pStyle w:val="TOC1"/>
            <w:tabs>
              <w:tab w:val="left" w:pos="480"/>
              <w:tab w:val="right" w:leader="dot" w:pos="9016"/>
            </w:tabs>
            <w:rPr>
              <w:rFonts w:asciiTheme="minorHAnsi" w:eastAsiaTheme="minorEastAsia" w:hAnsiTheme="minorHAnsi"/>
              <w:noProof/>
              <w:sz w:val="24"/>
              <w:szCs w:val="24"/>
              <w:lang w:eastAsia="en-GB"/>
            </w:rPr>
          </w:pPr>
          <w:r>
            <w:fldChar w:fldCharType="begin"/>
          </w:r>
          <w:r>
            <w:instrText xml:space="preserve"> TOC \o "1-3" \h \z \u </w:instrText>
          </w:r>
          <w:r>
            <w:fldChar w:fldCharType="separate"/>
          </w:r>
          <w:hyperlink w:anchor="_Toc222220116" w:history="1">
            <w:r w:rsidR="00CB3B4F" w:rsidRPr="005B5855">
              <w:rPr>
                <w:rStyle w:val="Hyperlink"/>
                <w:noProof/>
              </w:rPr>
              <w:t>1.</w:t>
            </w:r>
            <w:r w:rsidR="00CB3B4F">
              <w:rPr>
                <w:rFonts w:asciiTheme="minorHAnsi" w:eastAsiaTheme="minorEastAsia" w:hAnsiTheme="minorHAnsi"/>
                <w:noProof/>
                <w:sz w:val="24"/>
                <w:szCs w:val="24"/>
                <w:lang w:eastAsia="en-GB"/>
              </w:rPr>
              <w:tab/>
            </w:r>
            <w:r w:rsidR="00CB3B4F" w:rsidRPr="005B5855">
              <w:rPr>
                <w:rStyle w:val="Hyperlink"/>
                <w:noProof/>
              </w:rPr>
              <w:t>Executive Summary</w:t>
            </w:r>
            <w:r w:rsidR="00CB3B4F">
              <w:rPr>
                <w:noProof/>
                <w:webHidden/>
              </w:rPr>
              <w:tab/>
            </w:r>
            <w:r w:rsidR="00CB3B4F">
              <w:rPr>
                <w:noProof/>
                <w:webHidden/>
              </w:rPr>
              <w:fldChar w:fldCharType="begin"/>
            </w:r>
            <w:r w:rsidR="00CB3B4F">
              <w:rPr>
                <w:noProof/>
                <w:webHidden/>
              </w:rPr>
              <w:instrText xml:space="preserve"> PAGEREF _Toc222220116 \h </w:instrText>
            </w:r>
            <w:r w:rsidR="00CB3B4F">
              <w:rPr>
                <w:noProof/>
                <w:webHidden/>
              </w:rPr>
            </w:r>
            <w:r w:rsidR="00CB3B4F">
              <w:rPr>
                <w:noProof/>
                <w:webHidden/>
              </w:rPr>
              <w:fldChar w:fldCharType="separate"/>
            </w:r>
            <w:r w:rsidR="00A36497">
              <w:rPr>
                <w:noProof/>
                <w:webHidden/>
              </w:rPr>
              <w:t>3</w:t>
            </w:r>
            <w:r w:rsidR="00CB3B4F">
              <w:rPr>
                <w:noProof/>
                <w:webHidden/>
              </w:rPr>
              <w:fldChar w:fldCharType="end"/>
            </w:r>
          </w:hyperlink>
        </w:p>
        <w:p w14:paraId="0254F6D1" w14:textId="259465F0" w:rsidR="00CB3B4F" w:rsidRDefault="00CB3B4F">
          <w:pPr>
            <w:pStyle w:val="TOC1"/>
            <w:tabs>
              <w:tab w:val="left" w:pos="480"/>
              <w:tab w:val="right" w:leader="dot" w:pos="9016"/>
            </w:tabs>
            <w:rPr>
              <w:rFonts w:asciiTheme="minorHAnsi" w:eastAsiaTheme="minorEastAsia" w:hAnsiTheme="minorHAnsi"/>
              <w:noProof/>
              <w:sz w:val="24"/>
              <w:szCs w:val="24"/>
              <w:lang w:eastAsia="en-GB"/>
            </w:rPr>
          </w:pPr>
          <w:hyperlink w:anchor="_Toc222220117" w:history="1">
            <w:r w:rsidRPr="005B5855">
              <w:rPr>
                <w:rStyle w:val="Hyperlink"/>
                <w:noProof/>
              </w:rPr>
              <w:t>2.</w:t>
            </w:r>
            <w:r>
              <w:rPr>
                <w:rFonts w:asciiTheme="minorHAnsi" w:eastAsiaTheme="minorEastAsia" w:hAnsiTheme="minorHAnsi"/>
                <w:noProof/>
                <w:sz w:val="24"/>
                <w:szCs w:val="24"/>
                <w:lang w:eastAsia="en-GB"/>
              </w:rPr>
              <w:tab/>
            </w:r>
            <w:r w:rsidRPr="005B5855">
              <w:rPr>
                <w:rStyle w:val="Hyperlink"/>
                <w:noProof/>
              </w:rPr>
              <w:t>Introduction</w:t>
            </w:r>
            <w:r>
              <w:rPr>
                <w:noProof/>
                <w:webHidden/>
              </w:rPr>
              <w:tab/>
            </w:r>
            <w:r>
              <w:rPr>
                <w:noProof/>
                <w:webHidden/>
              </w:rPr>
              <w:fldChar w:fldCharType="begin"/>
            </w:r>
            <w:r>
              <w:rPr>
                <w:noProof/>
                <w:webHidden/>
              </w:rPr>
              <w:instrText xml:space="preserve"> PAGEREF _Toc222220117 \h </w:instrText>
            </w:r>
            <w:r>
              <w:rPr>
                <w:noProof/>
                <w:webHidden/>
              </w:rPr>
            </w:r>
            <w:r>
              <w:rPr>
                <w:noProof/>
                <w:webHidden/>
              </w:rPr>
              <w:fldChar w:fldCharType="separate"/>
            </w:r>
            <w:r w:rsidR="00A36497">
              <w:rPr>
                <w:noProof/>
                <w:webHidden/>
              </w:rPr>
              <w:t>4</w:t>
            </w:r>
            <w:r>
              <w:rPr>
                <w:noProof/>
                <w:webHidden/>
              </w:rPr>
              <w:fldChar w:fldCharType="end"/>
            </w:r>
          </w:hyperlink>
        </w:p>
        <w:p w14:paraId="108D5E16" w14:textId="238B533F" w:rsidR="00CB3B4F" w:rsidRDefault="00CB3B4F">
          <w:pPr>
            <w:pStyle w:val="TOC1"/>
            <w:tabs>
              <w:tab w:val="left" w:pos="480"/>
              <w:tab w:val="right" w:leader="dot" w:pos="9016"/>
            </w:tabs>
            <w:rPr>
              <w:rFonts w:asciiTheme="minorHAnsi" w:eastAsiaTheme="minorEastAsia" w:hAnsiTheme="minorHAnsi"/>
              <w:noProof/>
              <w:sz w:val="24"/>
              <w:szCs w:val="24"/>
              <w:lang w:eastAsia="en-GB"/>
            </w:rPr>
          </w:pPr>
          <w:hyperlink w:anchor="_Toc222220118" w:history="1">
            <w:r w:rsidRPr="005B5855">
              <w:rPr>
                <w:rStyle w:val="Hyperlink"/>
                <w:noProof/>
              </w:rPr>
              <w:t>3.</w:t>
            </w:r>
            <w:r>
              <w:rPr>
                <w:rFonts w:asciiTheme="minorHAnsi" w:eastAsiaTheme="minorEastAsia" w:hAnsiTheme="minorHAnsi"/>
                <w:noProof/>
                <w:sz w:val="24"/>
                <w:szCs w:val="24"/>
                <w:lang w:eastAsia="en-GB"/>
              </w:rPr>
              <w:tab/>
            </w:r>
            <w:r w:rsidRPr="005B5855">
              <w:rPr>
                <w:rStyle w:val="Hyperlink"/>
                <w:noProof/>
              </w:rPr>
              <w:t>Role of the Panel</w:t>
            </w:r>
            <w:r>
              <w:rPr>
                <w:noProof/>
                <w:webHidden/>
              </w:rPr>
              <w:tab/>
            </w:r>
            <w:r>
              <w:rPr>
                <w:noProof/>
                <w:webHidden/>
              </w:rPr>
              <w:fldChar w:fldCharType="begin"/>
            </w:r>
            <w:r>
              <w:rPr>
                <w:noProof/>
                <w:webHidden/>
              </w:rPr>
              <w:instrText xml:space="preserve"> PAGEREF _Toc222220118 \h </w:instrText>
            </w:r>
            <w:r>
              <w:rPr>
                <w:noProof/>
                <w:webHidden/>
              </w:rPr>
            </w:r>
            <w:r>
              <w:rPr>
                <w:noProof/>
                <w:webHidden/>
              </w:rPr>
              <w:fldChar w:fldCharType="separate"/>
            </w:r>
            <w:r w:rsidR="00A36497">
              <w:rPr>
                <w:noProof/>
                <w:webHidden/>
              </w:rPr>
              <w:t>4</w:t>
            </w:r>
            <w:r>
              <w:rPr>
                <w:noProof/>
                <w:webHidden/>
              </w:rPr>
              <w:fldChar w:fldCharType="end"/>
            </w:r>
          </w:hyperlink>
        </w:p>
        <w:p w14:paraId="1A5F3846" w14:textId="6FAFC35B" w:rsidR="00CB3B4F" w:rsidRDefault="00CB3B4F">
          <w:pPr>
            <w:pStyle w:val="TOC1"/>
            <w:tabs>
              <w:tab w:val="left" w:pos="480"/>
              <w:tab w:val="right" w:leader="dot" w:pos="9016"/>
            </w:tabs>
            <w:rPr>
              <w:rFonts w:asciiTheme="minorHAnsi" w:eastAsiaTheme="minorEastAsia" w:hAnsiTheme="minorHAnsi"/>
              <w:noProof/>
              <w:sz w:val="24"/>
              <w:szCs w:val="24"/>
              <w:lang w:eastAsia="en-GB"/>
            </w:rPr>
          </w:pPr>
          <w:hyperlink w:anchor="_Toc222220119" w:history="1">
            <w:r w:rsidRPr="005B5855">
              <w:rPr>
                <w:rStyle w:val="Hyperlink"/>
                <w:noProof/>
              </w:rPr>
              <w:t>4.</w:t>
            </w:r>
            <w:r>
              <w:rPr>
                <w:rFonts w:asciiTheme="minorHAnsi" w:eastAsiaTheme="minorEastAsia" w:hAnsiTheme="minorHAnsi"/>
                <w:noProof/>
                <w:sz w:val="24"/>
                <w:szCs w:val="24"/>
                <w:lang w:eastAsia="en-GB"/>
              </w:rPr>
              <w:tab/>
            </w:r>
            <w:r w:rsidRPr="005B5855">
              <w:rPr>
                <w:rStyle w:val="Hyperlink"/>
                <w:noProof/>
              </w:rPr>
              <w:t>Background to this review</w:t>
            </w:r>
            <w:r>
              <w:rPr>
                <w:noProof/>
                <w:webHidden/>
              </w:rPr>
              <w:tab/>
            </w:r>
            <w:r>
              <w:rPr>
                <w:noProof/>
                <w:webHidden/>
              </w:rPr>
              <w:fldChar w:fldCharType="begin"/>
            </w:r>
            <w:r>
              <w:rPr>
                <w:noProof/>
                <w:webHidden/>
              </w:rPr>
              <w:instrText xml:space="preserve"> PAGEREF _Toc222220119 \h </w:instrText>
            </w:r>
            <w:r>
              <w:rPr>
                <w:noProof/>
                <w:webHidden/>
              </w:rPr>
            </w:r>
            <w:r>
              <w:rPr>
                <w:noProof/>
                <w:webHidden/>
              </w:rPr>
              <w:fldChar w:fldCharType="separate"/>
            </w:r>
            <w:r w:rsidR="00A36497">
              <w:rPr>
                <w:noProof/>
                <w:webHidden/>
              </w:rPr>
              <w:t>5</w:t>
            </w:r>
            <w:r>
              <w:rPr>
                <w:noProof/>
                <w:webHidden/>
              </w:rPr>
              <w:fldChar w:fldCharType="end"/>
            </w:r>
          </w:hyperlink>
        </w:p>
        <w:p w14:paraId="51FE8FD1" w14:textId="57E1DA30" w:rsidR="00CB3B4F" w:rsidRDefault="00CB3B4F">
          <w:pPr>
            <w:pStyle w:val="TOC1"/>
            <w:tabs>
              <w:tab w:val="left" w:pos="480"/>
              <w:tab w:val="right" w:leader="dot" w:pos="9016"/>
            </w:tabs>
            <w:rPr>
              <w:rFonts w:asciiTheme="minorHAnsi" w:eastAsiaTheme="minorEastAsia" w:hAnsiTheme="minorHAnsi"/>
              <w:noProof/>
              <w:sz w:val="24"/>
              <w:szCs w:val="24"/>
              <w:lang w:eastAsia="en-GB"/>
            </w:rPr>
          </w:pPr>
          <w:hyperlink w:anchor="_Toc222220120" w:history="1">
            <w:r w:rsidRPr="005B5855">
              <w:rPr>
                <w:rStyle w:val="Hyperlink"/>
                <w:noProof/>
              </w:rPr>
              <w:t>5.</w:t>
            </w:r>
            <w:r>
              <w:rPr>
                <w:rFonts w:asciiTheme="minorHAnsi" w:eastAsiaTheme="minorEastAsia" w:hAnsiTheme="minorHAnsi"/>
                <w:noProof/>
                <w:sz w:val="24"/>
                <w:szCs w:val="24"/>
                <w:lang w:eastAsia="en-GB"/>
              </w:rPr>
              <w:tab/>
            </w:r>
            <w:r w:rsidRPr="005B5855">
              <w:rPr>
                <w:rStyle w:val="Hyperlink"/>
                <w:noProof/>
              </w:rPr>
              <w:t>Representations by Digital Autopsy</w:t>
            </w:r>
            <w:r>
              <w:rPr>
                <w:noProof/>
                <w:webHidden/>
              </w:rPr>
              <w:tab/>
            </w:r>
            <w:r>
              <w:rPr>
                <w:noProof/>
                <w:webHidden/>
              </w:rPr>
              <w:fldChar w:fldCharType="begin"/>
            </w:r>
            <w:r>
              <w:rPr>
                <w:noProof/>
                <w:webHidden/>
              </w:rPr>
              <w:instrText xml:space="preserve"> PAGEREF _Toc222220120 \h </w:instrText>
            </w:r>
            <w:r>
              <w:rPr>
                <w:noProof/>
                <w:webHidden/>
              </w:rPr>
            </w:r>
            <w:r>
              <w:rPr>
                <w:noProof/>
                <w:webHidden/>
              </w:rPr>
              <w:fldChar w:fldCharType="separate"/>
            </w:r>
            <w:r w:rsidR="00A36497">
              <w:rPr>
                <w:noProof/>
                <w:webHidden/>
              </w:rPr>
              <w:t>6</w:t>
            </w:r>
            <w:r>
              <w:rPr>
                <w:noProof/>
                <w:webHidden/>
              </w:rPr>
              <w:fldChar w:fldCharType="end"/>
            </w:r>
          </w:hyperlink>
        </w:p>
        <w:p w14:paraId="2DE02A06" w14:textId="513EA7D5" w:rsidR="00CB3B4F" w:rsidRDefault="00CB3B4F">
          <w:pPr>
            <w:pStyle w:val="TOC1"/>
            <w:tabs>
              <w:tab w:val="left" w:pos="480"/>
              <w:tab w:val="right" w:leader="dot" w:pos="9016"/>
            </w:tabs>
            <w:rPr>
              <w:rFonts w:asciiTheme="minorHAnsi" w:eastAsiaTheme="minorEastAsia" w:hAnsiTheme="minorHAnsi"/>
              <w:noProof/>
              <w:sz w:val="24"/>
              <w:szCs w:val="24"/>
              <w:lang w:eastAsia="en-GB"/>
            </w:rPr>
          </w:pPr>
          <w:hyperlink w:anchor="_Toc222220121" w:history="1">
            <w:r w:rsidRPr="005B5855">
              <w:rPr>
                <w:rStyle w:val="Hyperlink"/>
                <w:noProof/>
              </w:rPr>
              <w:t>6.</w:t>
            </w:r>
            <w:r>
              <w:rPr>
                <w:rFonts w:asciiTheme="minorHAnsi" w:eastAsiaTheme="minorEastAsia" w:hAnsiTheme="minorHAnsi"/>
                <w:noProof/>
                <w:sz w:val="24"/>
                <w:szCs w:val="24"/>
                <w:lang w:eastAsia="en-GB"/>
              </w:rPr>
              <w:tab/>
            </w:r>
            <w:r w:rsidRPr="005B5855">
              <w:rPr>
                <w:rStyle w:val="Hyperlink"/>
                <w:noProof/>
              </w:rPr>
              <w:t>Panel Assessment</w:t>
            </w:r>
            <w:r>
              <w:rPr>
                <w:noProof/>
                <w:webHidden/>
              </w:rPr>
              <w:tab/>
            </w:r>
            <w:r>
              <w:rPr>
                <w:noProof/>
                <w:webHidden/>
              </w:rPr>
              <w:fldChar w:fldCharType="begin"/>
            </w:r>
            <w:r>
              <w:rPr>
                <w:noProof/>
                <w:webHidden/>
              </w:rPr>
              <w:instrText xml:space="preserve"> PAGEREF _Toc222220121 \h </w:instrText>
            </w:r>
            <w:r>
              <w:rPr>
                <w:noProof/>
                <w:webHidden/>
              </w:rPr>
            </w:r>
            <w:r>
              <w:rPr>
                <w:noProof/>
                <w:webHidden/>
              </w:rPr>
              <w:fldChar w:fldCharType="separate"/>
            </w:r>
            <w:r w:rsidR="00A36497">
              <w:rPr>
                <w:noProof/>
                <w:webHidden/>
              </w:rPr>
              <w:t>6</w:t>
            </w:r>
            <w:r>
              <w:rPr>
                <w:noProof/>
                <w:webHidden/>
              </w:rPr>
              <w:fldChar w:fldCharType="end"/>
            </w:r>
          </w:hyperlink>
        </w:p>
        <w:p w14:paraId="0BB8FB6E" w14:textId="4529B979" w:rsidR="00CB3B4F" w:rsidRDefault="00CB3B4F">
          <w:pPr>
            <w:pStyle w:val="TOC2"/>
            <w:tabs>
              <w:tab w:val="left" w:pos="960"/>
              <w:tab w:val="right" w:leader="dot" w:pos="9016"/>
            </w:tabs>
            <w:rPr>
              <w:rFonts w:asciiTheme="minorHAnsi" w:eastAsiaTheme="minorEastAsia" w:hAnsiTheme="minorHAnsi"/>
              <w:noProof/>
              <w:sz w:val="24"/>
              <w:szCs w:val="24"/>
              <w:lang w:eastAsia="en-GB"/>
            </w:rPr>
          </w:pPr>
          <w:hyperlink w:anchor="_Toc222220122" w:history="1">
            <w:r w:rsidRPr="005B5855">
              <w:rPr>
                <w:rStyle w:val="Hyperlink"/>
                <w:noProof/>
              </w:rPr>
              <w:t>6.1</w:t>
            </w:r>
            <w:r>
              <w:rPr>
                <w:rFonts w:asciiTheme="minorHAnsi" w:eastAsiaTheme="minorEastAsia" w:hAnsiTheme="minorHAnsi"/>
                <w:noProof/>
                <w:sz w:val="24"/>
                <w:szCs w:val="24"/>
                <w:lang w:eastAsia="en-GB"/>
              </w:rPr>
              <w:tab/>
            </w:r>
            <w:r w:rsidRPr="005B5855">
              <w:rPr>
                <w:rStyle w:val="Hyperlink"/>
                <w:noProof/>
              </w:rPr>
              <w:t>Whether RBC is a relevant authority</w:t>
            </w:r>
            <w:r>
              <w:rPr>
                <w:noProof/>
                <w:webHidden/>
              </w:rPr>
              <w:tab/>
            </w:r>
            <w:r>
              <w:rPr>
                <w:noProof/>
                <w:webHidden/>
              </w:rPr>
              <w:fldChar w:fldCharType="begin"/>
            </w:r>
            <w:r>
              <w:rPr>
                <w:noProof/>
                <w:webHidden/>
              </w:rPr>
              <w:instrText xml:space="preserve"> PAGEREF _Toc222220122 \h </w:instrText>
            </w:r>
            <w:r>
              <w:rPr>
                <w:noProof/>
                <w:webHidden/>
              </w:rPr>
            </w:r>
            <w:r>
              <w:rPr>
                <w:noProof/>
                <w:webHidden/>
              </w:rPr>
              <w:fldChar w:fldCharType="separate"/>
            </w:r>
            <w:r w:rsidR="00A36497">
              <w:rPr>
                <w:noProof/>
                <w:webHidden/>
              </w:rPr>
              <w:t>6</w:t>
            </w:r>
            <w:r>
              <w:rPr>
                <w:noProof/>
                <w:webHidden/>
              </w:rPr>
              <w:fldChar w:fldCharType="end"/>
            </w:r>
          </w:hyperlink>
        </w:p>
        <w:p w14:paraId="529256DE" w14:textId="2E8D703C" w:rsidR="00CB3B4F" w:rsidRDefault="00CB3B4F">
          <w:pPr>
            <w:pStyle w:val="TOC2"/>
            <w:tabs>
              <w:tab w:val="left" w:pos="960"/>
              <w:tab w:val="right" w:leader="dot" w:pos="9016"/>
            </w:tabs>
            <w:rPr>
              <w:rFonts w:asciiTheme="minorHAnsi" w:eastAsiaTheme="minorEastAsia" w:hAnsiTheme="minorHAnsi"/>
              <w:noProof/>
              <w:sz w:val="24"/>
              <w:szCs w:val="24"/>
              <w:lang w:eastAsia="en-GB"/>
            </w:rPr>
          </w:pPr>
          <w:hyperlink w:anchor="_Toc222220123" w:history="1">
            <w:r w:rsidRPr="005B5855">
              <w:rPr>
                <w:rStyle w:val="Hyperlink"/>
                <w:noProof/>
              </w:rPr>
              <w:t>6.2</w:t>
            </w:r>
            <w:r>
              <w:rPr>
                <w:rFonts w:asciiTheme="minorHAnsi" w:eastAsiaTheme="minorEastAsia" w:hAnsiTheme="minorHAnsi"/>
                <w:noProof/>
                <w:sz w:val="24"/>
                <w:szCs w:val="24"/>
                <w:lang w:eastAsia="en-GB"/>
              </w:rPr>
              <w:tab/>
            </w:r>
            <w:r w:rsidRPr="005B5855">
              <w:rPr>
                <w:rStyle w:val="Hyperlink"/>
                <w:noProof/>
              </w:rPr>
              <w:t>Whether post-mortem imaging services are relevant health care services</w:t>
            </w:r>
            <w:r>
              <w:rPr>
                <w:noProof/>
                <w:webHidden/>
              </w:rPr>
              <w:tab/>
            </w:r>
            <w:r>
              <w:rPr>
                <w:noProof/>
                <w:webHidden/>
              </w:rPr>
              <w:fldChar w:fldCharType="begin"/>
            </w:r>
            <w:r>
              <w:rPr>
                <w:noProof/>
                <w:webHidden/>
              </w:rPr>
              <w:instrText xml:space="preserve"> PAGEREF _Toc222220123 \h </w:instrText>
            </w:r>
            <w:r>
              <w:rPr>
                <w:noProof/>
                <w:webHidden/>
              </w:rPr>
            </w:r>
            <w:r>
              <w:rPr>
                <w:noProof/>
                <w:webHidden/>
              </w:rPr>
              <w:fldChar w:fldCharType="separate"/>
            </w:r>
            <w:r w:rsidR="00A36497">
              <w:rPr>
                <w:noProof/>
                <w:webHidden/>
              </w:rPr>
              <w:t>7</w:t>
            </w:r>
            <w:r>
              <w:rPr>
                <w:noProof/>
                <w:webHidden/>
              </w:rPr>
              <w:fldChar w:fldCharType="end"/>
            </w:r>
          </w:hyperlink>
        </w:p>
        <w:p w14:paraId="531B6D6C" w14:textId="369362B8" w:rsidR="00CB3B4F" w:rsidRDefault="00CB3B4F">
          <w:pPr>
            <w:pStyle w:val="TOC2"/>
            <w:tabs>
              <w:tab w:val="left" w:pos="960"/>
              <w:tab w:val="right" w:leader="dot" w:pos="9016"/>
            </w:tabs>
            <w:rPr>
              <w:rFonts w:asciiTheme="minorHAnsi" w:eastAsiaTheme="minorEastAsia" w:hAnsiTheme="minorHAnsi"/>
              <w:noProof/>
              <w:sz w:val="24"/>
              <w:szCs w:val="24"/>
              <w:lang w:eastAsia="en-GB"/>
            </w:rPr>
          </w:pPr>
          <w:hyperlink w:anchor="_Toc222220124" w:history="1">
            <w:r w:rsidRPr="005B5855">
              <w:rPr>
                <w:rStyle w:val="Hyperlink"/>
                <w:noProof/>
              </w:rPr>
              <w:t>6.3</w:t>
            </w:r>
            <w:r>
              <w:rPr>
                <w:rFonts w:asciiTheme="minorHAnsi" w:eastAsiaTheme="minorEastAsia" w:hAnsiTheme="minorHAnsi"/>
                <w:noProof/>
                <w:sz w:val="24"/>
                <w:szCs w:val="24"/>
                <w:lang w:eastAsia="en-GB"/>
              </w:rPr>
              <w:tab/>
            </w:r>
            <w:r w:rsidRPr="005B5855">
              <w:rPr>
                <w:rStyle w:val="Hyperlink"/>
                <w:noProof/>
              </w:rPr>
              <w:t>Whether the procurement is for the purposes of the health service</w:t>
            </w:r>
            <w:r>
              <w:rPr>
                <w:noProof/>
                <w:webHidden/>
              </w:rPr>
              <w:tab/>
            </w:r>
            <w:r>
              <w:rPr>
                <w:noProof/>
                <w:webHidden/>
              </w:rPr>
              <w:fldChar w:fldCharType="begin"/>
            </w:r>
            <w:r>
              <w:rPr>
                <w:noProof/>
                <w:webHidden/>
              </w:rPr>
              <w:instrText xml:space="preserve"> PAGEREF _Toc222220124 \h </w:instrText>
            </w:r>
            <w:r>
              <w:rPr>
                <w:noProof/>
                <w:webHidden/>
              </w:rPr>
            </w:r>
            <w:r>
              <w:rPr>
                <w:noProof/>
                <w:webHidden/>
              </w:rPr>
              <w:fldChar w:fldCharType="separate"/>
            </w:r>
            <w:r w:rsidR="00A36497">
              <w:rPr>
                <w:noProof/>
                <w:webHidden/>
              </w:rPr>
              <w:t>8</w:t>
            </w:r>
            <w:r>
              <w:rPr>
                <w:noProof/>
                <w:webHidden/>
              </w:rPr>
              <w:fldChar w:fldCharType="end"/>
            </w:r>
          </w:hyperlink>
        </w:p>
        <w:p w14:paraId="5E419BDA" w14:textId="3DB729DB" w:rsidR="00CB3B4F" w:rsidRDefault="00CB3B4F">
          <w:pPr>
            <w:pStyle w:val="TOC1"/>
            <w:tabs>
              <w:tab w:val="left" w:pos="480"/>
              <w:tab w:val="right" w:leader="dot" w:pos="9016"/>
            </w:tabs>
            <w:rPr>
              <w:rFonts w:asciiTheme="minorHAnsi" w:eastAsiaTheme="minorEastAsia" w:hAnsiTheme="minorHAnsi"/>
              <w:noProof/>
              <w:sz w:val="24"/>
              <w:szCs w:val="24"/>
              <w:lang w:eastAsia="en-GB"/>
            </w:rPr>
          </w:pPr>
          <w:hyperlink w:anchor="_Toc222220125" w:history="1">
            <w:r w:rsidRPr="005B5855">
              <w:rPr>
                <w:rStyle w:val="Hyperlink"/>
                <w:noProof/>
              </w:rPr>
              <w:t>7.</w:t>
            </w:r>
            <w:r>
              <w:rPr>
                <w:rFonts w:asciiTheme="minorHAnsi" w:eastAsiaTheme="minorEastAsia" w:hAnsiTheme="minorHAnsi"/>
                <w:noProof/>
                <w:sz w:val="24"/>
                <w:szCs w:val="24"/>
                <w:lang w:eastAsia="en-GB"/>
              </w:rPr>
              <w:tab/>
            </w:r>
            <w:r w:rsidRPr="005B5855">
              <w:rPr>
                <w:rStyle w:val="Hyperlink"/>
                <w:noProof/>
              </w:rPr>
              <w:t>Panel conclusions and advice</w:t>
            </w:r>
            <w:r>
              <w:rPr>
                <w:noProof/>
                <w:webHidden/>
              </w:rPr>
              <w:tab/>
            </w:r>
            <w:r>
              <w:rPr>
                <w:noProof/>
                <w:webHidden/>
              </w:rPr>
              <w:fldChar w:fldCharType="begin"/>
            </w:r>
            <w:r>
              <w:rPr>
                <w:noProof/>
                <w:webHidden/>
              </w:rPr>
              <w:instrText xml:space="preserve"> PAGEREF _Toc222220125 \h </w:instrText>
            </w:r>
            <w:r>
              <w:rPr>
                <w:noProof/>
                <w:webHidden/>
              </w:rPr>
            </w:r>
            <w:r>
              <w:rPr>
                <w:noProof/>
                <w:webHidden/>
              </w:rPr>
              <w:fldChar w:fldCharType="separate"/>
            </w:r>
            <w:r w:rsidR="00A36497">
              <w:rPr>
                <w:noProof/>
                <w:webHidden/>
              </w:rPr>
              <w:t>8</w:t>
            </w:r>
            <w:r>
              <w:rPr>
                <w:noProof/>
                <w:webHidden/>
              </w:rPr>
              <w:fldChar w:fldCharType="end"/>
            </w:r>
          </w:hyperlink>
        </w:p>
        <w:p w14:paraId="6F05FCE2" w14:textId="1604EF50" w:rsidR="005B530D" w:rsidRDefault="005B530D">
          <w:r>
            <w:rPr>
              <w:b/>
              <w:bCs/>
            </w:rPr>
            <w:fldChar w:fldCharType="end"/>
          </w:r>
        </w:p>
      </w:sdtContent>
    </w:sdt>
    <w:p w14:paraId="08CB59AE" w14:textId="72FD3851" w:rsidR="00E74C7C" w:rsidRDefault="00E74C7C">
      <w:pPr>
        <w:rPr>
          <w:rFonts w:eastAsiaTheme="majorEastAsia" w:cs="Arial"/>
          <w:b/>
          <w:bCs/>
          <w:color w:val="0070C0"/>
          <w:spacing w:val="15"/>
          <w:sz w:val="28"/>
          <w:szCs w:val="24"/>
        </w:rPr>
      </w:pPr>
      <w:r>
        <w:rPr>
          <w:rFonts w:cs="Arial"/>
          <w:b/>
          <w:bCs/>
          <w:color w:val="0070C0"/>
          <w:szCs w:val="24"/>
        </w:rPr>
        <w:br w:type="page"/>
      </w:r>
    </w:p>
    <w:p w14:paraId="7766794D" w14:textId="789F19C4" w:rsidR="007B56C4" w:rsidRPr="00DB70FE" w:rsidRDefault="00E74C7C" w:rsidP="00AC232B">
      <w:pPr>
        <w:pStyle w:val="Heading1"/>
      </w:pPr>
      <w:bookmarkStart w:id="0" w:name="_Toc222220116"/>
      <w:r w:rsidRPr="00DB70FE">
        <w:lastRenderedPageBreak/>
        <w:t>Executive Summary</w:t>
      </w:r>
      <w:bookmarkEnd w:id="0"/>
    </w:p>
    <w:p w14:paraId="79843C8B" w14:textId="6A8F2192" w:rsidR="00561AC0" w:rsidRPr="00C45F3A" w:rsidRDefault="00561AC0" w:rsidP="00561AC0">
      <w:pPr>
        <w:pStyle w:val="ListParagraph"/>
      </w:pPr>
      <w:r>
        <w:t>On 14 January 2026</w:t>
      </w:r>
      <w:r w:rsidRPr="00F17760">
        <w:t xml:space="preserve">, Digital Autopsy UK (Digital Autopsy) asked the Panel to advise on the selection of a provider by Rochdale Borough Council (RBC) for its </w:t>
      </w:r>
      <w:proofErr w:type="gramStart"/>
      <w:r w:rsidRPr="00F17760">
        <w:t>Cross Sectional</w:t>
      </w:r>
      <w:proofErr w:type="gramEnd"/>
      <w:r w:rsidRPr="00F17760">
        <w:t xml:space="preserve"> </w:t>
      </w:r>
      <w:r>
        <w:t>Post-Mortem</w:t>
      </w:r>
      <w:r w:rsidRPr="00F17760">
        <w:t xml:space="preserve"> </w:t>
      </w:r>
      <w:r>
        <w:t xml:space="preserve">Imaging </w:t>
      </w:r>
      <w:r w:rsidRPr="00F17760">
        <w:t>Service</w:t>
      </w:r>
      <w:r w:rsidR="003A2AA4">
        <w:t xml:space="preserve"> (post-mortem imaging</w:t>
      </w:r>
      <w:r w:rsidR="00F82087">
        <w:t xml:space="preserve"> services</w:t>
      </w:r>
      <w:r w:rsidR="003A2AA4">
        <w:t>)</w:t>
      </w:r>
      <w:r w:rsidRPr="00F17760">
        <w:t>.</w:t>
      </w:r>
      <w:r w:rsidR="00955011">
        <w:t xml:space="preserve"> </w:t>
      </w:r>
      <w:r>
        <w:t>The Panel accepted Digital Autopsy’s request on 15 January 2026, in accordance with its case acceptance criteria.</w:t>
      </w:r>
    </w:p>
    <w:p w14:paraId="3C0F2BB1" w14:textId="743D94A3" w:rsidR="00561AC0" w:rsidRDefault="00561AC0" w:rsidP="00561AC0">
      <w:pPr>
        <w:pStyle w:val="ListParagraph"/>
      </w:pPr>
      <w:r>
        <w:t xml:space="preserve">RBC is </w:t>
      </w:r>
      <w:r w:rsidR="00FE16D0">
        <w:t xml:space="preserve">seeking to </w:t>
      </w:r>
      <w:r>
        <w:t xml:space="preserve">commission </w:t>
      </w:r>
      <w:r w:rsidR="00F24642">
        <w:t xml:space="preserve">a </w:t>
      </w:r>
      <w:r>
        <w:t xml:space="preserve">post-mortem imaging </w:t>
      </w:r>
      <w:r w:rsidR="00F82087">
        <w:t xml:space="preserve">service </w:t>
      </w:r>
      <w:r>
        <w:t xml:space="preserve">on behalf of the </w:t>
      </w:r>
      <w:r w:rsidR="00214FE3">
        <w:t>C</w:t>
      </w:r>
      <w:r>
        <w:t>oroner for Greater Manchester North, covering the boroughs of Rochdale, Oldham and Bury. This new service will provide non-invasive digital scanning examinations, complementing existing post-mortem examination arrangements.</w:t>
      </w:r>
    </w:p>
    <w:p w14:paraId="2D0C0908" w14:textId="40A487BE" w:rsidR="00561AC0" w:rsidRDefault="00561AC0" w:rsidP="00561AC0">
      <w:pPr>
        <w:pStyle w:val="ListParagraph"/>
      </w:pPr>
      <w:r>
        <w:t xml:space="preserve">On 22 April 2025, RBC began a competitive process under the </w:t>
      </w:r>
      <w:r w:rsidR="00830191">
        <w:t>Provider Selection Regime (</w:t>
      </w:r>
      <w:r>
        <w:t>PSR</w:t>
      </w:r>
      <w:r w:rsidR="00830191">
        <w:t>)</w:t>
      </w:r>
      <w:r>
        <w:t xml:space="preserve"> regulations to select a provider for </w:t>
      </w:r>
      <w:r w:rsidR="008F3F2B">
        <w:t xml:space="preserve">the </w:t>
      </w:r>
      <w:r>
        <w:t>post-mortem imaging</w:t>
      </w:r>
      <w:r w:rsidR="00F82087">
        <w:t xml:space="preserve"> service</w:t>
      </w:r>
      <w:r>
        <w:t xml:space="preserve">. The proposed contract has a </w:t>
      </w:r>
      <w:proofErr w:type="gramStart"/>
      <w:r>
        <w:t>five year</w:t>
      </w:r>
      <w:proofErr w:type="gramEnd"/>
      <w:r>
        <w:t xml:space="preserve"> duration with the option of a </w:t>
      </w:r>
      <w:proofErr w:type="gramStart"/>
      <w:r>
        <w:t>five year</w:t>
      </w:r>
      <w:proofErr w:type="gramEnd"/>
      <w:r>
        <w:t xml:space="preserve"> extension. The intended start date for the contract was 15 July 2025 (later revised to 2 February 2026) and the total value of the contract over the full </w:t>
      </w:r>
      <w:proofErr w:type="gramStart"/>
      <w:r>
        <w:t>ten year</w:t>
      </w:r>
      <w:proofErr w:type="gramEnd"/>
      <w:r>
        <w:t xml:space="preserve"> duration is approximately £3.7</w:t>
      </w:r>
      <w:r w:rsidR="00E323AD">
        <w:t> </w:t>
      </w:r>
      <w:r>
        <w:t>million (excluding VAT).</w:t>
      </w:r>
    </w:p>
    <w:p w14:paraId="5DABE73F" w14:textId="4BDC8267" w:rsidR="008A1543" w:rsidRDefault="00561AC0" w:rsidP="00561AC0">
      <w:pPr>
        <w:pStyle w:val="ListParagraph"/>
      </w:pPr>
      <w:r>
        <w:t xml:space="preserve">RBC completed its evaluation </w:t>
      </w:r>
      <w:r w:rsidR="008F3F2B">
        <w:t xml:space="preserve">of proposals </w:t>
      </w:r>
      <w:r>
        <w:t>in November 2025</w:t>
      </w:r>
      <w:r w:rsidR="008F3F2B">
        <w:t xml:space="preserve">, and a </w:t>
      </w:r>
      <w:r>
        <w:t xml:space="preserve">recommendation to award the contract to </w:t>
      </w:r>
      <w:proofErr w:type="spellStart"/>
      <w:r>
        <w:t>TiC</w:t>
      </w:r>
      <w:proofErr w:type="spellEnd"/>
      <w:r>
        <w:t xml:space="preserve"> Mobile Limited (</w:t>
      </w:r>
      <w:proofErr w:type="spellStart"/>
      <w:r>
        <w:t>TiC</w:t>
      </w:r>
      <w:proofErr w:type="spellEnd"/>
      <w:r>
        <w:t xml:space="preserve"> Mobile) was approved on 9</w:t>
      </w:r>
      <w:r w:rsidR="008F3F2B">
        <w:t> </w:t>
      </w:r>
      <w:r>
        <w:t>December</w:t>
      </w:r>
      <w:r w:rsidR="008F3F2B">
        <w:t>. O</w:t>
      </w:r>
      <w:r>
        <w:t xml:space="preserve">n 15 December, RBC shared </w:t>
      </w:r>
      <w:r w:rsidR="00ED71B9">
        <w:t xml:space="preserve">with bidders </w:t>
      </w:r>
      <w:r>
        <w:t>the outcome of the provider selection process.</w:t>
      </w:r>
    </w:p>
    <w:p w14:paraId="198F53B9" w14:textId="3C2B6DCB" w:rsidR="00172236" w:rsidRPr="00D76BAB" w:rsidRDefault="00172236" w:rsidP="00172236">
      <w:pPr>
        <w:pStyle w:val="ListParagraph"/>
      </w:pPr>
      <w:r w:rsidRPr="00AB55D3">
        <w:rPr>
          <w:rFonts w:eastAsia="Times New Roman" w:cs="Arial"/>
          <w:color w:val="000000"/>
          <w:lang w:eastAsia="en-GB"/>
        </w:rPr>
        <w:t xml:space="preserve">On 19 December, Digital Autopsy made representations to RBC, setting out its concerns about the provider selection process, including </w:t>
      </w:r>
      <w:r w:rsidR="00ED71B9">
        <w:rPr>
          <w:rFonts w:eastAsia="Times New Roman" w:cs="Arial"/>
          <w:color w:val="000000"/>
          <w:lang w:eastAsia="en-GB"/>
        </w:rPr>
        <w:t xml:space="preserve">that a contract award notice had not been </w:t>
      </w:r>
      <w:r w:rsidRPr="00AB55D3">
        <w:rPr>
          <w:rFonts w:eastAsia="Times New Roman" w:cs="Arial"/>
          <w:color w:val="000000"/>
          <w:lang w:eastAsia="en-GB"/>
        </w:rPr>
        <w:t>published, and requesting information about the provider selection process.</w:t>
      </w:r>
      <w:r w:rsidR="00AB55D3" w:rsidRPr="00AB55D3">
        <w:rPr>
          <w:rFonts w:eastAsia="Times New Roman" w:cs="Arial"/>
          <w:color w:val="000000"/>
          <w:lang w:eastAsia="en-GB"/>
        </w:rPr>
        <w:t xml:space="preserve"> </w:t>
      </w:r>
      <w:r w:rsidRPr="00AF3C75">
        <w:rPr>
          <w:lang w:eastAsia="en-GB"/>
        </w:rPr>
        <w:t>RBC, in responding to Digital Autopsy’s representations on 23 December 2025,</w:t>
      </w:r>
      <w:r>
        <w:rPr>
          <w:lang w:eastAsia="en-GB"/>
        </w:rPr>
        <w:t xml:space="preserve"> acknowledged that it</w:t>
      </w:r>
      <w:r w:rsidRPr="00AF3C75">
        <w:rPr>
          <w:lang w:eastAsia="en-GB"/>
        </w:rPr>
        <w:t xml:space="preserve"> had “failed to issue the [contract award] notice in a timely manner”. RBC shared updated </w:t>
      </w:r>
      <w:r w:rsidR="00590625">
        <w:rPr>
          <w:lang w:eastAsia="en-GB"/>
        </w:rPr>
        <w:t xml:space="preserve">tender </w:t>
      </w:r>
      <w:r w:rsidRPr="00AF3C75">
        <w:rPr>
          <w:lang w:eastAsia="en-GB"/>
        </w:rPr>
        <w:t xml:space="preserve">outcome letters </w:t>
      </w:r>
      <w:r>
        <w:rPr>
          <w:lang w:eastAsia="en-GB"/>
        </w:rPr>
        <w:t xml:space="preserve">and published the contract award notice that </w:t>
      </w:r>
      <w:r w:rsidR="00590625">
        <w:rPr>
          <w:lang w:eastAsia="en-GB"/>
        </w:rPr>
        <w:t xml:space="preserve">same </w:t>
      </w:r>
      <w:r>
        <w:rPr>
          <w:lang w:eastAsia="en-GB"/>
        </w:rPr>
        <w:t>day</w:t>
      </w:r>
      <w:r w:rsidRPr="00AF3C75">
        <w:rPr>
          <w:lang w:eastAsia="en-GB"/>
        </w:rPr>
        <w:t>.</w:t>
      </w:r>
    </w:p>
    <w:p w14:paraId="37C1F5B0" w14:textId="05F1EC7D" w:rsidR="00172236" w:rsidRDefault="00172236" w:rsidP="00172236">
      <w:pPr>
        <w:pStyle w:val="ListParagraph"/>
      </w:pPr>
      <w:r w:rsidRPr="00AB55D3">
        <w:rPr>
          <w:rFonts w:eastAsia="Times New Roman" w:cs="Arial"/>
          <w:color w:val="000000"/>
          <w:lang w:eastAsia="en-GB"/>
        </w:rPr>
        <w:t>On 30 December 2025, Digital Autopsy made further representations. RBC responded on 8 January 2025</w:t>
      </w:r>
      <w:r>
        <w:t xml:space="preserve">, communicating its further decision to continue with the award of the contract to </w:t>
      </w:r>
      <w:proofErr w:type="spellStart"/>
      <w:r>
        <w:t>TiC</w:t>
      </w:r>
      <w:proofErr w:type="spellEnd"/>
      <w:r>
        <w:t xml:space="preserve"> Mobile. In response, Digital Autopsy made another set of representations to RBC on 12 January 2025 and reiterated its requests for information.</w:t>
      </w:r>
      <w:r w:rsidR="00AB55D3">
        <w:t xml:space="preserve"> </w:t>
      </w:r>
      <w:r w:rsidR="001657C8">
        <w:t xml:space="preserve">RBC responded </w:t>
      </w:r>
      <w:r w:rsidR="001657C8" w:rsidRPr="00684EE8">
        <w:rPr>
          <w:lang w:eastAsia="en-GB"/>
        </w:rPr>
        <w:t xml:space="preserve">to Digital Autopsy's </w:t>
      </w:r>
      <w:r w:rsidR="005E2E8C">
        <w:rPr>
          <w:lang w:eastAsia="en-GB"/>
        </w:rPr>
        <w:t xml:space="preserve">third set of </w:t>
      </w:r>
      <w:r w:rsidR="001657C8" w:rsidRPr="00684EE8">
        <w:rPr>
          <w:lang w:eastAsia="en-GB"/>
        </w:rPr>
        <w:t>representations</w:t>
      </w:r>
      <w:r w:rsidR="001657C8">
        <w:rPr>
          <w:lang w:eastAsia="en-GB"/>
        </w:rPr>
        <w:t xml:space="preserve"> on 13 January 2026, communicating its intention to continue with the award of the contract to </w:t>
      </w:r>
      <w:proofErr w:type="spellStart"/>
      <w:r w:rsidR="001657C8">
        <w:rPr>
          <w:lang w:eastAsia="en-GB"/>
        </w:rPr>
        <w:t>TiC</w:t>
      </w:r>
      <w:proofErr w:type="spellEnd"/>
      <w:r w:rsidR="001657C8">
        <w:rPr>
          <w:lang w:eastAsia="en-GB"/>
        </w:rPr>
        <w:t xml:space="preserve"> Mobile.</w:t>
      </w:r>
    </w:p>
    <w:p w14:paraId="68907365" w14:textId="77777777" w:rsidR="00F82087" w:rsidRDefault="00BD522D" w:rsidP="007825E9">
      <w:pPr>
        <w:pStyle w:val="ListParagraph"/>
      </w:pPr>
      <w:r>
        <w:t xml:space="preserve">The Panel, </w:t>
      </w:r>
      <w:r w:rsidR="002748A3">
        <w:t>in its review</w:t>
      </w:r>
      <w:r w:rsidR="00C2147E">
        <w:t xml:space="preserve"> of Digital Autopsy’s representations</w:t>
      </w:r>
      <w:r>
        <w:t xml:space="preserve">, has focused on whether post-mortem imaging services fall within the scope of the </w:t>
      </w:r>
      <w:r w:rsidR="00DD3080">
        <w:t>PSR</w:t>
      </w:r>
      <w:r w:rsidR="00F82087">
        <w:t>.</w:t>
      </w:r>
    </w:p>
    <w:p w14:paraId="5C99F003" w14:textId="75704590" w:rsidR="007E6C27" w:rsidRDefault="00BA70AA" w:rsidP="00561AC0">
      <w:pPr>
        <w:pStyle w:val="ListParagraph"/>
      </w:pPr>
      <w:r>
        <w:t>Regulation 3(1) of the PSR regulations</w:t>
      </w:r>
      <w:r w:rsidR="00F82087">
        <w:t xml:space="preserve"> </w:t>
      </w:r>
      <w:r w:rsidRPr="00F82087">
        <w:rPr>
          <w:rFonts w:cs="Arial"/>
        </w:rPr>
        <w:t>says that the PSR regulations “</w:t>
      </w:r>
      <w:r w:rsidRPr="00241D21">
        <w:t>apply where a relevant authority procures relevant health care services for the purposes of the health service in England</w:t>
      </w:r>
      <w:r w:rsidRPr="00F82087">
        <w:rPr>
          <w:rFonts w:cs="Arial"/>
        </w:rPr>
        <w:t>”.</w:t>
      </w:r>
      <w:r w:rsidR="00F82087" w:rsidRPr="00F82087">
        <w:rPr>
          <w:rFonts w:cs="Arial"/>
        </w:rPr>
        <w:t xml:space="preserve"> </w:t>
      </w:r>
      <w:r w:rsidR="009E1B8D">
        <w:t>T</w:t>
      </w:r>
      <w:r w:rsidR="00561AC0" w:rsidRPr="008A234C">
        <w:t>he Panel find</w:t>
      </w:r>
      <w:r w:rsidR="00561AC0">
        <w:t>s that RBC’s procurement of post-mortem imaging services falls outside the scope of the PSR</w:t>
      </w:r>
      <w:r w:rsidR="007E6C27">
        <w:t xml:space="preserve"> </w:t>
      </w:r>
      <w:r w:rsidR="00561AC0">
        <w:t>because: (</w:t>
      </w:r>
      <w:proofErr w:type="spellStart"/>
      <w:r w:rsidR="00561AC0">
        <w:t>i</w:t>
      </w:r>
      <w:proofErr w:type="spellEnd"/>
      <w:r w:rsidR="00561AC0">
        <w:t xml:space="preserve">) post-mortem imaging services are not a relevant health care service; and (ii) RBC’s procurement of </w:t>
      </w:r>
      <w:r w:rsidR="00CB3B4F">
        <w:t xml:space="preserve">a </w:t>
      </w:r>
      <w:r w:rsidR="00561AC0">
        <w:t>post-mortem imaging service is not for the purposes of the health service in England.</w:t>
      </w:r>
    </w:p>
    <w:p w14:paraId="34FE8183" w14:textId="091A9A31" w:rsidR="00561AC0" w:rsidRDefault="00561AC0" w:rsidP="00561AC0">
      <w:pPr>
        <w:pStyle w:val="ListParagraph"/>
      </w:pPr>
      <w:r>
        <w:t>As a result, the Panel advises RBC to abandon the current provider selection process.</w:t>
      </w:r>
    </w:p>
    <w:p w14:paraId="227BBE99" w14:textId="62B4743A" w:rsidR="00531C67" w:rsidRPr="009C72A1" w:rsidRDefault="00531C67" w:rsidP="00AC232B">
      <w:pPr>
        <w:pStyle w:val="Heading1"/>
      </w:pPr>
      <w:bookmarkStart w:id="1" w:name="_Toc222220117"/>
      <w:r w:rsidRPr="009C72A1">
        <w:lastRenderedPageBreak/>
        <w:t>Introduction</w:t>
      </w:r>
      <w:bookmarkEnd w:id="1"/>
    </w:p>
    <w:p w14:paraId="6925104F" w14:textId="10CA8973" w:rsidR="00D479ED" w:rsidRPr="00F17760" w:rsidRDefault="00D479ED" w:rsidP="00E154AF">
      <w:pPr>
        <w:pStyle w:val="ListParagraph"/>
      </w:pPr>
      <w:r>
        <w:t>On</w:t>
      </w:r>
      <w:r w:rsidR="00537BF6">
        <w:t xml:space="preserve"> 14 January 2026</w:t>
      </w:r>
      <w:r w:rsidRPr="00F17760">
        <w:t xml:space="preserve">, </w:t>
      </w:r>
      <w:r w:rsidR="00537BF6" w:rsidRPr="00F17760">
        <w:t>Digital Autopsy</w:t>
      </w:r>
      <w:r w:rsidR="00F17760" w:rsidRPr="00F17760">
        <w:t xml:space="preserve"> UK (Digital Autopsy)</w:t>
      </w:r>
      <w:r w:rsidRPr="00F17760">
        <w:rPr>
          <w:rStyle w:val="FootnoteReference"/>
        </w:rPr>
        <w:footnoteReference w:id="1"/>
      </w:r>
      <w:r w:rsidRPr="00F17760">
        <w:t xml:space="preserve"> asked the Panel to advise on the selection of a provider by </w:t>
      </w:r>
      <w:r w:rsidR="00537BF6" w:rsidRPr="00F17760">
        <w:t>Rochdale Borough Council (RBC)</w:t>
      </w:r>
      <w:r w:rsidR="00D270C3">
        <w:rPr>
          <w:rStyle w:val="FootnoteReference"/>
        </w:rPr>
        <w:footnoteReference w:id="2"/>
      </w:r>
      <w:r w:rsidRPr="00F17760">
        <w:t xml:space="preserve"> for its </w:t>
      </w:r>
      <w:proofErr w:type="gramStart"/>
      <w:r w:rsidR="00F17760" w:rsidRPr="00F17760">
        <w:t>Cross Sectional</w:t>
      </w:r>
      <w:proofErr w:type="gramEnd"/>
      <w:r w:rsidR="00F17760" w:rsidRPr="00F17760">
        <w:t xml:space="preserve"> </w:t>
      </w:r>
      <w:r w:rsidR="00CF4D9F">
        <w:t>Post-Mortem</w:t>
      </w:r>
      <w:r w:rsidR="00F17760" w:rsidRPr="00F17760">
        <w:t xml:space="preserve"> </w:t>
      </w:r>
      <w:r w:rsidR="00113FCB">
        <w:t xml:space="preserve">Imaging </w:t>
      </w:r>
      <w:r w:rsidR="00F17760" w:rsidRPr="00F17760">
        <w:t>S</w:t>
      </w:r>
      <w:r w:rsidRPr="00F17760">
        <w:t>ervice</w:t>
      </w:r>
      <w:r w:rsidR="006C5843">
        <w:t xml:space="preserve"> (post-mortem imaging</w:t>
      </w:r>
      <w:r w:rsidR="006829D5">
        <w:t xml:space="preserve"> service</w:t>
      </w:r>
      <w:r w:rsidR="006C5843">
        <w:t>)</w:t>
      </w:r>
      <w:r w:rsidR="00BB6BC6" w:rsidRPr="00F17760">
        <w:t>.</w:t>
      </w:r>
    </w:p>
    <w:p w14:paraId="3177703D" w14:textId="5F37AC3B" w:rsidR="00280B4D" w:rsidRPr="00C45F3A" w:rsidRDefault="00BB6BC6" w:rsidP="00537BF6">
      <w:pPr>
        <w:pStyle w:val="ListParagraph"/>
      </w:pPr>
      <w:r>
        <w:t xml:space="preserve">The Panel accepted </w:t>
      </w:r>
      <w:r w:rsidR="0092015A">
        <w:t>Digital Autopsy</w:t>
      </w:r>
      <w:r>
        <w:t>’s request on</w:t>
      </w:r>
      <w:r w:rsidR="0092015A">
        <w:t xml:space="preserve"> </w:t>
      </w:r>
      <w:r w:rsidR="005751A7">
        <w:t>15 January 2026</w:t>
      </w:r>
      <w:r w:rsidR="00113FCB">
        <w:t>,</w:t>
      </w:r>
      <w:r>
        <w:t xml:space="preserve"> in accordance with its case acceptance criteria. These criteria set out both eligibility requirements and the prioritisation criteria the Panel appl</w:t>
      </w:r>
      <w:r w:rsidR="00E84C9F">
        <w:t>ies</w:t>
      </w:r>
      <w:r>
        <w:t xml:space="preserve"> when approaching full caseload capacity</w:t>
      </w:r>
      <w:r w:rsidR="00280B4D">
        <w:t>.</w:t>
      </w:r>
      <w:r w:rsidR="00280B4D">
        <w:rPr>
          <w:rStyle w:val="FootnoteReference"/>
        </w:rPr>
        <w:footnoteReference w:id="3"/>
      </w:r>
      <w:r w:rsidR="00280B4D">
        <w:t xml:space="preserve"> </w:t>
      </w:r>
      <w:r w:rsidR="00C45F3A" w:rsidRPr="00C45F3A">
        <w:t>Digital Autopsy</w:t>
      </w:r>
      <w:r w:rsidR="00280B4D" w:rsidRPr="00C45F3A">
        <w:t>’s request met the eligibility requirements and</w:t>
      </w:r>
      <w:r w:rsidR="009E4E1D">
        <w:t>,</w:t>
      </w:r>
      <w:r w:rsidR="00E8580D">
        <w:t xml:space="preserve"> as the Panel had </w:t>
      </w:r>
      <w:r w:rsidR="00DB3CF2">
        <w:t>capacity</w:t>
      </w:r>
      <w:r w:rsidR="009E4E1D">
        <w:t>,</w:t>
      </w:r>
      <w:r w:rsidR="00FB28E1" w:rsidRPr="00C45F3A">
        <w:t xml:space="preserve"> the case was accepted for review. </w:t>
      </w:r>
    </w:p>
    <w:p w14:paraId="15D7BB5B" w14:textId="519DA6F1" w:rsidR="003A673B" w:rsidRDefault="003A673B" w:rsidP="00537BF6">
      <w:pPr>
        <w:pStyle w:val="ListParagraph"/>
        <w:contextualSpacing/>
      </w:pPr>
      <w:r>
        <w:t>The Panel’s Chair appointed three members to a Case Panel for this review, namely:</w:t>
      </w:r>
    </w:p>
    <w:p w14:paraId="123586E4" w14:textId="6213497E" w:rsidR="003A673B" w:rsidRDefault="003A673B" w:rsidP="00141FF1">
      <w:pPr>
        <w:pStyle w:val="ListParagraph"/>
        <w:numPr>
          <w:ilvl w:val="0"/>
          <w:numId w:val="5"/>
        </w:numPr>
        <w:ind w:left="1071" w:hanging="357"/>
        <w:contextualSpacing/>
      </w:pPr>
      <w:r>
        <w:t xml:space="preserve">Andrew </w:t>
      </w:r>
      <w:r w:rsidR="0016324D">
        <w:t>Taylor,</w:t>
      </w:r>
      <w:r>
        <w:t xml:space="preserve"> Panel </w:t>
      </w:r>
      <w:proofErr w:type="gramStart"/>
      <w:r>
        <w:t>Chair;</w:t>
      </w:r>
      <w:proofErr w:type="gramEnd"/>
    </w:p>
    <w:p w14:paraId="6F8A7A3B" w14:textId="211665C9" w:rsidR="003A673B" w:rsidRPr="00F60C08" w:rsidRDefault="00F60C08" w:rsidP="00141FF1">
      <w:pPr>
        <w:pStyle w:val="ListParagraph"/>
        <w:numPr>
          <w:ilvl w:val="0"/>
          <w:numId w:val="5"/>
        </w:numPr>
        <w:ind w:left="1071" w:hanging="357"/>
        <w:contextualSpacing/>
      </w:pPr>
      <w:r w:rsidRPr="00F60C08">
        <w:t>Daria Prigioni</w:t>
      </w:r>
      <w:r w:rsidR="008E4F6C" w:rsidRPr="00F60C08">
        <w:t>, Case Panel Member; and</w:t>
      </w:r>
    </w:p>
    <w:p w14:paraId="1BB3958B" w14:textId="7699C6FD" w:rsidR="008E4F6C" w:rsidRDefault="00F60C08" w:rsidP="00141FF1">
      <w:pPr>
        <w:pStyle w:val="ListParagraph"/>
        <w:numPr>
          <w:ilvl w:val="0"/>
          <w:numId w:val="5"/>
        </w:numPr>
        <w:ind w:left="1071" w:hanging="357"/>
      </w:pPr>
      <w:r w:rsidRPr="00F60C08">
        <w:t>Alison Tonge</w:t>
      </w:r>
      <w:r w:rsidR="008E4F6C" w:rsidRPr="00F60C08">
        <w:t>, Case Panel</w:t>
      </w:r>
      <w:r w:rsidR="008E4F6C">
        <w:t xml:space="preserve"> Member.</w:t>
      </w:r>
      <w:r w:rsidR="008E4F6C">
        <w:rPr>
          <w:rStyle w:val="FootnoteReference"/>
        </w:rPr>
        <w:footnoteReference w:id="4"/>
      </w:r>
    </w:p>
    <w:p w14:paraId="644F2385" w14:textId="51846524" w:rsidR="008E4F6C" w:rsidRDefault="00EB3A9D" w:rsidP="00F60C08">
      <w:pPr>
        <w:pStyle w:val="ListParagraph"/>
      </w:pPr>
      <w:r>
        <w:t>The Case Panel’s review has been carried out in accordance with the Panel’s Standard Operating Procedures.</w:t>
      </w:r>
      <w:r>
        <w:rPr>
          <w:rStyle w:val="FootnoteReference"/>
        </w:rPr>
        <w:footnoteReference w:id="5"/>
      </w:r>
    </w:p>
    <w:p w14:paraId="22AA43DA" w14:textId="3F7676E8" w:rsidR="00EB3A9D" w:rsidRDefault="00EB3A9D" w:rsidP="009A7605">
      <w:pPr>
        <w:pStyle w:val="ListParagraph"/>
        <w:spacing w:after="0"/>
      </w:pPr>
      <w:r>
        <w:t xml:space="preserve">This report provides the Panel’s assessment and advice to </w:t>
      </w:r>
      <w:r w:rsidR="00F60C08" w:rsidRPr="00F60C08">
        <w:t>RBC</w:t>
      </w:r>
      <w:r>
        <w:t xml:space="preserve"> and is set out as follows:</w:t>
      </w:r>
    </w:p>
    <w:p w14:paraId="3AAF9648" w14:textId="3D93E0FE" w:rsidR="00EB3A9D" w:rsidRDefault="00780FB4" w:rsidP="00141FF1">
      <w:pPr>
        <w:pStyle w:val="ListParagraph"/>
        <w:numPr>
          <w:ilvl w:val="0"/>
          <w:numId w:val="6"/>
        </w:numPr>
        <w:ind w:left="1071" w:hanging="357"/>
        <w:contextualSpacing/>
      </w:pPr>
      <w:r>
        <w:t xml:space="preserve">Section 3 briefly describes the role of the </w:t>
      </w:r>
      <w:proofErr w:type="gramStart"/>
      <w:r>
        <w:t>Panel;</w:t>
      </w:r>
      <w:proofErr w:type="gramEnd"/>
    </w:p>
    <w:p w14:paraId="30768FD4" w14:textId="5D468D33" w:rsidR="00780FB4" w:rsidRDefault="00780FB4" w:rsidP="00141FF1">
      <w:pPr>
        <w:pStyle w:val="ListParagraph"/>
        <w:numPr>
          <w:ilvl w:val="0"/>
          <w:numId w:val="6"/>
        </w:numPr>
        <w:ind w:left="1071" w:hanging="357"/>
        <w:contextualSpacing/>
      </w:pPr>
      <w:r>
        <w:t xml:space="preserve">Section 4 sets out the background to the Panel’s </w:t>
      </w:r>
      <w:proofErr w:type="gramStart"/>
      <w:r>
        <w:t>review;</w:t>
      </w:r>
      <w:proofErr w:type="gramEnd"/>
    </w:p>
    <w:p w14:paraId="6AAE6454" w14:textId="79A0BAAC" w:rsidR="00780FB4" w:rsidRPr="002C08CB" w:rsidRDefault="00780FB4" w:rsidP="00141FF1">
      <w:pPr>
        <w:pStyle w:val="ListParagraph"/>
        <w:numPr>
          <w:ilvl w:val="0"/>
          <w:numId w:val="6"/>
        </w:numPr>
        <w:ind w:left="1071" w:hanging="357"/>
        <w:contextualSpacing/>
      </w:pPr>
      <w:r w:rsidRPr="002C08CB">
        <w:t xml:space="preserve">Section 5 sets out the concerns raised by </w:t>
      </w:r>
      <w:r w:rsidR="00F60C08" w:rsidRPr="002C08CB">
        <w:t xml:space="preserve">Digital </w:t>
      </w:r>
      <w:proofErr w:type="gramStart"/>
      <w:r w:rsidR="00F60C08" w:rsidRPr="002C08CB">
        <w:t>Autopsy</w:t>
      </w:r>
      <w:r w:rsidRPr="002C08CB">
        <w:t>;</w:t>
      </w:r>
      <w:proofErr w:type="gramEnd"/>
    </w:p>
    <w:p w14:paraId="3D718A43" w14:textId="43D5A3C4" w:rsidR="00780FB4" w:rsidRPr="002C08CB" w:rsidRDefault="00780FB4" w:rsidP="00141FF1">
      <w:pPr>
        <w:pStyle w:val="ListParagraph"/>
        <w:numPr>
          <w:ilvl w:val="0"/>
          <w:numId w:val="6"/>
        </w:numPr>
        <w:ind w:left="1071" w:hanging="357"/>
        <w:contextualSpacing/>
      </w:pPr>
      <w:r w:rsidRPr="002C08CB">
        <w:t xml:space="preserve">Section </w:t>
      </w:r>
      <w:r w:rsidR="006D2F85">
        <w:t>6</w:t>
      </w:r>
      <w:r w:rsidRPr="002C08CB">
        <w:t xml:space="preserve"> sets out the Panel’s assessment of the issues</w:t>
      </w:r>
      <w:r w:rsidR="00F85E6F" w:rsidRPr="002C08CB">
        <w:t>; and</w:t>
      </w:r>
    </w:p>
    <w:p w14:paraId="343A30FC" w14:textId="76A3D03D" w:rsidR="00F85E6F" w:rsidRPr="002C08CB" w:rsidRDefault="00F85E6F" w:rsidP="00141FF1">
      <w:pPr>
        <w:pStyle w:val="ListParagraph"/>
        <w:numPr>
          <w:ilvl w:val="0"/>
          <w:numId w:val="6"/>
        </w:numPr>
        <w:ind w:left="1071" w:hanging="357"/>
      </w:pPr>
      <w:r w:rsidRPr="002C08CB">
        <w:t xml:space="preserve">Section </w:t>
      </w:r>
      <w:r w:rsidR="006D2F85">
        <w:t>7</w:t>
      </w:r>
      <w:r w:rsidRPr="002C08CB">
        <w:t xml:space="preserve"> sets out the Panel’s advice to </w:t>
      </w:r>
      <w:r w:rsidR="00F60C08" w:rsidRPr="002C08CB">
        <w:t>RBC</w:t>
      </w:r>
      <w:r w:rsidR="009E4E1D">
        <w:t>.</w:t>
      </w:r>
      <w:r w:rsidRPr="002C08CB">
        <w:rPr>
          <w:rStyle w:val="FootnoteReference"/>
        </w:rPr>
        <w:footnoteReference w:id="6"/>
      </w:r>
    </w:p>
    <w:p w14:paraId="6528B4D6" w14:textId="528E0E8C" w:rsidR="00F85E6F" w:rsidRPr="00F60C08" w:rsidRDefault="00F85E6F" w:rsidP="00F60C08">
      <w:pPr>
        <w:pStyle w:val="ListParagraph"/>
      </w:pPr>
      <w:r w:rsidRPr="00F60C08">
        <w:t xml:space="preserve">The Panel thanks </w:t>
      </w:r>
      <w:r w:rsidR="00F60C08" w:rsidRPr="00F60C08">
        <w:t>RBC</w:t>
      </w:r>
      <w:r w:rsidRPr="00F60C08">
        <w:t xml:space="preserve"> and </w:t>
      </w:r>
      <w:r w:rsidR="00F60C08" w:rsidRPr="00F60C08">
        <w:t>Digital Autopsy</w:t>
      </w:r>
      <w:r w:rsidRPr="00F60C08">
        <w:t xml:space="preserve"> for their assistance and cooperation during this review.</w:t>
      </w:r>
    </w:p>
    <w:p w14:paraId="5534081C" w14:textId="12FD16F2" w:rsidR="00E722F9" w:rsidRDefault="00E722F9" w:rsidP="00AC232B">
      <w:pPr>
        <w:pStyle w:val="Heading1"/>
      </w:pPr>
      <w:bookmarkStart w:id="2" w:name="_Toc222220118"/>
      <w:r w:rsidRPr="00E722F9">
        <w:t>Role of the Panel</w:t>
      </w:r>
      <w:bookmarkEnd w:id="2"/>
    </w:p>
    <w:p w14:paraId="42A89983" w14:textId="26B8F928" w:rsidR="00E722F9" w:rsidRPr="002C6F2D" w:rsidRDefault="00800C69" w:rsidP="00537BF6">
      <w:pPr>
        <w:pStyle w:val="ListParagraph"/>
      </w:pPr>
      <w:r w:rsidRPr="002C6F2D">
        <w:t>The P</w:t>
      </w:r>
      <w:r w:rsidR="00E8660D" w:rsidRPr="002C6F2D">
        <w:t xml:space="preserve">rovider </w:t>
      </w:r>
      <w:r w:rsidRPr="002C6F2D">
        <w:t>S</w:t>
      </w:r>
      <w:r w:rsidR="00E8660D" w:rsidRPr="002C6F2D">
        <w:t>election Regime (PS</w:t>
      </w:r>
      <w:r w:rsidRPr="002C6F2D">
        <w:t>R</w:t>
      </w:r>
      <w:r w:rsidR="00E8660D" w:rsidRPr="002C6F2D">
        <w:t>)</w:t>
      </w:r>
      <w:r w:rsidRPr="002C6F2D">
        <w:t xml:space="preserve"> regulations, issued under the Health and Care Act 2022, put </w:t>
      </w:r>
      <w:r w:rsidR="00943ABC">
        <w:t xml:space="preserve">the PSR </w:t>
      </w:r>
      <w:r w:rsidRPr="002C6F2D">
        <w:t xml:space="preserve">into effect for NHS and local authority commissioning of health care services. </w:t>
      </w:r>
      <w:r w:rsidR="00F07723" w:rsidRPr="002C6F2D">
        <w:t xml:space="preserve">The PSR regulations </w:t>
      </w:r>
      <w:r w:rsidR="00396A01" w:rsidRPr="002C6F2D">
        <w:t xml:space="preserve">were adopted </w:t>
      </w:r>
      <w:r w:rsidR="00F07723" w:rsidRPr="002C6F2D">
        <w:t xml:space="preserve">on </w:t>
      </w:r>
      <w:proofErr w:type="gramStart"/>
      <w:r w:rsidR="00F07723" w:rsidRPr="002C6F2D">
        <w:t>1</w:t>
      </w:r>
      <w:r w:rsidR="00782391">
        <w:t> </w:t>
      </w:r>
      <w:r w:rsidR="00F07723" w:rsidRPr="002C6F2D">
        <w:t>January 2024, and</w:t>
      </w:r>
      <w:proofErr w:type="gramEnd"/>
      <w:r w:rsidR="00F07723" w:rsidRPr="002C6F2D">
        <w:t xml:space="preserve"> give</w:t>
      </w:r>
      <w:r w:rsidR="00396A01" w:rsidRPr="002C6F2D">
        <w:t xml:space="preserve"> </w:t>
      </w:r>
      <w:r w:rsidR="00F07723" w:rsidRPr="002C6F2D">
        <w:t>relevant authorities (i.e. commissioners) greater flexibility in selecti</w:t>
      </w:r>
      <w:r w:rsidR="00385701">
        <w:t xml:space="preserve">ng </w:t>
      </w:r>
      <w:r w:rsidR="00F07723" w:rsidRPr="002C6F2D">
        <w:t>providers of health care services.</w:t>
      </w:r>
      <w:r w:rsidR="00F07723" w:rsidRPr="002C08CB">
        <w:rPr>
          <w:rStyle w:val="FootnoteReference"/>
        </w:rPr>
        <w:footnoteReference w:id="7"/>
      </w:r>
    </w:p>
    <w:p w14:paraId="4C59FB0A" w14:textId="5A7A93CB" w:rsidR="00F07723" w:rsidRPr="002C6F2D" w:rsidRDefault="00F07723" w:rsidP="00537BF6">
      <w:pPr>
        <w:pStyle w:val="ListParagraph"/>
      </w:pPr>
      <w:r w:rsidRPr="002C6F2D">
        <w:lastRenderedPageBreak/>
        <w:t>The Panel’s role is to act as an independent review body where a provider has concerns about a commissioner’s provider selection decision. Panel reviews only take place following a commissioner’s review of its original decision.</w:t>
      </w:r>
    </w:p>
    <w:p w14:paraId="1F280246" w14:textId="7A9E849A" w:rsidR="00F07723" w:rsidRPr="002C6F2D" w:rsidRDefault="00FB7CE3" w:rsidP="00537BF6">
      <w:pPr>
        <w:pStyle w:val="ListParagraph"/>
      </w:pPr>
      <w:r w:rsidRPr="002C6F2D">
        <w:t>For each review, the Panel’s assessment and advice is supplied to the commissioner and the provider that has requested the Pane</w:t>
      </w:r>
      <w:r w:rsidR="003977F0" w:rsidRPr="002C6F2D">
        <w:t xml:space="preserve">l’s review. It is also published on the Panel’s webpages. The commissioner is then responsible for reviewing its decision </w:t>
      </w:r>
      <w:proofErr w:type="gramStart"/>
      <w:r w:rsidR="003977F0" w:rsidRPr="002C6F2D">
        <w:t>in light of</w:t>
      </w:r>
      <w:proofErr w:type="gramEnd"/>
      <w:r w:rsidR="003977F0" w:rsidRPr="002C6F2D">
        <w:t xml:space="preserve"> the Panel’s advice.</w:t>
      </w:r>
    </w:p>
    <w:p w14:paraId="55C8BC96" w14:textId="7C9D4446" w:rsidR="008A09C6" w:rsidRDefault="008A09C6" w:rsidP="00AC232B">
      <w:pPr>
        <w:pStyle w:val="Heading1"/>
      </w:pPr>
      <w:bookmarkStart w:id="3" w:name="_Toc222220119"/>
      <w:r>
        <w:t>Background to this review</w:t>
      </w:r>
      <w:bookmarkEnd w:id="3"/>
    </w:p>
    <w:p w14:paraId="4DF98210" w14:textId="755E6E97" w:rsidR="00020135" w:rsidRDefault="00FD4A2D" w:rsidP="00537BF6">
      <w:pPr>
        <w:pStyle w:val="ListParagraph"/>
      </w:pPr>
      <w:r>
        <w:t xml:space="preserve">RBC is </w:t>
      </w:r>
      <w:r w:rsidR="008C4934">
        <w:t xml:space="preserve">seeking to commission </w:t>
      </w:r>
      <w:r w:rsidR="0083511C">
        <w:t xml:space="preserve">a </w:t>
      </w:r>
      <w:r w:rsidR="00CF4D9F">
        <w:t>post-mortem</w:t>
      </w:r>
      <w:r w:rsidR="008C4934">
        <w:t xml:space="preserve"> imaging</w:t>
      </w:r>
      <w:r w:rsidR="00CB4F78">
        <w:t xml:space="preserve"> </w:t>
      </w:r>
      <w:r w:rsidR="00FE16D0">
        <w:t xml:space="preserve">service </w:t>
      </w:r>
      <w:r w:rsidR="00CB4F78">
        <w:t xml:space="preserve">on behalf of the </w:t>
      </w:r>
      <w:proofErr w:type="gramStart"/>
      <w:r w:rsidR="00CB4F78">
        <w:t>Coroner</w:t>
      </w:r>
      <w:proofErr w:type="gramEnd"/>
      <w:r w:rsidR="00CB4F78">
        <w:t xml:space="preserve"> for the </w:t>
      </w:r>
      <w:r w:rsidR="00517885">
        <w:t xml:space="preserve">coronial district of </w:t>
      </w:r>
      <w:r w:rsidR="00807259">
        <w:t>Greater</w:t>
      </w:r>
      <w:r w:rsidR="00CB4F78">
        <w:t xml:space="preserve"> Manchester </w:t>
      </w:r>
      <w:r w:rsidR="008439C8">
        <w:t>North</w:t>
      </w:r>
      <w:r w:rsidR="002B7834">
        <w:t xml:space="preserve">, covering the </w:t>
      </w:r>
      <w:r w:rsidR="00E91B35">
        <w:t>boroughs of</w:t>
      </w:r>
      <w:r w:rsidR="002B7834">
        <w:t xml:space="preserve"> R</w:t>
      </w:r>
      <w:r w:rsidR="003E5FAE">
        <w:t>o</w:t>
      </w:r>
      <w:r w:rsidR="002B7834">
        <w:t xml:space="preserve">chdale, Oldham and Bury. </w:t>
      </w:r>
      <w:r w:rsidR="0020782D">
        <w:t>This new service</w:t>
      </w:r>
      <w:r w:rsidR="00E05B95">
        <w:t xml:space="preserve"> will</w:t>
      </w:r>
      <w:r w:rsidR="0020782D">
        <w:t xml:space="preserve"> </w:t>
      </w:r>
      <w:r w:rsidR="00E05B95">
        <w:t>provid</w:t>
      </w:r>
      <w:r w:rsidR="004E460C">
        <w:t>e</w:t>
      </w:r>
      <w:r w:rsidR="00E05B95">
        <w:t xml:space="preserve"> non-invasive digital scanning examinations, complementing</w:t>
      </w:r>
      <w:r w:rsidR="0020782D">
        <w:t xml:space="preserve"> </w:t>
      </w:r>
      <w:r w:rsidR="00A32841">
        <w:t xml:space="preserve">existing </w:t>
      </w:r>
      <w:r w:rsidR="00CF4D9F">
        <w:t>post-mortem</w:t>
      </w:r>
      <w:r w:rsidR="00A32841">
        <w:t xml:space="preserve"> examination arrangements</w:t>
      </w:r>
      <w:r w:rsidR="0006420A">
        <w:t>.</w:t>
      </w:r>
      <w:r w:rsidR="0006420A">
        <w:rPr>
          <w:rStyle w:val="FootnoteReference"/>
        </w:rPr>
        <w:footnoteReference w:id="8"/>
      </w:r>
    </w:p>
    <w:p w14:paraId="063F23B2" w14:textId="3819C1EF" w:rsidR="008627BA" w:rsidRDefault="006F3A79" w:rsidP="00AF4CD4">
      <w:pPr>
        <w:pStyle w:val="ListParagraph"/>
      </w:pPr>
      <w:r>
        <w:t xml:space="preserve">On 22 April 2025, RBC </w:t>
      </w:r>
      <w:r w:rsidR="005B1D3C">
        <w:t>began</w:t>
      </w:r>
      <w:r w:rsidR="005A602E">
        <w:t xml:space="preserve"> a competitive process </w:t>
      </w:r>
      <w:r w:rsidR="005B1D3C">
        <w:t xml:space="preserve">under the PSR regulations </w:t>
      </w:r>
      <w:r w:rsidR="005C16FD">
        <w:t xml:space="preserve">to </w:t>
      </w:r>
      <w:r w:rsidR="007E5A36">
        <w:t xml:space="preserve">select a provider </w:t>
      </w:r>
      <w:r w:rsidR="00E55049">
        <w:t>for</w:t>
      </w:r>
      <w:r w:rsidR="00132BBC">
        <w:t xml:space="preserve"> the </w:t>
      </w:r>
      <w:r w:rsidR="00CF4D9F">
        <w:t>post-mortem</w:t>
      </w:r>
      <w:r w:rsidR="005C16FD">
        <w:t xml:space="preserve"> imaging</w:t>
      </w:r>
      <w:r w:rsidR="00C608B0">
        <w:t xml:space="preserve"> service</w:t>
      </w:r>
      <w:r w:rsidR="00210D68">
        <w:t xml:space="preserve">. </w:t>
      </w:r>
      <w:r w:rsidR="007E5A36">
        <w:t xml:space="preserve">The </w:t>
      </w:r>
      <w:r w:rsidR="60CFD3A2">
        <w:t>proposed</w:t>
      </w:r>
      <w:r w:rsidR="007E5A36">
        <w:t xml:space="preserve"> contract has a </w:t>
      </w:r>
      <w:proofErr w:type="gramStart"/>
      <w:r w:rsidR="007E5A36">
        <w:t>five year</w:t>
      </w:r>
      <w:proofErr w:type="gramEnd"/>
      <w:r w:rsidR="007E5A36">
        <w:t xml:space="preserve"> duration with the option of a </w:t>
      </w:r>
      <w:proofErr w:type="gramStart"/>
      <w:r w:rsidR="007E5A36">
        <w:t>five year</w:t>
      </w:r>
      <w:proofErr w:type="gramEnd"/>
      <w:r w:rsidR="007E5A36">
        <w:t xml:space="preserve"> extension. The intended start date </w:t>
      </w:r>
      <w:r w:rsidR="000B7ABA">
        <w:t xml:space="preserve">for the contract was </w:t>
      </w:r>
      <w:r w:rsidR="006C1656">
        <w:t xml:space="preserve">15 </w:t>
      </w:r>
      <w:r w:rsidR="000B7ABA">
        <w:t>July 2025</w:t>
      </w:r>
      <w:r w:rsidR="00210D68">
        <w:t xml:space="preserve"> </w:t>
      </w:r>
      <w:r w:rsidR="0063462E">
        <w:t xml:space="preserve">(later revised to 2 February 2026) </w:t>
      </w:r>
      <w:r w:rsidR="000B7ABA">
        <w:t xml:space="preserve">and the total </w:t>
      </w:r>
      <w:r w:rsidR="001A05AA">
        <w:t xml:space="preserve">value </w:t>
      </w:r>
      <w:r w:rsidR="002B1CDB">
        <w:t xml:space="preserve">of the contract </w:t>
      </w:r>
      <w:r w:rsidR="006435EC">
        <w:t xml:space="preserve">over the </w:t>
      </w:r>
      <w:r w:rsidR="002B1CDB">
        <w:t xml:space="preserve">full </w:t>
      </w:r>
      <w:proofErr w:type="gramStart"/>
      <w:r w:rsidR="006435EC">
        <w:t>ten year</w:t>
      </w:r>
      <w:proofErr w:type="gramEnd"/>
      <w:r w:rsidR="006435EC">
        <w:t xml:space="preserve"> </w:t>
      </w:r>
      <w:r w:rsidR="002B1CDB">
        <w:t xml:space="preserve">duration </w:t>
      </w:r>
      <w:r w:rsidR="000B7ABA">
        <w:t>is approximately £3.7 million (excluding VAT).</w:t>
      </w:r>
      <w:r w:rsidR="000B7ABA">
        <w:rPr>
          <w:rStyle w:val="FootnoteReference"/>
        </w:rPr>
        <w:footnoteReference w:id="9"/>
      </w:r>
    </w:p>
    <w:p w14:paraId="6FFCCB6F" w14:textId="4F31C664" w:rsidR="00AB7D25" w:rsidRDefault="00AE3FD1" w:rsidP="00AF4CD4">
      <w:pPr>
        <w:pStyle w:val="ListParagraph"/>
      </w:pPr>
      <w:r w:rsidRPr="00F87947">
        <w:t xml:space="preserve">The deadline for proposals was </w:t>
      </w:r>
      <w:r w:rsidR="001A05AA" w:rsidRPr="00F87947">
        <w:t xml:space="preserve">23 May 2025, and RBC received </w:t>
      </w:r>
      <w:r w:rsidR="00036DFF" w:rsidRPr="00F87947">
        <w:t>bids from three providers.</w:t>
      </w:r>
      <w:r w:rsidR="00DE608F">
        <w:t xml:space="preserve"> </w:t>
      </w:r>
      <w:r w:rsidR="008B29E9">
        <w:t xml:space="preserve">RBC </w:t>
      </w:r>
      <w:r w:rsidR="002A57EF">
        <w:t xml:space="preserve">completed its </w:t>
      </w:r>
      <w:r w:rsidR="00A26E51">
        <w:t>evaluation in November and</w:t>
      </w:r>
      <w:r w:rsidR="003D4191">
        <w:t xml:space="preserve"> </w:t>
      </w:r>
      <w:r w:rsidR="0025477C">
        <w:t>a</w:t>
      </w:r>
      <w:r w:rsidR="00C27547">
        <w:t xml:space="preserve"> </w:t>
      </w:r>
      <w:r w:rsidR="00073A32">
        <w:t xml:space="preserve">recommendation </w:t>
      </w:r>
      <w:r w:rsidR="00EF7A00">
        <w:t xml:space="preserve">to </w:t>
      </w:r>
      <w:r w:rsidR="00073A32">
        <w:t xml:space="preserve">award the contract to </w:t>
      </w:r>
      <w:proofErr w:type="spellStart"/>
      <w:r w:rsidR="00EF7A00">
        <w:t>TiC</w:t>
      </w:r>
      <w:proofErr w:type="spellEnd"/>
      <w:r w:rsidR="00EF7A00">
        <w:t xml:space="preserve"> Mobile</w:t>
      </w:r>
      <w:r w:rsidR="0092168F">
        <w:t xml:space="preserve"> Limited (</w:t>
      </w:r>
      <w:proofErr w:type="spellStart"/>
      <w:r w:rsidR="0092168F">
        <w:t>TiC</w:t>
      </w:r>
      <w:proofErr w:type="spellEnd"/>
      <w:r w:rsidR="0092168F">
        <w:t xml:space="preserve"> Mobile)</w:t>
      </w:r>
      <w:r w:rsidR="009818CE">
        <w:rPr>
          <w:rStyle w:val="FootnoteReference"/>
        </w:rPr>
        <w:footnoteReference w:id="10"/>
      </w:r>
      <w:r w:rsidR="002A57EF">
        <w:t xml:space="preserve"> </w:t>
      </w:r>
      <w:r w:rsidR="003D4191">
        <w:t xml:space="preserve">was </w:t>
      </w:r>
      <w:r w:rsidR="00BA16DB">
        <w:t xml:space="preserve">approved </w:t>
      </w:r>
      <w:r w:rsidR="009C0377">
        <w:t>on</w:t>
      </w:r>
      <w:r w:rsidR="0092168F">
        <w:t xml:space="preserve"> </w:t>
      </w:r>
      <w:r w:rsidR="00BA16DB">
        <w:t>9</w:t>
      </w:r>
      <w:r w:rsidR="003D4191">
        <w:t xml:space="preserve"> December</w:t>
      </w:r>
      <w:r w:rsidR="002A57EF">
        <w:t>.</w:t>
      </w:r>
    </w:p>
    <w:p w14:paraId="5A499FD7" w14:textId="63343CA7" w:rsidR="00AF3C75" w:rsidRPr="00AF3C75" w:rsidRDefault="00AB7D25" w:rsidP="00AF4CD4">
      <w:pPr>
        <w:pStyle w:val="ListParagraph"/>
      </w:pPr>
      <w:r>
        <w:t xml:space="preserve">On 15 December 2025, RBC shared </w:t>
      </w:r>
      <w:r w:rsidR="00801C49">
        <w:t xml:space="preserve">with bidders </w:t>
      </w:r>
      <w:r>
        <w:t>the outcome of the provider selection process</w:t>
      </w:r>
      <w:r w:rsidR="003F028C">
        <w:t xml:space="preserve">, </w:t>
      </w:r>
      <w:r w:rsidR="00DA691C">
        <w:t>and</w:t>
      </w:r>
      <w:r w:rsidR="003F028C">
        <w:t xml:space="preserve"> </w:t>
      </w:r>
      <w:r w:rsidR="00D06EE8">
        <w:t xml:space="preserve">Digital Autopsy </w:t>
      </w:r>
      <w:r w:rsidR="00DA691C">
        <w:t xml:space="preserve">was informed </w:t>
      </w:r>
      <w:r w:rsidR="003F028C">
        <w:t xml:space="preserve">that its bid had been excluded from the </w:t>
      </w:r>
      <w:r w:rsidR="00DA691C">
        <w:t>provider selection process</w:t>
      </w:r>
      <w:r w:rsidR="00DB5867">
        <w:t xml:space="preserve">. </w:t>
      </w:r>
      <w:r w:rsidR="004F1B2E" w:rsidRPr="00AF3C75">
        <w:rPr>
          <w:rFonts w:eastAsia="Times New Roman" w:cs="Arial"/>
          <w:color w:val="000000"/>
          <w:lang w:eastAsia="en-GB"/>
        </w:rPr>
        <w:t xml:space="preserve">On 19 December, Digital Autopsy </w:t>
      </w:r>
      <w:r w:rsidR="00437230">
        <w:rPr>
          <w:rFonts w:eastAsia="Times New Roman" w:cs="Arial"/>
          <w:color w:val="000000"/>
          <w:lang w:eastAsia="en-GB"/>
        </w:rPr>
        <w:t>made</w:t>
      </w:r>
      <w:r w:rsidR="004F1B2E" w:rsidRPr="00AF3C75">
        <w:rPr>
          <w:rFonts w:eastAsia="Times New Roman" w:cs="Arial"/>
          <w:color w:val="000000"/>
          <w:lang w:eastAsia="en-GB"/>
        </w:rPr>
        <w:t xml:space="preserve"> representations to RBC, setting out its concerns about the provider selection process</w:t>
      </w:r>
      <w:r w:rsidR="00E533BD">
        <w:rPr>
          <w:rFonts w:eastAsia="Times New Roman" w:cs="Arial"/>
          <w:color w:val="000000"/>
          <w:lang w:eastAsia="en-GB"/>
        </w:rPr>
        <w:t xml:space="preserve">, including </w:t>
      </w:r>
      <w:r w:rsidR="00801C49">
        <w:rPr>
          <w:rFonts w:eastAsia="Times New Roman" w:cs="Arial"/>
          <w:color w:val="000000"/>
          <w:lang w:eastAsia="en-GB"/>
        </w:rPr>
        <w:t xml:space="preserve">that a contract award notice had not been </w:t>
      </w:r>
      <w:r w:rsidR="00E533BD">
        <w:rPr>
          <w:rFonts w:eastAsia="Times New Roman" w:cs="Arial"/>
          <w:color w:val="000000"/>
          <w:lang w:eastAsia="en-GB"/>
        </w:rPr>
        <w:t>published,</w:t>
      </w:r>
      <w:r w:rsidR="00615FBB">
        <w:rPr>
          <w:rFonts w:eastAsia="Times New Roman" w:cs="Arial"/>
          <w:color w:val="000000"/>
          <w:lang w:eastAsia="en-GB"/>
        </w:rPr>
        <w:t xml:space="preserve"> and requesting </w:t>
      </w:r>
      <w:r w:rsidR="004F1B2E" w:rsidRPr="00AF3C75">
        <w:rPr>
          <w:rFonts w:eastAsia="Times New Roman" w:cs="Arial"/>
          <w:color w:val="000000"/>
          <w:lang w:eastAsia="en-GB"/>
        </w:rPr>
        <w:t>information</w:t>
      </w:r>
      <w:r w:rsidR="00EC5808">
        <w:rPr>
          <w:rFonts w:eastAsia="Times New Roman" w:cs="Arial"/>
          <w:color w:val="000000"/>
          <w:lang w:eastAsia="en-GB"/>
        </w:rPr>
        <w:t xml:space="preserve"> about the provider selection process</w:t>
      </w:r>
      <w:r w:rsidR="004F1B2E" w:rsidRPr="00AF3C75">
        <w:rPr>
          <w:rFonts w:eastAsia="Times New Roman" w:cs="Arial"/>
          <w:color w:val="000000"/>
          <w:lang w:eastAsia="en-GB"/>
        </w:rPr>
        <w:t>.</w:t>
      </w:r>
      <w:r w:rsidR="00643168">
        <w:rPr>
          <w:rStyle w:val="FootnoteReference"/>
          <w:rFonts w:eastAsia="Times New Roman" w:cs="Arial"/>
          <w:color w:val="000000"/>
          <w:lang w:eastAsia="en-GB"/>
        </w:rPr>
        <w:footnoteReference w:id="11"/>
      </w:r>
    </w:p>
    <w:p w14:paraId="500FBAFA" w14:textId="09A6E52B" w:rsidR="00D76BAB" w:rsidRPr="00D76BAB" w:rsidRDefault="00E5610C" w:rsidP="00AF4CD4">
      <w:pPr>
        <w:pStyle w:val="ListParagraph"/>
      </w:pPr>
      <w:r w:rsidRPr="00AF3C75">
        <w:rPr>
          <w:lang w:eastAsia="en-GB"/>
        </w:rPr>
        <w:t>RBC, in responding to Digital Autopsy’s representations on 23 December 2025,</w:t>
      </w:r>
      <w:r w:rsidR="00974CE2">
        <w:rPr>
          <w:lang w:eastAsia="en-GB"/>
        </w:rPr>
        <w:t xml:space="preserve"> acknowledged that it</w:t>
      </w:r>
      <w:r w:rsidRPr="00AF3C75">
        <w:rPr>
          <w:lang w:eastAsia="en-GB"/>
        </w:rPr>
        <w:t xml:space="preserve"> </w:t>
      </w:r>
      <w:r w:rsidR="00195145" w:rsidRPr="00AF3C75">
        <w:rPr>
          <w:lang w:eastAsia="en-GB"/>
        </w:rPr>
        <w:t>had “failed to issue the [contract award] notice in a timely manner”</w:t>
      </w:r>
      <w:r w:rsidR="00D76BAB" w:rsidRPr="00AF3C75">
        <w:rPr>
          <w:lang w:eastAsia="en-GB"/>
        </w:rPr>
        <w:t>.</w:t>
      </w:r>
      <w:r w:rsidR="00F43F6B">
        <w:rPr>
          <w:rStyle w:val="FootnoteReference"/>
          <w:rFonts w:eastAsia="Times New Roman" w:cs="Arial"/>
          <w:color w:val="000000"/>
          <w:lang w:eastAsia="en-GB"/>
        </w:rPr>
        <w:footnoteReference w:id="12"/>
      </w:r>
      <w:r w:rsidR="00D76BAB" w:rsidRPr="00AF3C75">
        <w:rPr>
          <w:lang w:eastAsia="en-GB"/>
        </w:rPr>
        <w:t xml:space="preserve"> RBC shared updated </w:t>
      </w:r>
      <w:r w:rsidR="00A65B3E">
        <w:rPr>
          <w:lang w:eastAsia="en-GB"/>
        </w:rPr>
        <w:t xml:space="preserve">tender </w:t>
      </w:r>
      <w:r w:rsidR="00D76BAB" w:rsidRPr="00AF3C75">
        <w:rPr>
          <w:lang w:eastAsia="en-GB"/>
        </w:rPr>
        <w:t xml:space="preserve">outcome letters </w:t>
      </w:r>
      <w:r w:rsidR="00136047">
        <w:rPr>
          <w:lang w:eastAsia="en-GB"/>
        </w:rPr>
        <w:t xml:space="preserve">and published </w:t>
      </w:r>
      <w:r w:rsidR="00DF6270">
        <w:rPr>
          <w:lang w:eastAsia="en-GB"/>
        </w:rPr>
        <w:t>a</w:t>
      </w:r>
      <w:r w:rsidR="00136047">
        <w:rPr>
          <w:lang w:eastAsia="en-GB"/>
        </w:rPr>
        <w:t xml:space="preserve"> </w:t>
      </w:r>
      <w:r w:rsidR="004A7987">
        <w:rPr>
          <w:lang w:eastAsia="en-GB"/>
        </w:rPr>
        <w:t>contract award notice</w:t>
      </w:r>
      <w:r w:rsidR="00136047">
        <w:rPr>
          <w:lang w:eastAsia="en-GB"/>
        </w:rPr>
        <w:t xml:space="preserve"> </w:t>
      </w:r>
      <w:r w:rsidR="005C60BB">
        <w:rPr>
          <w:lang w:eastAsia="en-GB"/>
        </w:rPr>
        <w:t xml:space="preserve">that </w:t>
      </w:r>
      <w:r w:rsidR="00A65B3E">
        <w:rPr>
          <w:lang w:eastAsia="en-GB"/>
        </w:rPr>
        <w:t xml:space="preserve">same </w:t>
      </w:r>
      <w:r w:rsidR="005C60BB">
        <w:rPr>
          <w:lang w:eastAsia="en-GB"/>
        </w:rPr>
        <w:t>day</w:t>
      </w:r>
      <w:r w:rsidR="00D76BAB" w:rsidRPr="00AF3C75">
        <w:rPr>
          <w:lang w:eastAsia="en-GB"/>
        </w:rPr>
        <w:t>.</w:t>
      </w:r>
      <w:r w:rsidR="00CF15D8">
        <w:rPr>
          <w:rStyle w:val="FootnoteReference"/>
          <w:rFonts w:eastAsia="Times New Roman" w:cs="Arial"/>
          <w:color w:val="000000"/>
          <w:lang w:eastAsia="en-GB"/>
        </w:rPr>
        <w:footnoteReference w:id="13"/>
      </w:r>
    </w:p>
    <w:p w14:paraId="4AE20B5E" w14:textId="64556AFB" w:rsidR="00A2792D" w:rsidRDefault="00350D53" w:rsidP="00AF4CD4">
      <w:pPr>
        <w:pStyle w:val="ListParagraph"/>
      </w:pPr>
      <w:r>
        <w:rPr>
          <w:rFonts w:eastAsia="Times New Roman" w:cs="Arial"/>
          <w:color w:val="000000"/>
          <w:lang w:eastAsia="en-GB"/>
        </w:rPr>
        <w:t xml:space="preserve">On </w:t>
      </w:r>
      <w:r w:rsidR="00907D25">
        <w:rPr>
          <w:rFonts w:eastAsia="Times New Roman" w:cs="Arial"/>
          <w:color w:val="000000"/>
          <w:lang w:eastAsia="en-GB"/>
        </w:rPr>
        <w:t>30 December 2025</w:t>
      </w:r>
      <w:r w:rsidR="00DF7A60">
        <w:rPr>
          <w:rFonts w:eastAsia="Times New Roman" w:cs="Arial"/>
          <w:color w:val="000000"/>
          <w:lang w:eastAsia="en-GB"/>
        </w:rPr>
        <w:t>,</w:t>
      </w:r>
      <w:r w:rsidR="00643168">
        <w:rPr>
          <w:rFonts w:eastAsia="Times New Roman" w:cs="Arial"/>
          <w:color w:val="000000"/>
          <w:lang w:eastAsia="en-GB"/>
        </w:rPr>
        <w:t xml:space="preserve"> </w:t>
      </w:r>
      <w:r w:rsidR="00907D25">
        <w:rPr>
          <w:rFonts w:eastAsia="Times New Roman" w:cs="Arial"/>
          <w:color w:val="000000"/>
          <w:lang w:eastAsia="en-GB"/>
        </w:rPr>
        <w:t>Digital Autopsy made further representations</w:t>
      </w:r>
      <w:r w:rsidR="00EE0193">
        <w:rPr>
          <w:rFonts w:eastAsia="Times New Roman" w:cs="Arial"/>
          <w:color w:val="000000"/>
          <w:lang w:eastAsia="en-GB"/>
        </w:rPr>
        <w:t>.</w:t>
      </w:r>
      <w:r w:rsidR="00643168">
        <w:rPr>
          <w:rFonts w:eastAsia="Times New Roman" w:cs="Arial"/>
          <w:color w:val="000000"/>
          <w:lang w:eastAsia="en-GB"/>
        </w:rPr>
        <w:t xml:space="preserve"> RBC responded on </w:t>
      </w:r>
      <w:r>
        <w:rPr>
          <w:rFonts w:eastAsia="Times New Roman" w:cs="Arial"/>
          <w:color w:val="000000"/>
          <w:lang w:eastAsia="en-GB"/>
        </w:rPr>
        <w:t>8 January 202</w:t>
      </w:r>
      <w:r w:rsidR="005E2E8C">
        <w:rPr>
          <w:rFonts w:eastAsia="Times New Roman" w:cs="Arial"/>
          <w:color w:val="000000"/>
          <w:lang w:eastAsia="en-GB"/>
        </w:rPr>
        <w:t>6</w:t>
      </w:r>
      <w:r w:rsidR="00665374">
        <w:t xml:space="preserve">, communicating its </w:t>
      </w:r>
      <w:r w:rsidR="002D5882">
        <w:t xml:space="preserve">further </w:t>
      </w:r>
      <w:r w:rsidR="00665374">
        <w:t xml:space="preserve">decision to continue </w:t>
      </w:r>
      <w:r w:rsidR="001D5EBC">
        <w:t xml:space="preserve">with the award of the contract to </w:t>
      </w:r>
      <w:proofErr w:type="spellStart"/>
      <w:r w:rsidR="001D5EBC">
        <w:t>TiC</w:t>
      </w:r>
      <w:proofErr w:type="spellEnd"/>
      <w:r w:rsidR="001D5EBC">
        <w:t xml:space="preserve"> Mobile</w:t>
      </w:r>
      <w:r w:rsidR="00665374">
        <w:t>.</w:t>
      </w:r>
      <w:r w:rsidR="004837EB">
        <w:t xml:space="preserve"> </w:t>
      </w:r>
      <w:r w:rsidR="00665374">
        <w:t>In response, Digital Autopsy</w:t>
      </w:r>
      <w:r w:rsidR="003932AE">
        <w:t xml:space="preserve"> </w:t>
      </w:r>
      <w:r w:rsidR="00665374">
        <w:t xml:space="preserve">made </w:t>
      </w:r>
      <w:r w:rsidR="001D5EBC">
        <w:t xml:space="preserve">another set of </w:t>
      </w:r>
      <w:r w:rsidR="00701DCD">
        <w:t>representations</w:t>
      </w:r>
      <w:r w:rsidR="00665374">
        <w:t xml:space="preserve"> to RBC on 12 January</w:t>
      </w:r>
      <w:r w:rsidR="001D5EBC">
        <w:t xml:space="preserve"> and </w:t>
      </w:r>
      <w:r w:rsidR="00665374">
        <w:t>reiterat</w:t>
      </w:r>
      <w:r w:rsidR="001D5EBC">
        <w:t xml:space="preserve">ed </w:t>
      </w:r>
      <w:r w:rsidR="00701DCD">
        <w:t xml:space="preserve">its </w:t>
      </w:r>
      <w:r w:rsidR="001D5EBC">
        <w:t xml:space="preserve">requests for </w:t>
      </w:r>
      <w:r w:rsidR="00701DCD">
        <w:t>information.</w:t>
      </w:r>
    </w:p>
    <w:p w14:paraId="0D8FF6B9" w14:textId="7CC8395B" w:rsidR="00E66009" w:rsidRPr="00E66009" w:rsidRDefault="00ED618C" w:rsidP="00AF4CD4">
      <w:pPr>
        <w:pStyle w:val="ListParagraph"/>
      </w:pPr>
      <w:r>
        <w:lastRenderedPageBreak/>
        <w:t>RBC</w:t>
      </w:r>
      <w:r w:rsidR="00A22CD6">
        <w:t xml:space="preserve"> </w:t>
      </w:r>
      <w:r>
        <w:t>respond</w:t>
      </w:r>
      <w:r w:rsidR="00A22CD6">
        <w:t xml:space="preserve">ed </w:t>
      </w:r>
      <w:r w:rsidRPr="00684EE8">
        <w:rPr>
          <w:lang w:eastAsia="en-GB"/>
        </w:rPr>
        <w:t xml:space="preserve">to Digital Autopsy's </w:t>
      </w:r>
      <w:r w:rsidR="005C60BB">
        <w:rPr>
          <w:lang w:eastAsia="en-GB"/>
        </w:rPr>
        <w:t>third set of</w:t>
      </w:r>
      <w:r w:rsidR="00A22CD6">
        <w:rPr>
          <w:lang w:eastAsia="en-GB"/>
        </w:rPr>
        <w:t xml:space="preserve"> </w:t>
      </w:r>
      <w:r w:rsidRPr="00684EE8">
        <w:rPr>
          <w:lang w:eastAsia="en-GB"/>
        </w:rPr>
        <w:t>representations</w:t>
      </w:r>
      <w:r w:rsidR="00C17BE3">
        <w:rPr>
          <w:lang w:eastAsia="en-GB"/>
        </w:rPr>
        <w:t xml:space="preserve"> on 13 January 202</w:t>
      </w:r>
      <w:r w:rsidR="005E2E8C">
        <w:rPr>
          <w:lang w:eastAsia="en-GB"/>
        </w:rPr>
        <w:t>6</w:t>
      </w:r>
      <w:r w:rsidR="00C17BE3">
        <w:rPr>
          <w:lang w:eastAsia="en-GB"/>
        </w:rPr>
        <w:t xml:space="preserve">, </w:t>
      </w:r>
      <w:r w:rsidR="00A22CD6">
        <w:rPr>
          <w:lang w:eastAsia="en-GB"/>
        </w:rPr>
        <w:t xml:space="preserve">communicating its continued intention to award the contract to </w:t>
      </w:r>
      <w:proofErr w:type="spellStart"/>
      <w:r w:rsidR="00A22CD6">
        <w:rPr>
          <w:lang w:eastAsia="en-GB"/>
        </w:rPr>
        <w:t>TiC</w:t>
      </w:r>
      <w:proofErr w:type="spellEnd"/>
      <w:r w:rsidR="00A22CD6">
        <w:rPr>
          <w:lang w:eastAsia="en-GB"/>
        </w:rPr>
        <w:t xml:space="preserve"> Mobile and saying</w:t>
      </w:r>
      <w:r w:rsidRPr="00684EE8">
        <w:rPr>
          <w:lang w:eastAsia="en-GB"/>
        </w:rPr>
        <w:t xml:space="preserve"> that "The Council will not engage in further repetitive correspondence on these covered points"</w:t>
      </w:r>
      <w:r w:rsidR="00EB389B">
        <w:rPr>
          <w:lang w:eastAsia="en-GB"/>
        </w:rPr>
        <w:t>.</w:t>
      </w:r>
      <w:r w:rsidR="00EB389B">
        <w:rPr>
          <w:rStyle w:val="FootnoteReference"/>
          <w:rFonts w:eastAsia="Times New Roman" w:cs="Arial"/>
          <w:color w:val="000000"/>
          <w:lang w:eastAsia="en-GB"/>
        </w:rPr>
        <w:footnoteReference w:id="14"/>
      </w:r>
    </w:p>
    <w:p w14:paraId="704BFE87" w14:textId="6B9D9074" w:rsidR="004837EB" w:rsidRPr="00F87947" w:rsidRDefault="00A22CD6" w:rsidP="00A2792D">
      <w:pPr>
        <w:pStyle w:val="ListParagraph"/>
      </w:pPr>
      <w:r>
        <w:rPr>
          <w:lang w:eastAsia="en-GB"/>
        </w:rPr>
        <w:t>O</w:t>
      </w:r>
      <w:r w:rsidR="007F41E3" w:rsidRPr="00E66009">
        <w:rPr>
          <w:lang w:eastAsia="en-GB"/>
        </w:rPr>
        <w:t>n 14 January 202</w:t>
      </w:r>
      <w:r w:rsidR="000C3278">
        <w:rPr>
          <w:lang w:eastAsia="en-GB"/>
        </w:rPr>
        <w:t>6</w:t>
      </w:r>
      <w:r w:rsidR="007F41E3" w:rsidRPr="00E66009">
        <w:rPr>
          <w:lang w:eastAsia="en-GB"/>
        </w:rPr>
        <w:t>, Digital Autopsy asked the Panel to review RBC’s provider selection process</w:t>
      </w:r>
      <w:r w:rsidR="00F57C22" w:rsidRPr="00E66009">
        <w:rPr>
          <w:lang w:eastAsia="en-GB"/>
        </w:rPr>
        <w:t xml:space="preserve">. The Panel accepted this request on 15 January. </w:t>
      </w:r>
      <w:r w:rsidR="00E66009" w:rsidRPr="009005D2">
        <w:t xml:space="preserve">On being made aware of the Panel’s acceptance decision, </w:t>
      </w:r>
      <w:r w:rsidR="00E66009">
        <w:t>RBC</w:t>
      </w:r>
      <w:r w:rsidR="00E66009" w:rsidRPr="009005D2">
        <w:t xml:space="preserve"> confirmed that it would hold the standstill period open for the duration of the Panel’s review.</w:t>
      </w:r>
    </w:p>
    <w:p w14:paraId="40999B88" w14:textId="57A743E9" w:rsidR="006C58CF" w:rsidRPr="00003CC4" w:rsidRDefault="00743393" w:rsidP="00AC232B">
      <w:pPr>
        <w:pStyle w:val="Heading1"/>
      </w:pPr>
      <w:bookmarkStart w:id="4" w:name="_Toc222220120"/>
      <w:r w:rsidRPr="00003CC4">
        <w:t xml:space="preserve">Representations by </w:t>
      </w:r>
      <w:r w:rsidR="00E66009" w:rsidRPr="00003CC4">
        <w:t>Digital Autopsy</w:t>
      </w:r>
      <w:bookmarkEnd w:id="4"/>
    </w:p>
    <w:p w14:paraId="04ABB5F8" w14:textId="5CB9467C" w:rsidR="007B41BE" w:rsidRPr="00E607C9" w:rsidRDefault="00E66009" w:rsidP="00537BF6">
      <w:pPr>
        <w:pStyle w:val="ListParagraph"/>
      </w:pPr>
      <w:bookmarkStart w:id="5" w:name="_Ref220592225"/>
      <w:r>
        <w:t>Digital Autopsy</w:t>
      </w:r>
      <w:r w:rsidR="00F77ECE">
        <w:t xml:space="preserve">, in its representations to the Panel, raised </w:t>
      </w:r>
      <w:r w:rsidR="00136E2E">
        <w:t xml:space="preserve">several </w:t>
      </w:r>
      <w:r w:rsidR="00743393">
        <w:t>concerns about the provider selection process</w:t>
      </w:r>
      <w:bookmarkEnd w:id="5"/>
      <w:r w:rsidR="00F77ECE">
        <w:t xml:space="preserve">. The Panel, </w:t>
      </w:r>
      <w:r w:rsidR="00E60916">
        <w:t>in its review</w:t>
      </w:r>
      <w:r w:rsidR="007D0FC3">
        <w:t xml:space="preserve">, has focused on whether </w:t>
      </w:r>
      <w:r w:rsidR="00CF4D9F">
        <w:t>post-mortem</w:t>
      </w:r>
      <w:r w:rsidR="007D0FC3">
        <w:t xml:space="preserve"> imaging services fall within the scope of the </w:t>
      </w:r>
      <w:r w:rsidR="00B978A9">
        <w:t>PSR</w:t>
      </w:r>
      <w:r w:rsidR="007D0FC3">
        <w:t>.</w:t>
      </w:r>
      <w:r w:rsidR="00770C1E">
        <w:t xml:space="preserve"> </w:t>
      </w:r>
      <w:r w:rsidR="007B41BE" w:rsidRPr="00E607C9">
        <w:t xml:space="preserve">In relation to this issue, Digital Autopsy </w:t>
      </w:r>
      <w:r w:rsidR="00E607C9" w:rsidRPr="00E607C9">
        <w:t>told the Panel that it had “challenged Rochdale Council's use of the PSR regulations and asserted that the procurement ought to have been carried out under the Procurement Act 2023”</w:t>
      </w:r>
      <w:r w:rsidR="00CE11CD">
        <w:t>.</w:t>
      </w:r>
    </w:p>
    <w:p w14:paraId="591F2E5C" w14:textId="2AD143BB" w:rsidR="008027E6" w:rsidRDefault="00AC4330" w:rsidP="00AC232B">
      <w:pPr>
        <w:pStyle w:val="Heading1"/>
      </w:pPr>
      <w:bookmarkStart w:id="6" w:name="_Toc222220121"/>
      <w:r>
        <w:t>Panel Assessment</w:t>
      </w:r>
      <w:bookmarkEnd w:id="6"/>
    </w:p>
    <w:p w14:paraId="6BD9BDC9" w14:textId="5DCB7758" w:rsidR="00956453" w:rsidRPr="00956453" w:rsidRDefault="00DE7360" w:rsidP="00956453">
      <w:pPr>
        <w:pStyle w:val="ListParagraph"/>
      </w:pPr>
      <w:r>
        <w:t xml:space="preserve">The Panel’s assessment of whether </w:t>
      </w:r>
      <w:r w:rsidR="005503D5">
        <w:t xml:space="preserve">RBC’s procurement of </w:t>
      </w:r>
      <w:r w:rsidR="00CF4D9F">
        <w:t>post-mortem</w:t>
      </w:r>
      <w:r>
        <w:t xml:space="preserve"> imaging services fall</w:t>
      </w:r>
      <w:r w:rsidR="00217091">
        <w:t>s</w:t>
      </w:r>
      <w:r>
        <w:t xml:space="preserve"> </w:t>
      </w:r>
      <w:r w:rsidR="00217091">
        <w:t xml:space="preserve">inside </w:t>
      </w:r>
      <w:r>
        <w:t xml:space="preserve">the </w:t>
      </w:r>
      <w:r w:rsidR="00613E49">
        <w:t>PSR</w:t>
      </w:r>
      <w:r w:rsidR="005503D5">
        <w:t xml:space="preserve"> </w:t>
      </w:r>
      <w:r w:rsidR="000354FB">
        <w:t xml:space="preserve">takes, as its starting point, </w:t>
      </w:r>
      <w:r w:rsidR="00E97E52">
        <w:t>Regulation 3(1) of the PSR regulations</w:t>
      </w:r>
      <w:r w:rsidR="00A56637">
        <w:t xml:space="preserve">, which </w:t>
      </w:r>
      <w:r w:rsidR="00777769" w:rsidRPr="00956453">
        <w:rPr>
          <w:rFonts w:cs="Arial"/>
        </w:rPr>
        <w:t>says</w:t>
      </w:r>
      <w:r w:rsidR="0012332E" w:rsidRPr="00956453">
        <w:rPr>
          <w:rFonts w:cs="Arial"/>
        </w:rPr>
        <w:t xml:space="preserve"> that </w:t>
      </w:r>
      <w:r w:rsidR="00971EE5" w:rsidRPr="00956453">
        <w:rPr>
          <w:rFonts w:cs="Arial"/>
        </w:rPr>
        <w:t xml:space="preserve">the PSR regulations </w:t>
      </w:r>
      <w:r w:rsidR="0012332E" w:rsidRPr="00956453">
        <w:rPr>
          <w:rFonts w:cs="Arial"/>
        </w:rPr>
        <w:t>“</w:t>
      </w:r>
      <w:r w:rsidR="0012332E" w:rsidRPr="00241D21">
        <w:t>apply where a relevant authority procures relevant health care services for the purposes of the health service in England</w:t>
      </w:r>
      <w:r w:rsidR="00CD6470">
        <w:t xml:space="preserve"> …</w:t>
      </w:r>
      <w:r w:rsidR="0012332E" w:rsidRPr="00956453">
        <w:rPr>
          <w:rFonts w:cs="Arial"/>
        </w:rPr>
        <w:t>”.</w:t>
      </w:r>
    </w:p>
    <w:p w14:paraId="65676BB5" w14:textId="2E95F29C" w:rsidR="00771869" w:rsidRPr="00771869" w:rsidRDefault="006E127C" w:rsidP="00C01078">
      <w:pPr>
        <w:pStyle w:val="ListParagraph"/>
        <w:contextualSpacing/>
      </w:pPr>
      <w:r>
        <w:rPr>
          <w:rFonts w:cs="Arial"/>
        </w:rPr>
        <w:t xml:space="preserve">Consistent with </w:t>
      </w:r>
      <w:r w:rsidR="00C9256A">
        <w:rPr>
          <w:rFonts w:cs="Arial"/>
        </w:rPr>
        <w:t xml:space="preserve">the wording of </w:t>
      </w:r>
      <w:r>
        <w:rPr>
          <w:rFonts w:cs="Arial"/>
        </w:rPr>
        <w:t>Regulation 3(1), t</w:t>
      </w:r>
      <w:r w:rsidR="00771869">
        <w:rPr>
          <w:rFonts w:cs="Arial"/>
        </w:rPr>
        <w:t>he Panel’s assessment is in three parts:</w:t>
      </w:r>
    </w:p>
    <w:p w14:paraId="106ED3BD" w14:textId="0080BAEC" w:rsidR="0012332E" w:rsidRDefault="0012332E" w:rsidP="00A72C47">
      <w:pPr>
        <w:pStyle w:val="ListParagraph"/>
        <w:numPr>
          <w:ilvl w:val="0"/>
          <w:numId w:val="13"/>
        </w:numPr>
        <w:contextualSpacing/>
      </w:pPr>
      <w:r>
        <w:t xml:space="preserve">first, </w:t>
      </w:r>
      <w:r w:rsidR="00771869">
        <w:t xml:space="preserve">whether RBC is </w:t>
      </w:r>
      <w:r w:rsidR="00C01078">
        <w:t xml:space="preserve">a relevant authority </w:t>
      </w:r>
      <w:r>
        <w:t>(</w:t>
      </w:r>
      <w:r w:rsidR="001A4EED">
        <w:t xml:space="preserve">see </w:t>
      </w:r>
      <w:r>
        <w:t xml:space="preserve">Section </w:t>
      </w:r>
      <w:r w:rsidR="007D6114">
        <w:t>6</w:t>
      </w:r>
      <w:r>
        <w:t>.1</w:t>
      </w:r>
      <w:proofErr w:type="gramStart"/>
      <w:r>
        <w:t>);</w:t>
      </w:r>
      <w:proofErr w:type="gramEnd"/>
    </w:p>
    <w:p w14:paraId="06BDACD7" w14:textId="680A2565" w:rsidR="0012332E" w:rsidRDefault="0012332E" w:rsidP="00C01078">
      <w:pPr>
        <w:pStyle w:val="ListParagraph"/>
        <w:numPr>
          <w:ilvl w:val="0"/>
          <w:numId w:val="13"/>
        </w:numPr>
        <w:contextualSpacing/>
      </w:pPr>
      <w:r>
        <w:t xml:space="preserve">second, </w:t>
      </w:r>
      <w:r w:rsidR="00C01078">
        <w:t xml:space="preserve">whether </w:t>
      </w:r>
      <w:r w:rsidR="00CF4D9F">
        <w:t>post-mortem</w:t>
      </w:r>
      <w:r w:rsidR="00C01078">
        <w:t xml:space="preserve"> imaging services are </w:t>
      </w:r>
      <w:r>
        <w:t>“relevant health care services” (</w:t>
      </w:r>
      <w:r w:rsidR="001A4EED">
        <w:t xml:space="preserve">see </w:t>
      </w:r>
      <w:r>
        <w:t xml:space="preserve">Section </w:t>
      </w:r>
      <w:r w:rsidR="007D6114">
        <w:t>6</w:t>
      </w:r>
      <w:r>
        <w:t>.2); and</w:t>
      </w:r>
    </w:p>
    <w:p w14:paraId="359C69E8" w14:textId="2FCB6298" w:rsidR="0012332E" w:rsidRDefault="0012332E" w:rsidP="00A72C47">
      <w:pPr>
        <w:pStyle w:val="ListParagraph"/>
        <w:numPr>
          <w:ilvl w:val="0"/>
          <w:numId w:val="13"/>
        </w:numPr>
      </w:pPr>
      <w:r>
        <w:t xml:space="preserve">finally, whether the </w:t>
      </w:r>
      <w:r w:rsidR="00314D1D">
        <w:t xml:space="preserve">procurement of </w:t>
      </w:r>
      <w:r w:rsidR="00CF4D9F">
        <w:t>post-mortem</w:t>
      </w:r>
      <w:r>
        <w:t xml:space="preserve"> imaging service</w:t>
      </w:r>
      <w:r w:rsidR="00314D1D">
        <w:t>s</w:t>
      </w:r>
      <w:r>
        <w:t xml:space="preserve"> is “for the purposes of the health service in England” (</w:t>
      </w:r>
      <w:r w:rsidR="001A4EED">
        <w:t xml:space="preserve">see </w:t>
      </w:r>
      <w:r>
        <w:t xml:space="preserve">Section </w:t>
      </w:r>
      <w:r w:rsidR="009F6E4E">
        <w:t>6</w:t>
      </w:r>
      <w:r>
        <w:t>.3).</w:t>
      </w:r>
    </w:p>
    <w:p w14:paraId="4D591FAA" w14:textId="5EEFE235" w:rsidR="00C329E2" w:rsidRPr="007804C5" w:rsidRDefault="003D1B8C" w:rsidP="00DE6B9B">
      <w:pPr>
        <w:pStyle w:val="Heading2"/>
      </w:pPr>
      <w:bookmarkStart w:id="7" w:name="_Toc222220122"/>
      <w:r>
        <w:t xml:space="preserve">Whether RBC is </w:t>
      </w:r>
      <w:r w:rsidR="007804C5" w:rsidRPr="007804C5">
        <w:t>a relevant authority</w:t>
      </w:r>
      <w:bookmarkEnd w:id="7"/>
    </w:p>
    <w:p w14:paraId="2E3A6920" w14:textId="3AAD7C06" w:rsidR="00E65E85" w:rsidRDefault="00E65E85" w:rsidP="00537BF6">
      <w:pPr>
        <w:pStyle w:val="ListParagraph"/>
      </w:pPr>
      <w:r>
        <w:t xml:space="preserve">The first leg of </w:t>
      </w:r>
      <w:r w:rsidR="00533501">
        <w:t xml:space="preserve">the Panel’s assessment </w:t>
      </w:r>
      <w:r w:rsidR="000C18AB">
        <w:t>is whether RBC is a relevant authority for the purposes of the PSR regulations.</w:t>
      </w:r>
    </w:p>
    <w:p w14:paraId="7474117A" w14:textId="473FE7D6" w:rsidR="002A2DDD" w:rsidRDefault="004C5723" w:rsidP="00537BF6">
      <w:pPr>
        <w:pStyle w:val="ListParagraph"/>
      </w:pPr>
      <w:r>
        <w:t>S</w:t>
      </w:r>
      <w:r w:rsidR="00EF08F6" w:rsidRPr="00833DD5">
        <w:t>ection 12</w:t>
      </w:r>
      <w:proofErr w:type="gramStart"/>
      <w:r w:rsidR="00EF08F6" w:rsidRPr="00833DD5">
        <w:t>ZB(</w:t>
      </w:r>
      <w:proofErr w:type="gramEnd"/>
      <w:r w:rsidR="00EF08F6" w:rsidRPr="00833DD5">
        <w:t xml:space="preserve">7) of the NHS Act 2006 </w:t>
      </w:r>
      <w:r w:rsidR="000729AD" w:rsidRPr="00833DD5">
        <w:t>defines</w:t>
      </w:r>
      <w:r w:rsidR="00895580">
        <w:t xml:space="preserve"> a</w:t>
      </w:r>
      <w:r w:rsidR="00EF08F6" w:rsidRPr="00833DD5">
        <w:t xml:space="preserve"> </w:t>
      </w:r>
      <w:r w:rsidR="00AA5CBB" w:rsidRPr="00833DD5">
        <w:t xml:space="preserve">“relevant authority” </w:t>
      </w:r>
      <w:r w:rsidR="00C40250" w:rsidRPr="00833DD5">
        <w:t xml:space="preserve">as </w:t>
      </w:r>
      <w:r w:rsidR="00BB4BDC" w:rsidRPr="00833DD5">
        <w:t xml:space="preserve">a </w:t>
      </w:r>
      <w:r w:rsidR="00EF08F6" w:rsidRPr="00833DD5">
        <w:t>combined authority</w:t>
      </w:r>
      <w:r w:rsidR="00EB50E3" w:rsidRPr="00833DD5">
        <w:t>,</w:t>
      </w:r>
      <w:r w:rsidR="00921F70" w:rsidRPr="00833DD5">
        <w:t xml:space="preserve"> a combined county authority,</w:t>
      </w:r>
      <w:r w:rsidR="00EF08F6" w:rsidRPr="00833DD5">
        <w:t xml:space="preserve"> an integrated care board, a local authority in England, NHS England, an NHS foundation trust or an NHS trust established under section 25 of </w:t>
      </w:r>
      <w:r w:rsidR="00921F70" w:rsidRPr="00833DD5">
        <w:t>the NHS</w:t>
      </w:r>
      <w:r w:rsidR="00EF08F6" w:rsidRPr="00833DD5">
        <w:t xml:space="preserve"> Act</w:t>
      </w:r>
      <w:r w:rsidR="00833DD5" w:rsidRPr="00833DD5">
        <w:t xml:space="preserve"> 2006</w:t>
      </w:r>
      <w:r w:rsidR="00EF08F6" w:rsidRPr="00833DD5">
        <w:t>.</w:t>
      </w:r>
    </w:p>
    <w:p w14:paraId="44651223" w14:textId="4E7057E4" w:rsidR="00EF08F6" w:rsidRPr="00833DD5" w:rsidRDefault="00EF08F6" w:rsidP="00537BF6">
      <w:pPr>
        <w:pStyle w:val="ListParagraph"/>
      </w:pPr>
      <w:r w:rsidRPr="00833DD5">
        <w:t xml:space="preserve">RBC is a </w:t>
      </w:r>
      <w:r w:rsidR="005616CE" w:rsidRPr="00833DD5">
        <w:t>local authority in England and</w:t>
      </w:r>
      <w:r w:rsidR="004B5F7D">
        <w:t>,</w:t>
      </w:r>
      <w:r w:rsidR="005616CE" w:rsidRPr="00833DD5">
        <w:t xml:space="preserve"> as a result, </w:t>
      </w:r>
      <w:r w:rsidR="009C3126">
        <w:t xml:space="preserve">the Panel’s view is that it </w:t>
      </w:r>
      <w:r w:rsidR="003D1B8C">
        <w:t xml:space="preserve">meets the definition of a </w:t>
      </w:r>
      <w:r w:rsidR="005616CE" w:rsidRPr="00833DD5">
        <w:t>relevant authority</w:t>
      </w:r>
      <w:r w:rsidR="00711A1B" w:rsidRPr="00833DD5">
        <w:t xml:space="preserve"> </w:t>
      </w:r>
      <w:r w:rsidR="00C32D41" w:rsidRPr="00833DD5">
        <w:t>for the purposes of the PSR.</w:t>
      </w:r>
    </w:p>
    <w:p w14:paraId="520CACB3" w14:textId="25F27105" w:rsidR="007804C5" w:rsidRPr="007804C5" w:rsidRDefault="003D1B8C" w:rsidP="00DE6B9B">
      <w:pPr>
        <w:pStyle w:val="Heading2"/>
      </w:pPr>
      <w:bookmarkStart w:id="8" w:name="_Toc222220123"/>
      <w:r>
        <w:lastRenderedPageBreak/>
        <w:t xml:space="preserve">Whether </w:t>
      </w:r>
      <w:r w:rsidR="00CF4D9F">
        <w:t>post-mortem</w:t>
      </w:r>
      <w:r>
        <w:t xml:space="preserve"> imaging services are </w:t>
      </w:r>
      <w:r w:rsidR="007804C5">
        <w:t>r</w:t>
      </w:r>
      <w:r w:rsidR="007804C5" w:rsidRPr="007804C5">
        <w:t xml:space="preserve">elevant </w:t>
      </w:r>
      <w:r w:rsidR="007804C5">
        <w:t>health care services</w:t>
      </w:r>
      <w:bookmarkEnd w:id="8"/>
    </w:p>
    <w:p w14:paraId="5776701E" w14:textId="3F416AA2" w:rsidR="009C3126" w:rsidRDefault="009C3126" w:rsidP="009C3126">
      <w:pPr>
        <w:pStyle w:val="ListParagraph"/>
      </w:pPr>
      <w:bookmarkStart w:id="9" w:name="_Ref192668521"/>
      <w:r>
        <w:t xml:space="preserve">The second leg of the Panel’s assessment is whether </w:t>
      </w:r>
      <w:r w:rsidR="00CF4D9F">
        <w:t>post-mortem</w:t>
      </w:r>
      <w:r>
        <w:t xml:space="preserve"> imaging services are relevant health care services.</w:t>
      </w:r>
    </w:p>
    <w:p w14:paraId="5DBD7ED2" w14:textId="77777777" w:rsidR="00751F5D" w:rsidRDefault="002873E7" w:rsidP="002873E7">
      <w:pPr>
        <w:pStyle w:val="ListParagraph"/>
      </w:pPr>
      <w:r w:rsidRPr="00493DDA">
        <w:t>Relevant health care services are defined in the PSR regulations</w:t>
      </w:r>
      <w:r w:rsidR="009853D8">
        <w:t>, at Regulation 2,</w:t>
      </w:r>
      <w:r w:rsidRPr="00493DDA">
        <w:t xml:space="preserve"> as “health care services which fall within one or more of the CPV [common procurement vocabulary] codes specified in the table in Schedule 1”.</w:t>
      </w:r>
      <w:bookmarkStart w:id="10" w:name="_Ref221543272"/>
    </w:p>
    <w:p w14:paraId="7646B787" w14:textId="4B011210" w:rsidR="002873E7" w:rsidRDefault="00F749AE" w:rsidP="002873E7">
      <w:pPr>
        <w:pStyle w:val="ListParagraph"/>
      </w:pPr>
      <w:r>
        <w:t>T</w:t>
      </w:r>
      <w:r w:rsidR="000338EF">
        <w:t>h</w:t>
      </w:r>
      <w:r w:rsidR="000145DC">
        <w:t>e</w:t>
      </w:r>
      <w:r w:rsidR="000338EF">
        <w:t xml:space="preserve"> definition </w:t>
      </w:r>
      <w:r w:rsidR="000145DC">
        <w:t xml:space="preserve">of relevant health care services </w:t>
      </w:r>
      <w:r w:rsidR="000338EF">
        <w:t>in t</w:t>
      </w:r>
      <w:r w:rsidR="002873E7">
        <w:t>he PSR regulations refer</w:t>
      </w:r>
      <w:r w:rsidR="00524381">
        <w:t>s</w:t>
      </w:r>
      <w:r>
        <w:t>, by way of footnote,</w:t>
      </w:r>
      <w:r w:rsidR="002873E7">
        <w:t xml:space="preserve"> </w:t>
      </w:r>
      <w:r w:rsidR="002873E7" w:rsidRPr="00493DDA">
        <w:t>to the definition of health care services at s.150 of the Health and Social Care Act 2012</w:t>
      </w:r>
      <w:r w:rsidR="00C524E9">
        <w:t xml:space="preserve">. This </w:t>
      </w:r>
      <w:r w:rsidR="002873E7" w:rsidRPr="00493DDA">
        <w:t xml:space="preserve">says that </w:t>
      </w:r>
      <w:r w:rsidR="002873E7">
        <w:t>“‘</w:t>
      </w:r>
      <w:r w:rsidR="002873E7" w:rsidRPr="00493DDA">
        <w:t>health care</w:t>
      </w:r>
      <w:r w:rsidR="002873E7">
        <w:t>’</w:t>
      </w:r>
      <w:r w:rsidR="002873E7" w:rsidRPr="00493DDA">
        <w:t xml:space="preserve"> means all forms of health care provided for individuals, whether relating to physical or mental health</w:t>
      </w:r>
      <w:r w:rsidR="002873E7">
        <w:t>”</w:t>
      </w:r>
      <w:r w:rsidR="002873E7" w:rsidRPr="00493DDA">
        <w:t>.</w:t>
      </w:r>
      <w:bookmarkEnd w:id="10"/>
    </w:p>
    <w:bookmarkEnd w:id="9"/>
    <w:p w14:paraId="70A13480" w14:textId="334B1F0B" w:rsidR="004A444C" w:rsidRDefault="002873E7" w:rsidP="000B72AD">
      <w:pPr>
        <w:pStyle w:val="ListParagraph"/>
        <w:contextualSpacing/>
      </w:pPr>
      <w:r>
        <w:t xml:space="preserve">The PSR statutory </w:t>
      </w:r>
      <w:r w:rsidRPr="00585E7E">
        <w:t xml:space="preserve">guidance </w:t>
      </w:r>
      <w:r>
        <w:t>says</w:t>
      </w:r>
      <w:r w:rsidR="004A444C">
        <w:t xml:space="preserve"> that “a service is in scope when a relevant authority is commissioning or sub-contracting a service that:</w:t>
      </w:r>
    </w:p>
    <w:p w14:paraId="735D1B15" w14:textId="66D609BF" w:rsidR="000B72AD" w:rsidRDefault="000B72AD" w:rsidP="00D67311">
      <w:pPr>
        <w:pStyle w:val="ListParagraph"/>
        <w:numPr>
          <w:ilvl w:val="0"/>
          <w:numId w:val="13"/>
        </w:numPr>
        <w:ind w:left="1418"/>
        <w:contextualSpacing/>
      </w:pPr>
      <w:r>
        <w:t xml:space="preserve">is provided as part of the health service, whether NHS or public </w:t>
      </w:r>
      <w:proofErr w:type="gramStart"/>
      <w:r>
        <w:t>health;</w:t>
      </w:r>
      <w:proofErr w:type="gramEnd"/>
    </w:p>
    <w:p w14:paraId="2BD37FA8" w14:textId="11235AF5" w:rsidR="000B72AD" w:rsidRDefault="000B72AD" w:rsidP="00D67311">
      <w:pPr>
        <w:pStyle w:val="ListParagraph"/>
        <w:numPr>
          <w:ilvl w:val="0"/>
          <w:numId w:val="13"/>
        </w:numPr>
        <w:ind w:left="1418"/>
        <w:contextualSpacing/>
      </w:pPr>
      <w:r>
        <w:t>consists of the provision of healthcare to individuals or groups of individuals; and</w:t>
      </w:r>
    </w:p>
    <w:p w14:paraId="04813DB0" w14:textId="5CC7E048" w:rsidR="000B72AD" w:rsidRDefault="000B72AD" w:rsidP="00D67311">
      <w:pPr>
        <w:pStyle w:val="ListParagraph"/>
        <w:numPr>
          <w:ilvl w:val="0"/>
          <w:numId w:val="13"/>
        </w:numPr>
        <w:ind w:left="1418"/>
      </w:pPr>
      <w:r>
        <w:t>falls within one or more of the specified CPV codes listed in Annex A and at least the general ‘health services’ code</w:t>
      </w:r>
      <w:r w:rsidR="00A32CB4">
        <w:t>”</w:t>
      </w:r>
      <w:r>
        <w:t>.</w:t>
      </w:r>
      <w:r w:rsidR="00517E82">
        <w:rPr>
          <w:rStyle w:val="FootnoteReference"/>
        </w:rPr>
        <w:footnoteReference w:id="15"/>
      </w:r>
    </w:p>
    <w:p w14:paraId="7ADE3B43" w14:textId="55CFE058" w:rsidR="002B05FF" w:rsidRDefault="002B05FF" w:rsidP="007B3E8E">
      <w:pPr>
        <w:pStyle w:val="ListParagraph"/>
        <w:spacing w:after="120"/>
      </w:pPr>
      <w:bookmarkStart w:id="11" w:name="_Ref221543393"/>
      <w:r>
        <w:t>The PSR statutory guidance goes on to say</w:t>
      </w:r>
      <w:r w:rsidR="00B343D0">
        <w:t>:</w:t>
      </w:r>
      <w:bookmarkEnd w:id="11"/>
    </w:p>
    <w:p w14:paraId="4A4313B9" w14:textId="0B9B9476" w:rsidR="00B343D0" w:rsidRPr="007B3E8E" w:rsidRDefault="00B343D0" w:rsidP="007B3E8E">
      <w:pPr>
        <w:pStyle w:val="ListParagraph"/>
        <w:numPr>
          <w:ilvl w:val="0"/>
          <w:numId w:val="0"/>
        </w:numPr>
        <w:spacing w:after="120" w:line="259" w:lineRule="auto"/>
        <w:ind w:left="851"/>
        <w:rPr>
          <w:sz w:val="21"/>
          <w:szCs w:val="21"/>
        </w:rPr>
      </w:pPr>
      <w:r w:rsidRPr="007B3E8E">
        <w:rPr>
          <w:sz w:val="21"/>
          <w:szCs w:val="21"/>
        </w:rPr>
        <w:t>“</w:t>
      </w:r>
      <w:proofErr w:type="gramStart"/>
      <w:r w:rsidRPr="007B3E8E">
        <w:rPr>
          <w:sz w:val="21"/>
          <w:szCs w:val="21"/>
        </w:rPr>
        <w:t>the</w:t>
      </w:r>
      <w:proofErr w:type="gramEnd"/>
      <w:r w:rsidRPr="007B3E8E">
        <w:rPr>
          <w:sz w:val="21"/>
          <w:szCs w:val="21"/>
        </w:rPr>
        <w:t xml:space="preserve"> healthcare services subject to this regime are those that provide healthcare (whether treatment, diagnosis or prevention of physical or mental health conditions) to individuals (that is, patients or service users) or groups of individuals (that is, where treatment is delivered to a group</w:t>
      </w:r>
      <w:r w:rsidR="00BF1A8A" w:rsidRPr="45E00D3F">
        <w:rPr>
          <w:sz w:val="21"/>
          <w:szCs w:val="21"/>
        </w:rPr>
        <w:t>).</w:t>
      </w:r>
    </w:p>
    <w:p w14:paraId="788B9B7F" w14:textId="18A4DE54" w:rsidR="00BF1A8A" w:rsidRPr="00517E82" w:rsidRDefault="00BF1A8A" w:rsidP="009C7965">
      <w:pPr>
        <w:pStyle w:val="ListParagraph"/>
        <w:numPr>
          <w:ilvl w:val="0"/>
          <w:numId w:val="0"/>
        </w:numPr>
        <w:spacing w:line="259" w:lineRule="auto"/>
        <w:ind w:left="851"/>
        <w:rPr>
          <w:sz w:val="21"/>
          <w:szCs w:val="21"/>
        </w:rPr>
      </w:pPr>
      <w:r w:rsidRPr="007B3E8E">
        <w:rPr>
          <w:sz w:val="21"/>
          <w:szCs w:val="21"/>
        </w:rPr>
        <w:t>“In broad terms, these are services arranged by the NHS, such as hospital, community, mental health, primary healthcare, palliative care, ambulance and patient transport services, and for which the provider requires Care Quality Commission (CQC) registration</w:t>
      </w:r>
      <w:r w:rsidR="007B3E8E" w:rsidRPr="007B3E8E">
        <w:rPr>
          <w:sz w:val="21"/>
          <w:szCs w:val="21"/>
        </w:rPr>
        <w:t xml:space="preserve">, as well as those services arranged by local authorities that focus on preventative public health provision to individuals, such as substance misuse, sexual </w:t>
      </w:r>
      <w:r w:rsidR="007B3E8E" w:rsidRPr="00517E82">
        <w:rPr>
          <w:sz w:val="21"/>
          <w:szCs w:val="21"/>
        </w:rPr>
        <w:t>and reproductive health and health visits.”</w:t>
      </w:r>
      <w:r w:rsidR="00517E82" w:rsidRPr="00517E82">
        <w:rPr>
          <w:rStyle w:val="FootnoteReference"/>
          <w:sz w:val="21"/>
          <w:szCs w:val="21"/>
        </w:rPr>
        <w:footnoteReference w:id="16"/>
      </w:r>
    </w:p>
    <w:p w14:paraId="7EED7341" w14:textId="44669D72" w:rsidR="002873E7" w:rsidRDefault="007D2C29" w:rsidP="009C7965">
      <w:pPr>
        <w:pStyle w:val="ListParagraph"/>
        <w:spacing w:after="120"/>
        <w:contextualSpacing/>
      </w:pPr>
      <w:bookmarkStart w:id="12" w:name="_Ref221866008"/>
      <w:r>
        <w:t>The Panel notes that, g</w:t>
      </w:r>
      <w:r w:rsidR="002873E7">
        <w:t xml:space="preserve">iven the above, there are two elements to </w:t>
      </w:r>
      <w:r w:rsidR="00796C77">
        <w:t xml:space="preserve">be considered in deciding </w:t>
      </w:r>
      <w:r w:rsidR="002873E7">
        <w:t xml:space="preserve">whether </w:t>
      </w:r>
      <w:r w:rsidR="00170DB5">
        <w:t>a</w:t>
      </w:r>
      <w:r w:rsidR="002873E7">
        <w:t xml:space="preserve"> service is a “relevant health care service” for the purposes of the PSR regulations:</w:t>
      </w:r>
      <w:bookmarkEnd w:id="12"/>
    </w:p>
    <w:p w14:paraId="1989719C" w14:textId="5DC4B5B0" w:rsidR="002873E7" w:rsidRDefault="002873E7" w:rsidP="009C7965">
      <w:pPr>
        <w:pStyle w:val="ListParagraph"/>
        <w:numPr>
          <w:ilvl w:val="1"/>
          <w:numId w:val="10"/>
        </w:numPr>
        <w:spacing w:after="120"/>
        <w:contextualSpacing/>
        <w:rPr>
          <w:rFonts w:cs="Arial"/>
        </w:rPr>
      </w:pPr>
      <w:r>
        <w:rPr>
          <w:rFonts w:cs="Arial"/>
        </w:rPr>
        <w:t xml:space="preserve">first, whether </w:t>
      </w:r>
      <w:r w:rsidR="00182F1F">
        <w:rPr>
          <w:rFonts w:cs="Arial"/>
          <w:color w:val="000000"/>
          <w:kern w:val="0"/>
        </w:rPr>
        <w:t>the</w:t>
      </w:r>
      <w:r w:rsidR="00D9106C">
        <w:rPr>
          <w:rFonts w:cs="Arial"/>
          <w:color w:val="000000"/>
          <w:kern w:val="0"/>
        </w:rPr>
        <w:t xml:space="preserve"> service</w:t>
      </w:r>
      <w:r>
        <w:rPr>
          <w:rFonts w:cs="Arial"/>
          <w:color w:val="000000"/>
          <w:kern w:val="0"/>
        </w:rPr>
        <w:t xml:space="preserve"> meet</w:t>
      </w:r>
      <w:r w:rsidR="00182F1F">
        <w:rPr>
          <w:rFonts w:cs="Arial"/>
          <w:color w:val="000000"/>
          <w:kern w:val="0"/>
        </w:rPr>
        <w:t>s</w:t>
      </w:r>
      <w:r>
        <w:rPr>
          <w:rFonts w:cs="Arial"/>
          <w:color w:val="000000"/>
          <w:kern w:val="0"/>
        </w:rPr>
        <w:t xml:space="preserve"> the definition of a </w:t>
      </w:r>
      <w:r w:rsidRPr="002E622C">
        <w:rPr>
          <w:rFonts w:cs="Arial"/>
          <w:color w:val="000000"/>
          <w:kern w:val="0"/>
        </w:rPr>
        <w:t>health care service</w:t>
      </w:r>
      <w:r>
        <w:rPr>
          <w:rFonts w:cs="Arial"/>
          <w:color w:val="000000"/>
          <w:kern w:val="0"/>
        </w:rPr>
        <w:t xml:space="preserve"> as set out in the PSR regulations and </w:t>
      </w:r>
      <w:r w:rsidR="00796C77">
        <w:rPr>
          <w:rFonts w:cs="Arial"/>
          <w:color w:val="000000"/>
          <w:kern w:val="0"/>
        </w:rPr>
        <w:t>statutory</w:t>
      </w:r>
      <w:r>
        <w:rPr>
          <w:rFonts w:cs="Arial"/>
          <w:color w:val="000000"/>
          <w:kern w:val="0"/>
        </w:rPr>
        <w:t xml:space="preserve"> guidance; and</w:t>
      </w:r>
    </w:p>
    <w:p w14:paraId="13BF4FAD" w14:textId="5E47BB75" w:rsidR="002873E7" w:rsidRPr="007A6EE8" w:rsidRDefault="002873E7" w:rsidP="00D035F9">
      <w:pPr>
        <w:pStyle w:val="ListParagraph"/>
        <w:numPr>
          <w:ilvl w:val="1"/>
          <w:numId w:val="10"/>
        </w:numPr>
        <w:ind w:left="1434" w:hanging="357"/>
        <w:rPr>
          <w:rFonts w:cs="Arial"/>
        </w:rPr>
      </w:pPr>
      <w:r>
        <w:rPr>
          <w:rFonts w:cs="Arial"/>
        </w:rPr>
        <w:t>s</w:t>
      </w:r>
      <w:r w:rsidRPr="007A6EE8">
        <w:rPr>
          <w:rFonts w:cs="Arial"/>
        </w:rPr>
        <w:t xml:space="preserve">econd, </w:t>
      </w:r>
      <w:r>
        <w:rPr>
          <w:rFonts w:cs="Arial"/>
        </w:rPr>
        <w:t xml:space="preserve">whether </w:t>
      </w:r>
      <w:r w:rsidR="00182F1F">
        <w:rPr>
          <w:rFonts w:cs="Arial"/>
          <w:color w:val="000000"/>
          <w:kern w:val="0"/>
        </w:rPr>
        <w:t>the</w:t>
      </w:r>
      <w:r w:rsidR="00D9106C">
        <w:rPr>
          <w:rFonts w:cs="Arial"/>
          <w:color w:val="000000"/>
          <w:kern w:val="0"/>
        </w:rPr>
        <w:t xml:space="preserve"> service </w:t>
      </w:r>
      <w:r w:rsidRPr="007A6EE8">
        <w:rPr>
          <w:rFonts w:cs="Arial"/>
        </w:rPr>
        <w:t>fall</w:t>
      </w:r>
      <w:r w:rsidR="00182F1F">
        <w:rPr>
          <w:rFonts w:cs="Arial"/>
        </w:rPr>
        <w:t>s</w:t>
      </w:r>
      <w:r w:rsidRPr="007A6EE8">
        <w:rPr>
          <w:rFonts w:cs="Arial"/>
        </w:rPr>
        <w:t xml:space="preserve"> within one of the CPV codes </w:t>
      </w:r>
      <w:r>
        <w:rPr>
          <w:rFonts w:cs="Arial"/>
        </w:rPr>
        <w:t xml:space="preserve">set out </w:t>
      </w:r>
      <w:r w:rsidRPr="007A6EE8">
        <w:rPr>
          <w:rFonts w:cs="Arial"/>
        </w:rPr>
        <w:t>in Schedule 1 of the regulations.</w:t>
      </w:r>
    </w:p>
    <w:p w14:paraId="097850D4" w14:textId="54937C69" w:rsidR="00FD056D" w:rsidRDefault="0033078D" w:rsidP="00FD056D">
      <w:pPr>
        <w:pStyle w:val="ListParagraph"/>
      </w:pPr>
      <w:bookmarkStart w:id="13" w:name="_Ref221874103"/>
      <w:r>
        <w:t xml:space="preserve">In terms of whether </w:t>
      </w:r>
      <w:r>
        <w:rPr>
          <w:rFonts w:cs="Arial"/>
          <w:color w:val="000000"/>
          <w:kern w:val="0"/>
        </w:rPr>
        <w:t>post-mortem</w:t>
      </w:r>
      <w:r w:rsidRPr="00AA0A99">
        <w:rPr>
          <w:rFonts w:cs="Arial"/>
          <w:color w:val="000000"/>
          <w:kern w:val="0"/>
        </w:rPr>
        <w:t xml:space="preserve"> imaging services </w:t>
      </w:r>
      <w:r>
        <w:rPr>
          <w:rFonts w:cs="Arial"/>
          <w:color w:val="000000"/>
          <w:kern w:val="0"/>
        </w:rPr>
        <w:t xml:space="preserve">are </w:t>
      </w:r>
      <w:r w:rsidRPr="00AA0A99">
        <w:rPr>
          <w:rFonts w:cs="Arial"/>
          <w:color w:val="000000"/>
          <w:kern w:val="0"/>
        </w:rPr>
        <w:t>a health care service</w:t>
      </w:r>
      <w:r>
        <w:rPr>
          <w:rFonts w:cs="Arial"/>
          <w:color w:val="000000"/>
          <w:kern w:val="0"/>
        </w:rPr>
        <w:t xml:space="preserve">, health care services are </w:t>
      </w:r>
      <w:r>
        <w:t>“</w:t>
      </w:r>
      <w:r w:rsidRPr="00493DDA">
        <w:t>all forms of health care provided for individuals</w:t>
      </w:r>
      <w:r>
        <w:t xml:space="preserve">” (as per s.150 of the Health and Social Care Act 2021 – see paragraph </w:t>
      </w:r>
      <w:r>
        <w:fldChar w:fldCharType="begin"/>
      </w:r>
      <w:r>
        <w:instrText xml:space="preserve"> REF _Ref221543272 \r \h </w:instrText>
      </w:r>
      <w:r>
        <w:fldChar w:fldCharType="separate"/>
      </w:r>
      <w:r w:rsidR="00A36497">
        <w:t>34</w:t>
      </w:r>
      <w:r>
        <w:fldChar w:fldCharType="end"/>
      </w:r>
      <w:r>
        <w:t xml:space="preserve">). </w:t>
      </w:r>
      <w:r w:rsidR="008B5146">
        <w:t>However, a</w:t>
      </w:r>
      <w:r w:rsidR="0080172D">
        <w:t>ccording to the service specification</w:t>
      </w:r>
      <w:r w:rsidR="008B5146">
        <w:t xml:space="preserve"> for the post-mortem imaging service</w:t>
      </w:r>
      <w:r w:rsidR="00FD056D">
        <w:t xml:space="preserve">, </w:t>
      </w:r>
      <w:r w:rsidR="0080172D">
        <w:t>th</w:t>
      </w:r>
      <w:r w:rsidR="008B5146">
        <w:t xml:space="preserve">is </w:t>
      </w:r>
      <w:r w:rsidR="0080172D">
        <w:t xml:space="preserve">service </w:t>
      </w:r>
      <w:r w:rsidR="00B40750" w:rsidRPr="00B40750">
        <w:t>fulfil</w:t>
      </w:r>
      <w:r w:rsidR="00D640C4">
        <w:t>s</w:t>
      </w:r>
      <w:r w:rsidR="00B40750" w:rsidRPr="00B40750">
        <w:t xml:space="preserve"> </w:t>
      </w:r>
      <w:r w:rsidR="00203AB9">
        <w:t xml:space="preserve">“the </w:t>
      </w:r>
      <w:r w:rsidR="00DD4F68">
        <w:t>C</w:t>
      </w:r>
      <w:r w:rsidR="00B40750" w:rsidRPr="00B40750">
        <w:t>oroner</w:t>
      </w:r>
      <w:r w:rsidR="00DD4F68">
        <w:t>’s</w:t>
      </w:r>
      <w:r w:rsidR="00B40750" w:rsidRPr="00B40750">
        <w:t xml:space="preserve"> post mortem examination requirements</w:t>
      </w:r>
      <w:r w:rsidR="0031341F">
        <w:t>”</w:t>
      </w:r>
      <w:r w:rsidR="007B3B02">
        <w:t xml:space="preserve"> </w:t>
      </w:r>
      <w:r w:rsidR="001235CF">
        <w:t xml:space="preserve">on the deceased </w:t>
      </w:r>
      <w:r w:rsidR="00DE36A1">
        <w:t>to establish</w:t>
      </w:r>
      <w:r w:rsidR="00B40750" w:rsidRPr="00B40750">
        <w:t xml:space="preserve"> </w:t>
      </w:r>
      <w:r w:rsidR="00DE36A1">
        <w:t>the</w:t>
      </w:r>
      <w:r w:rsidR="00B40750" w:rsidRPr="00B40750">
        <w:t xml:space="preserve"> cause of death </w:t>
      </w:r>
      <w:r w:rsidR="00D55186">
        <w:t xml:space="preserve">and </w:t>
      </w:r>
      <w:r w:rsidR="000C4C5B">
        <w:t>“</w:t>
      </w:r>
      <w:r w:rsidR="00B40750" w:rsidRPr="00B40750">
        <w:t xml:space="preserve">to ensure that the Coroner can continue to carry out their duties in </w:t>
      </w:r>
      <w:r w:rsidR="00B40750" w:rsidRPr="00B40750">
        <w:lastRenderedPageBreak/>
        <w:t>a timely fashion</w:t>
      </w:r>
      <w:r w:rsidR="000441C2">
        <w:t>”</w:t>
      </w:r>
      <w:r w:rsidR="00B40750" w:rsidRPr="00B40750">
        <w:t>.</w:t>
      </w:r>
      <w:r w:rsidR="00237F1B">
        <w:rPr>
          <w:rStyle w:val="FootnoteReference"/>
        </w:rPr>
        <w:footnoteReference w:id="17"/>
      </w:r>
      <w:r w:rsidR="00DC4313">
        <w:t xml:space="preserve"> </w:t>
      </w:r>
      <w:r w:rsidR="001F1813">
        <w:t>That is</w:t>
      </w:r>
      <w:r w:rsidR="00584FAB">
        <w:t xml:space="preserve">, the </w:t>
      </w:r>
      <w:r w:rsidR="007C0FDB">
        <w:t>post-mortem imaging service</w:t>
      </w:r>
      <w:r w:rsidR="00584FAB">
        <w:t xml:space="preserve"> i</w:t>
      </w:r>
      <w:r w:rsidR="007C0FDB">
        <w:t xml:space="preserve">s a service </w:t>
      </w:r>
      <w:r w:rsidR="00584FAB">
        <w:t xml:space="preserve">for the </w:t>
      </w:r>
      <w:r w:rsidR="007C0FDB">
        <w:t>coroner</w:t>
      </w:r>
      <w:r w:rsidR="000D6CAC">
        <w:t xml:space="preserve">, and </w:t>
      </w:r>
      <w:r w:rsidR="004D1ABF">
        <w:t>is</w:t>
      </w:r>
      <w:r w:rsidR="00FD056D">
        <w:t xml:space="preserve"> not a form of health care </w:t>
      </w:r>
      <w:r w:rsidR="00F57771">
        <w:t xml:space="preserve">provided to </w:t>
      </w:r>
      <w:r w:rsidR="00FD056D">
        <w:t>individuals.</w:t>
      </w:r>
      <w:r w:rsidR="00FD056D">
        <w:rPr>
          <w:rStyle w:val="FootnoteReference"/>
        </w:rPr>
        <w:footnoteReference w:id="18"/>
      </w:r>
      <w:bookmarkEnd w:id="13"/>
    </w:p>
    <w:p w14:paraId="39987759" w14:textId="1566E58F" w:rsidR="00422887" w:rsidRDefault="00174BF9" w:rsidP="00B457FB">
      <w:pPr>
        <w:pStyle w:val="ListParagraph"/>
      </w:pPr>
      <w:r>
        <w:t xml:space="preserve">The Panel notes that </w:t>
      </w:r>
      <w:r w:rsidR="007D0F00">
        <w:t>post-mortem imaging services appea</w:t>
      </w:r>
      <w:r w:rsidR="0033078D">
        <w:t>r</w:t>
      </w:r>
      <w:r w:rsidR="007D0F00">
        <w:t xml:space="preserve"> to fall within </w:t>
      </w:r>
      <w:r w:rsidR="002B4A4D">
        <w:t>one of the CPV codes set out in Schedule 1 of the regulations</w:t>
      </w:r>
      <w:r w:rsidR="00C31594">
        <w:t xml:space="preserve">. That is, </w:t>
      </w:r>
      <w:r w:rsidR="00A93B9E">
        <w:t>the code for medical imaging</w:t>
      </w:r>
      <w:r w:rsidR="00C31594">
        <w:t xml:space="preserve">, </w:t>
      </w:r>
      <w:r w:rsidR="00FC7EAA">
        <w:t>which was the CPV code</w:t>
      </w:r>
      <w:r w:rsidR="00D376BF">
        <w:t xml:space="preserve"> included in RBC’s notice inviting providers to submit proposals</w:t>
      </w:r>
      <w:r w:rsidR="00A93B9E">
        <w:t xml:space="preserve">. </w:t>
      </w:r>
      <w:r w:rsidR="00422887">
        <w:t xml:space="preserve">It is not sufficient, however, for a service to fall within one of the CPV codes set out in Schedule 1 of the regulations for that service to be a relevant health care service. The service must also meet the definition of a </w:t>
      </w:r>
      <w:r w:rsidR="008A2CE2">
        <w:t>health care service.</w:t>
      </w:r>
    </w:p>
    <w:p w14:paraId="1749BF02" w14:textId="6C356C5B" w:rsidR="00322751" w:rsidRDefault="000D6CAC" w:rsidP="00B457FB">
      <w:pPr>
        <w:pStyle w:val="ListParagraph"/>
      </w:pPr>
      <w:r>
        <w:t>As a result, the Panel’s view is that post-mortem imaging services are not relevant health care services.</w:t>
      </w:r>
    </w:p>
    <w:p w14:paraId="241607D5" w14:textId="6E81E672" w:rsidR="007804C5" w:rsidRPr="007804C5" w:rsidRDefault="00FD23FF" w:rsidP="00DE6B9B">
      <w:pPr>
        <w:pStyle w:val="Heading2"/>
      </w:pPr>
      <w:bookmarkStart w:id="14" w:name="_Toc222220124"/>
      <w:r>
        <w:t>Whether the procurement is for the purposes of the health service</w:t>
      </w:r>
      <w:bookmarkEnd w:id="14"/>
    </w:p>
    <w:p w14:paraId="5F3F8331" w14:textId="54B78829" w:rsidR="009C3126" w:rsidRDefault="009C3126" w:rsidP="009C3126">
      <w:pPr>
        <w:pStyle w:val="ListParagraph"/>
      </w:pPr>
      <w:r>
        <w:t xml:space="preserve">The final leg of the Panel’s assessment is whether </w:t>
      </w:r>
      <w:r w:rsidR="00DE2BE5">
        <w:t xml:space="preserve">RBC’s procurement of </w:t>
      </w:r>
      <w:r w:rsidR="00D47DA7">
        <w:t xml:space="preserve">a </w:t>
      </w:r>
      <w:r w:rsidR="00CF4D9F">
        <w:t>post-mortem</w:t>
      </w:r>
      <w:r>
        <w:t xml:space="preserve"> imaging service</w:t>
      </w:r>
      <w:r w:rsidR="00DE2BE5">
        <w:t xml:space="preserve"> is “for the purposes of the health service in England”.</w:t>
      </w:r>
    </w:p>
    <w:p w14:paraId="2BEBC44B" w14:textId="56DBDC48" w:rsidR="00A17DA7" w:rsidRDefault="00970113" w:rsidP="009C3126">
      <w:pPr>
        <w:pStyle w:val="ListParagraph"/>
      </w:pPr>
      <w:r>
        <w:t xml:space="preserve">The </w:t>
      </w:r>
      <w:r w:rsidR="00974824">
        <w:t>NHS</w:t>
      </w:r>
      <w:r>
        <w:t xml:space="preserve"> Act 2006 </w:t>
      </w:r>
      <w:r w:rsidR="00D02619">
        <w:t xml:space="preserve">says at </w:t>
      </w:r>
      <w:r w:rsidR="00E42C64">
        <w:t>S</w:t>
      </w:r>
      <w:r w:rsidR="00D02619">
        <w:t xml:space="preserve">ection </w:t>
      </w:r>
      <w:r w:rsidR="00E42C64">
        <w:t>1(3)</w:t>
      </w:r>
      <w:r w:rsidR="00D02619">
        <w:t xml:space="preserve"> “</w:t>
      </w:r>
      <w:r w:rsidR="00D02619" w:rsidRPr="00737562">
        <w:t>The Secretary of State retains ministerial responsibility to Parliament for the provision of the health service in England</w:t>
      </w:r>
      <w:r w:rsidR="00D02619">
        <w:t xml:space="preserve"> </w:t>
      </w:r>
      <w:r w:rsidR="00D02619" w:rsidRPr="00737562">
        <w:t>...”</w:t>
      </w:r>
      <w:r w:rsidR="00D02619">
        <w:t>.</w:t>
      </w:r>
      <w:r w:rsidR="00753090">
        <w:t xml:space="preserve"> </w:t>
      </w:r>
      <w:r w:rsidR="00B62798">
        <w:t>The Panel</w:t>
      </w:r>
      <w:r w:rsidR="00FC26E5">
        <w:t>, however,</w:t>
      </w:r>
      <w:r w:rsidR="00B62798">
        <w:t xml:space="preserve"> notes that </w:t>
      </w:r>
      <w:r w:rsidR="00896029">
        <w:t xml:space="preserve">coroners </w:t>
      </w:r>
      <w:r w:rsidR="00FC26E5">
        <w:t xml:space="preserve">are </w:t>
      </w:r>
      <w:r w:rsidR="00896029">
        <w:t>independent judicial office holders appointed by local authorities</w:t>
      </w:r>
      <w:r w:rsidR="00750FD9">
        <w:t>, and the coroner service in England and Wales is led by the Chief Coroner, a position created under the Coroners and Justice Act 2009.</w:t>
      </w:r>
      <w:r w:rsidR="00242448">
        <w:rPr>
          <w:rStyle w:val="FootnoteReference"/>
        </w:rPr>
        <w:footnoteReference w:id="19"/>
      </w:r>
      <w:r w:rsidR="00D11824">
        <w:t xml:space="preserve"> That is, coroners are part of the justice system rather than part of the health service.</w:t>
      </w:r>
    </w:p>
    <w:p w14:paraId="76638D58" w14:textId="298E0C81" w:rsidR="004B0328" w:rsidRPr="005C03A8" w:rsidRDefault="0064274B" w:rsidP="00843890">
      <w:pPr>
        <w:pStyle w:val="ListParagraph"/>
        <w:spacing w:after="120"/>
      </w:pPr>
      <w:r>
        <w:t>RBC told the Panel that</w:t>
      </w:r>
      <w:r w:rsidR="005C03A8" w:rsidRPr="005C03A8">
        <w:t>:</w:t>
      </w:r>
    </w:p>
    <w:p w14:paraId="569BBF8A" w14:textId="7AACA7DD" w:rsidR="002C688F" w:rsidRPr="00C95838" w:rsidRDefault="005C03A8" w:rsidP="00C95838">
      <w:pPr>
        <w:ind w:left="851"/>
        <w:rPr>
          <w:sz w:val="21"/>
          <w:szCs w:val="21"/>
        </w:rPr>
      </w:pPr>
      <w:r w:rsidRPr="00C95838">
        <w:rPr>
          <w:sz w:val="21"/>
          <w:szCs w:val="21"/>
        </w:rPr>
        <w:t>“</w:t>
      </w:r>
      <w:r w:rsidR="002C688F" w:rsidRPr="00C95838">
        <w:rPr>
          <w:sz w:val="21"/>
          <w:szCs w:val="21"/>
        </w:rPr>
        <w:t>While the Coroner acts as a judicial officer, the Council’s procurement of medical imaging services is a discharge of its wider public health responsibilities. It is a health service function funded by a health service body, the local authority under its public health mandate</w:t>
      </w:r>
      <w:r w:rsidR="00843890">
        <w:rPr>
          <w:sz w:val="21"/>
          <w:szCs w:val="21"/>
        </w:rPr>
        <w:t xml:space="preserve"> …</w:t>
      </w:r>
      <w:r w:rsidR="000261F4">
        <w:rPr>
          <w:sz w:val="21"/>
          <w:szCs w:val="21"/>
        </w:rPr>
        <w:t xml:space="preserve"> </w:t>
      </w:r>
      <w:r w:rsidR="00C95838" w:rsidRPr="00C95838">
        <w:rPr>
          <w:sz w:val="21"/>
          <w:szCs w:val="21"/>
        </w:rPr>
        <w:t>The fact that the output of the service aids a judicial function does not change the fact that the arrangement of the service is a statutory function of the Council.”</w:t>
      </w:r>
      <w:r w:rsidR="00554F4A">
        <w:rPr>
          <w:rStyle w:val="FootnoteReference"/>
          <w:sz w:val="21"/>
          <w:szCs w:val="21"/>
        </w:rPr>
        <w:footnoteReference w:id="20"/>
      </w:r>
    </w:p>
    <w:p w14:paraId="3046C0CD" w14:textId="3349AE14" w:rsidR="00C22ED0" w:rsidRDefault="00EF2A62" w:rsidP="00843890">
      <w:pPr>
        <w:pStyle w:val="ListParagraph"/>
      </w:pPr>
      <w:r>
        <w:t xml:space="preserve">The Panel does not </w:t>
      </w:r>
      <w:r w:rsidR="00C22ED0">
        <w:t xml:space="preserve">agree with RBC that its </w:t>
      </w:r>
      <w:r>
        <w:t xml:space="preserve">procurement of </w:t>
      </w:r>
      <w:r w:rsidR="00CF4D9F">
        <w:t>post-mortem</w:t>
      </w:r>
      <w:r>
        <w:t xml:space="preserve"> imaging services is part of its public health responsibilities</w:t>
      </w:r>
      <w:r w:rsidR="001C5348">
        <w:t xml:space="preserve"> given that the coroner is part of the justice system</w:t>
      </w:r>
      <w:r w:rsidR="00C22ED0">
        <w:t>.</w:t>
      </w:r>
    </w:p>
    <w:p w14:paraId="002D9DEC" w14:textId="35249650" w:rsidR="00843890" w:rsidRDefault="00843890" w:rsidP="00843890">
      <w:pPr>
        <w:pStyle w:val="ListParagraph"/>
      </w:pPr>
      <w:r>
        <w:t xml:space="preserve">As a result, the Panel’s view is that the supply of </w:t>
      </w:r>
      <w:r w:rsidR="00CF4D9F">
        <w:t>post-mortem</w:t>
      </w:r>
      <w:r>
        <w:t xml:space="preserve"> imaging services to coroners</w:t>
      </w:r>
      <w:r w:rsidR="00D56434">
        <w:t xml:space="preserve"> is not for the purposes of the </w:t>
      </w:r>
      <w:r>
        <w:t>health service in England.</w:t>
      </w:r>
    </w:p>
    <w:p w14:paraId="2E220411" w14:textId="42B48E1F" w:rsidR="008A234C" w:rsidRPr="00C31F0D" w:rsidRDefault="008A234C" w:rsidP="00AC232B">
      <w:pPr>
        <w:pStyle w:val="Heading1"/>
      </w:pPr>
      <w:bookmarkStart w:id="15" w:name="_Toc222220125"/>
      <w:r w:rsidRPr="00C31F0D">
        <w:t xml:space="preserve">Panel </w:t>
      </w:r>
      <w:r w:rsidR="009A206F">
        <w:t>conclusions and a</w:t>
      </w:r>
      <w:r w:rsidRPr="00C31F0D">
        <w:t>dvice</w:t>
      </w:r>
      <w:bookmarkEnd w:id="15"/>
    </w:p>
    <w:p w14:paraId="27BE6CD8" w14:textId="68487671" w:rsidR="009A206F" w:rsidRDefault="008A234C" w:rsidP="00537BF6">
      <w:pPr>
        <w:pStyle w:val="ListParagraph"/>
      </w:pPr>
      <w:r w:rsidRPr="008A234C">
        <w:t xml:space="preserve">In </w:t>
      </w:r>
      <w:r w:rsidR="00D56434">
        <w:t>conclusion</w:t>
      </w:r>
      <w:r w:rsidRPr="008A234C">
        <w:t>, the Panel find</w:t>
      </w:r>
      <w:r w:rsidR="00D56434">
        <w:t xml:space="preserve">s that </w:t>
      </w:r>
      <w:r w:rsidR="00432F6F">
        <w:t xml:space="preserve">RBC’s procurement of </w:t>
      </w:r>
      <w:r w:rsidR="00CF4D9F">
        <w:t>post-mortem</w:t>
      </w:r>
      <w:r w:rsidR="00432F6F">
        <w:t xml:space="preserve"> imaging services falls outside the scope of the </w:t>
      </w:r>
      <w:r w:rsidR="000B28E8">
        <w:t>PSR.</w:t>
      </w:r>
      <w:r w:rsidR="009A206F">
        <w:t xml:space="preserve"> This is because</w:t>
      </w:r>
      <w:r w:rsidR="00B62CFF">
        <w:t>: (</w:t>
      </w:r>
      <w:proofErr w:type="spellStart"/>
      <w:r w:rsidR="00B62CFF">
        <w:t>i</w:t>
      </w:r>
      <w:proofErr w:type="spellEnd"/>
      <w:r w:rsidR="00B62CFF">
        <w:t xml:space="preserve">) </w:t>
      </w:r>
      <w:r w:rsidR="00CF4D9F">
        <w:t>post-mortem</w:t>
      </w:r>
      <w:r w:rsidR="00B62CFF">
        <w:t xml:space="preserve"> imaging </w:t>
      </w:r>
      <w:r w:rsidR="00B62CFF">
        <w:lastRenderedPageBreak/>
        <w:t xml:space="preserve">services are not a relevant health care service; and (ii) RBC’s procurement of </w:t>
      </w:r>
      <w:r w:rsidR="00D82EA8">
        <w:t xml:space="preserve">a </w:t>
      </w:r>
      <w:r w:rsidR="00CF4D9F">
        <w:t>post-mortem</w:t>
      </w:r>
      <w:r w:rsidR="00B62CFF">
        <w:t xml:space="preserve"> imaging service is not for the purposes of the health service in England.</w:t>
      </w:r>
    </w:p>
    <w:p w14:paraId="061BD95F" w14:textId="351CAA4F" w:rsidR="00D56434" w:rsidRDefault="000B28E8" w:rsidP="00537BF6">
      <w:pPr>
        <w:pStyle w:val="ListParagraph"/>
      </w:pPr>
      <w:r>
        <w:t xml:space="preserve">As a result, the Panel advises </w:t>
      </w:r>
      <w:r w:rsidR="001D1959">
        <w:t>RBC to abandon the current provider selection process.</w:t>
      </w:r>
    </w:p>
    <w:p w14:paraId="67B37D41" w14:textId="77777777" w:rsidR="002311A2" w:rsidRPr="00BA700A" w:rsidRDefault="002311A2" w:rsidP="00BA700A">
      <w:pPr>
        <w:rPr>
          <w:highlight w:val="yellow"/>
        </w:rPr>
      </w:pPr>
    </w:p>
    <w:p w14:paraId="3A0AC9B0" w14:textId="77777777" w:rsidR="002311A2" w:rsidRPr="002311A2" w:rsidRDefault="002311A2" w:rsidP="002311A2">
      <w:pPr>
        <w:rPr>
          <w:highlight w:val="yellow"/>
        </w:rPr>
      </w:pPr>
    </w:p>
    <w:sectPr w:rsidR="002311A2" w:rsidRPr="002311A2" w:rsidSect="00A84AAA">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6618" w14:textId="77777777" w:rsidR="009F136A" w:rsidRDefault="009F136A" w:rsidP="006747EA">
      <w:pPr>
        <w:spacing w:after="0" w:line="240" w:lineRule="auto"/>
      </w:pPr>
      <w:r>
        <w:separator/>
      </w:r>
    </w:p>
  </w:endnote>
  <w:endnote w:type="continuationSeparator" w:id="0">
    <w:p w14:paraId="0B0694FB" w14:textId="77777777" w:rsidR="009F136A" w:rsidRDefault="009F136A" w:rsidP="0067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649266"/>
      <w:docPartObj>
        <w:docPartGallery w:val="Page Numbers (Bottom of Page)"/>
        <w:docPartUnique/>
      </w:docPartObj>
    </w:sdtPr>
    <w:sdtEndPr>
      <w:rPr>
        <w:noProof/>
      </w:rPr>
    </w:sdtEndPr>
    <w:sdtContent>
      <w:p w14:paraId="4B35A013" w14:textId="0741368B" w:rsidR="00A84AAA" w:rsidRDefault="00A84A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3D6D02" w14:textId="77777777" w:rsidR="00A84AAA" w:rsidRDefault="00A84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DB82" w14:textId="77777777" w:rsidR="009F136A" w:rsidRDefault="009F136A" w:rsidP="006747EA">
      <w:pPr>
        <w:spacing w:after="0" w:line="240" w:lineRule="auto"/>
      </w:pPr>
      <w:r>
        <w:separator/>
      </w:r>
    </w:p>
  </w:footnote>
  <w:footnote w:type="continuationSeparator" w:id="0">
    <w:p w14:paraId="41F13D3A" w14:textId="77777777" w:rsidR="009F136A" w:rsidRDefault="009F136A" w:rsidP="006747EA">
      <w:pPr>
        <w:spacing w:after="0" w:line="240" w:lineRule="auto"/>
      </w:pPr>
      <w:r>
        <w:continuationSeparator/>
      </w:r>
    </w:p>
  </w:footnote>
  <w:footnote w:id="1">
    <w:p w14:paraId="6320AB2E" w14:textId="7B91C43B" w:rsidR="00D479ED" w:rsidRPr="001568C4" w:rsidRDefault="00D479ED">
      <w:pPr>
        <w:pStyle w:val="FootnoteText"/>
        <w:rPr>
          <w:sz w:val="16"/>
          <w:szCs w:val="16"/>
        </w:rPr>
      </w:pPr>
      <w:r w:rsidRPr="0092015A">
        <w:rPr>
          <w:rStyle w:val="FootnoteReference"/>
          <w:sz w:val="16"/>
          <w:szCs w:val="16"/>
        </w:rPr>
        <w:footnoteRef/>
      </w:r>
      <w:r w:rsidRPr="0092015A">
        <w:rPr>
          <w:sz w:val="16"/>
          <w:szCs w:val="16"/>
        </w:rPr>
        <w:t xml:space="preserve"> </w:t>
      </w:r>
      <w:r w:rsidR="00F17760" w:rsidRPr="0092015A">
        <w:rPr>
          <w:sz w:val="16"/>
          <w:szCs w:val="16"/>
        </w:rPr>
        <w:t>Digital Autopsy</w:t>
      </w:r>
      <w:r w:rsidR="00247869" w:rsidRPr="0092015A">
        <w:rPr>
          <w:sz w:val="16"/>
          <w:szCs w:val="16"/>
        </w:rPr>
        <w:t xml:space="preserve"> is </w:t>
      </w:r>
      <w:r w:rsidR="003B568B" w:rsidRPr="0092015A">
        <w:rPr>
          <w:sz w:val="16"/>
          <w:szCs w:val="16"/>
        </w:rPr>
        <w:t xml:space="preserve">a provider of </w:t>
      </w:r>
      <w:r w:rsidR="008938C0" w:rsidRPr="0092015A">
        <w:rPr>
          <w:sz w:val="16"/>
          <w:szCs w:val="16"/>
        </w:rPr>
        <w:t xml:space="preserve">non-invasive </w:t>
      </w:r>
      <w:r w:rsidR="00AE6F95" w:rsidRPr="0092015A">
        <w:rPr>
          <w:sz w:val="16"/>
          <w:szCs w:val="16"/>
        </w:rPr>
        <w:t>digital autopsy services</w:t>
      </w:r>
      <w:r w:rsidR="00247869" w:rsidRPr="0092015A">
        <w:rPr>
          <w:sz w:val="16"/>
          <w:szCs w:val="16"/>
        </w:rPr>
        <w:t xml:space="preserve">. Further information </w:t>
      </w:r>
      <w:r w:rsidR="00F646A6">
        <w:rPr>
          <w:sz w:val="16"/>
          <w:szCs w:val="16"/>
        </w:rPr>
        <w:t xml:space="preserve">on Digital Autopsy </w:t>
      </w:r>
      <w:r w:rsidR="00247869" w:rsidRPr="0092015A">
        <w:rPr>
          <w:sz w:val="16"/>
          <w:szCs w:val="16"/>
        </w:rPr>
        <w:t xml:space="preserve">can be found on its website </w:t>
      </w:r>
      <w:hyperlink r:id="rId1" w:history="1">
        <w:r w:rsidR="0092015A" w:rsidRPr="0092015A">
          <w:rPr>
            <w:rStyle w:val="Hyperlink"/>
            <w:sz w:val="16"/>
            <w:szCs w:val="16"/>
          </w:rPr>
          <w:t>https://www.digitalautopsy.co.uk/</w:t>
        </w:r>
      </w:hyperlink>
      <w:r w:rsidR="0092015A" w:rsidRPr="0092015A">
        <w:rPr>
          <w:sz w:val="16"/>
          <w:szCs w:val="16"/>
        </w:rPr>
        <w:t>.</w:t>
      </w:r>
      <w:r w:rsidR="0092015A">
        <w:rPr>
          <w:sz w:val="16"/>
          <w:szCs w:val="16"/>
        </w:rPr>
        <w:t xml:space="preserve"> </w:t>
      </w:r>
    </w:p>
  </w:footnote>
  <w:footnote w:id="2">
    <w:p w14:paraId="4F3FFA4D" w14:textId="562D558B" w:rsidR="00D270C3" w:rsidRPr="00D270C3" w:rsidRDefault="00D270C3">
      <w:pPr>
        <w:pStyle w:val="FootnoteText"/>
        <w:rPr>
          <w:sz w:val="16"/>
          <w:szCs w:val="16"/>
        </w:rPr>
      </w:pPr>
      <w:r w:rsidRPr="00D270C3">
        <w:rPr>
          <w:rStyle w:val="FootnoteReference"/>
          <w:sz w:val="16"/>
          <w:szCs w:val="16"/>
        </w:rPr>
        <w:footnoteRef/>
      </w:r>
      <w:r w:rsidRPr="00D270C3">
        <w:rPr>
          <w:sz w:val="16"/>
          <w:szCs w:val="16"/>
        </w:rPr>
        <w:t xml:space="preserve"> RBC is a local authority and statutory body responsible for delivering essential public services, including public health</w:t>
      </w:r>
      <w:r>
        <w:rPr>
          <w:sz w:val="16"/>
          <w:szCs w:val="16"/>
        </w:rPr>
        <w:t xml:space="preserve">. Further information </w:t>
      </w:r>
      <w:r w:rsidR="00F646A6">
        <w:rPr>
          <w:sz w:val="16"/>
          <w:szCs w:val="16"/>
        </w:rPr>
        <w:t xml:space="preserve">on RBC </w:t>
      </w:r>
      <w:r w:rsidRPr="00732759">
        <w:rPr>
          <w:sz w:val="16"/>
          <w:szCs w:val="16"/>
        </w:rPr>
        <w:t xml:space="preserve">can be found on its website </w:t>
      </w:r>
      <w:hyperlink r:id="rId2" w:history="1">
        <w:r w:rsidRPr="00732759">
          <w:rPr>
            <w:rStyle w:val="Hyperlink"/>
            <w:sz w:val="16"/>
            <w:szCs w:val="16"/>
          </w:rPr>
          <w:t>https://www.rochdale.gov.uk/</w:t>
        </w:r>
      </w:hyperlink>
      <w:r w:rsidRPr="00732759">
        <w:rPr>
          <w:sz w:val="16"/>
          <w:szCs w:val="16"/>
        </w:rPr>
        <w:t xml:space="preserve">. </w:t>
      </w:r>
    </w:p>
  </w:footnote>
  <w:footnote w:id="3">
    <w:p w14:paraId="4CD568E9" w14:textId="6FEAACD5" w:rsidR="00280B4D" w:rsidRDefault="00280B4D">
      <w:pPr>
        <w:pStyle w:val="FootnoteText"/>
      </w:pPr>
      <w:r w:rsidRPr="001568C4">
        <w:rPr>
          <w:rStyle w:val="FootnoteReference"/>
          <w:sz w:val="16"/>
          <w:szCs w:val="16"/>
        </w:rPr>
        <w:footnoteRef/>
      </w:r>
      <w:r>
        <w:t xml:space="preserve"> </w:t>
      </w:r>
      <w:r w:rsidR="00247869" w:rsidRPr="00166E81">
        <w:rPr>
          <w:sz w:val="16"/>
          <w:szCs w:val="16"/>
        </w:rPr>
        <w:t>The Panel</w:t>
      </w:r>
      <w:r w:rsidR="007477B3" w:rsidRPr="00166E81">
        <w:rPr>
          <w:sz w:val="16"/>
          <w:szCs w:val="16"/>
        </w:rPr>
        <w:t>’s case acceptance criteria are available at</w:t>
      </w:r>
      <w:r w:rsidR="00166E81" w:rsidRPr="00166E81">
        <w:rPr>
          <w:sz w:val="16"/>
          <w:szCs w:val="16"/>
        </w:rPr>
        <w:t xml:space="preserve"> </w:t>
      </w:r>
      <w:hyperlink r:id="rId3" w:history="1">
        <w:r w:rsidR="00166E81" w:rsidRPr="00A43E28">
          <w:rPr>
            <w:rStyle w:val="Hyperlink"/>
            <w:sz w:val="16"/>
            <w:szCs w:val="16"/>
          </w:rPr>
          <w:t>https://www.england.nhs.uk/commissioning/how-commissioning-is-changing/nhs-provider-selection-regime/independent-patient-choice-and-procurement-panel/</w:t>
        </w:r>
      </w:hyperlink>
      <w:r w:rsidR="007477B3">
        <w:t xml:space="preserve"> </w:t>
      </w:r>
    </w:p>
  </w:footnote>
  <w:footnote w:id="4">
    <w:p w14:paraId="77F1ECFB" w14:textId="5066DE5F" w:rsidR="008E4F6C" w:rsidRPr="003B4728" w:rsidRDefault="008E4F6C">
      <w:pPr>
        <w:pStyle w:val="FootnoteText"/>
        <w:rPr>
          <w:sz w:val="16"/>
          <w:szCs w:val="16"/>
        </w:rPr>
      </w:pPr>
      <w:r w:rsidRPr="003B4728">
        <w:rPr>
          <w:rStyle w:val="FootnoteReference"/>
          <w:sz w:val="16"/>
          <w:szCs w:val="16"/>
        </w:rPr>
        <w:footnoteRef/>
      </w:r>
      <w:r w:rsidRPr="003B4728">
        <w:rPr>
          <w:sz w:val="16"/>
          <w:szCs w:val="16"/>
        </w:rPr>
        <w:t xml:space="preserve"> </w:t>
      </w:r>
      <w:r w:rsidR="00144436">
        <w:rPr>
          <w:sz w:val="16"/>
          <w:szCs w:val="16"/>
        </w:rPr>
        <w:t xml:space="preserve">Biographies of Panel members are available at </w:t>
      </w:r>
      <w:hyperlink r:id="rId4" w:history="1">
        <w:r w:rsidR="00710393" w:rsidRPr="00710393">
          <w:rPr>
            <w:rStyle w:val="Hyperlink"/>
            <w:sz w:val="16"/>
            <w:szCs w:val="16"/>
          </w:rPr>
          <w:t>https://www.england.nhs.uk/commissioning/how-commissioning-is-changing/nhs-provider-selection-regime/independent-patient-choice-and-procurement-panel/panel-members/</w:t>
        </w:r>
      </w:hyperlink>
    </w:p>
  </w:footnote>
  <w:footnote w:id="5">
    <w:p w14:paraId="2D0316B2" w14:textId="7F1173A2" w:rsidR="00EB3A9D" w:rsidRPr="003B4728" w:rsidRDefault="00EB3A9D">
      <w:pPr>
        <w:pStyle w:val="FootnoteText"/>
        <w:rPr>
          <w:sz w:val="16"/>
          <w:szCs w:val="16"/>
        </w:rPr>
      </w:pPr>
      <w:r w:rsidRPr="003B4728">
        <w:rPr>
          <w:rStyle w:val="FootnoteReference"/>
          <w:sz w:val="16"/>
          <w:szCs w:val="16"/>
        </w:rPr>
        <w:footnoteRef/>
      </w:r>
      <w:r w:rsidRPr="003B4728">
        <w:rPr>
          <w:sz w:val="16"/>
          <w:szCs w:val="16"/>
        </w:rPr>
        <w:t xml:space="preserve"> </w:t>
      </w:r>
      <w:r w:rsidR="00144436">
        <w:rPr>
          <w:sz w:val="16"/>
          <w:szCs w:val="16"/>
        </w:rPr>
        <w:t xml:space="preserve">The Panel’s Standard Operating Procedures are available at </w:t>
      </w:r>
      <w:hyperlink r:id="rId5" w:history="1">
        <w:r w:rsidR="003D02FD" w:rsidRPr="007B19B4">
          <w:rPr>
            <w:rStyle w:val="Hyperlink"/>
            <w:sz w:val="16"/>
            <w:szCs w:val="16"/>
          </w:rPr>
          <w:t>https://www.england.nhs.uk/commissioning/how-commissioning-is-changing/nhs-provider-selection-regime/independent-patient-choice-and-procurement-panel/</w:t>
        </w:r>
      </w:hyperlink>
      <w:r w:rsidR="003D02FD">
        <w:rPr>
          <w:sz w:val="16"/>
          <w:szCs w:val="16"/>
        </w:rPr>
        <w:t xml:space="preserve"> </w:t>
      </w:r>
    </w:p>
  </w:footnote>
  <w:footnote w:id="6">
    <w:p w14:paraId="4479D9F5" w14:textId="4FAB547D" w:rsidR="00F85E6F" w:rsidRPr="003B4728" w:rsidRDefault="00F85E6F">
      <w:pPr>
        <w:pStyle w:val="FootnoteText"/>
        <w:rPr>
          <w:sz w:val="16"/>
          <w:szCs w:val="16"/>
        </w:rPr>
      </w:pPr>
      <w:r w:rsidRPr="003B4728">
        <w:rPr>
          <w:rStyle w:val="FootnoteReference"/>
          <w:sz w:val="16"/>
          <w:szCs w:val="16"/>
        </w:rPr>
        <w:footnoteRef/>
      </w:r>
      <w:r w:rsidRPr="003B4728">
        <w:rPr>
          <w:sz w:val="16"/>
          <w:szCs w:val="16"/>
        </w:rPr>
        <w:t xml:space="preserve"> </w:t>
      </w:r>
      <w:r w:rsidR="003D6F82">
        <w:rPr>
          <w:sz w:val="16"/>
          <w:szCs w:val="16"/>
        </w:rPr>
        <w:t xml:space="preserve">The Panel’s advice is provided under paragraph 23 of the PSR Regulations and takes account of the representations made to the Panel prior to forming its opinion. </w:t>
      </w:r>
    </w:p>
  </w:footnote>
  <w:footnote w:id="7">
    <w:p w14:paraId="73985A0B" w14:textId="53D58AD7" w:rsidR="00F07723" w:rsidRPr="00170831" w:rsidRDefault="00F07723">
      <w:pPr>
        <w:pStyle w:val="FootnoteText"/>
        <w:rPr>
          <w:sz w:val="16"/>
          <w:szCs w:val="16"/>
        </w:rPr>
      </w:pPr>
      <w:r w:rsidRPr="00170831">
        <w:rPr>
          <w:rStyle w:val="FootnoteReference"/>
          <w:sz w:val="16"/>
          <w:szCs w:val="16"/>
        </w:rPr>
        <w:footnoteRef/>
      </w:r>
      <w:r w:rsidRPr="00170831">
        <w:rPr>
          <w:sz w:val="16"/>
          <w:szCs w:val="16"/>
        </w:rPr>
        <w:t xml:space="preserve"> </w:t>
      </w:r>
      <w:r w:rsidR="003D6F82" w:rsidRPr="00170831">
        <w:rPr>
          <w:sz w:val="16"/>
          <w:szCs w:val="16"/>
        </w:rPr>
        <w:t>The PSR Regulations are available at</w:t>
      </w:r>
      <w:r w:rsidR="00041361">
        <w:rPr>
          <w:sz w:val="16"/>
          <w:szCs w:val="16"/>
        </w:rPr>
        <w:t xml:space="preserve"> </w:t>
      </w:r>
      <w:hyperlink r:id="rId6" w:history="1">
        <w:r w:rsidR="00041361" w:rsidRPr="007B19B4">
          <w:rPr>
            <w:rStyle w:val="Hyperlink"/>
            <w:sz w:val="16"/>
            <w:szCs w:val="16"/>
          </w:rPr>
          <w:t>https://www.legislation.gov.uk/uksi/2023/1348/contents/made</w:t>
        </w:r>
      </w:hyperlink>
      <w:r w:rsidR="00041361">
        <w:rPr>
          <w:sz w:val="16"/>
          <w:szCs w:val="16"/>
        </w:rPr>
        <w:t xml:space="preserve"> </w:t>
      </w:r>
      <w:r w:rsidR="00170831" w:rsidRPr="00170831">
        <w:rPr>
          <w:sz w:val="16"/>
          <w:szCs w:val="16"/>
        </w:rPr>
        <w:t xml:space="preserve">and the accompanying statutory guidance is available at NHS England, </w:t>
      </w:r>
      <w:r w:rsidR="00170831" w:rsidRPr="00E66407">
        <w:rPr>
          <w:i/>
          <w:iCs/>
          <w:sz w:val="16"/>
          <w:szCs w:val="16"/>
        </w:rPr>
        <w:t>The Provider Selection Regime: statutory guidance</w:t>
      </w:r>
      <w:r w:rsidR="00170831" w:rsidRPr="00170831">
        <w:rPr>
          <w:sz w:val="16"/>
          <w:szCs w:val="16"/>
        </w:rPr>
        <w:t xml:space="preserve">, </w:t>
      </w:r>
      <w:hyperlink r:id="rId7" w:history="1">
        <w:r w:rsidR="00F75F54" w:rsidRPr="007B19B4">
          <w:rPr>
            <w:rStyle w:val="Hyperlink"/>
            <w:sz w:val="16"/>
            <w:szCs w:val="16"/>
          </w:rPr>
          <w:t>https://www.england.nhs.uk/long-read/the-provider-selection-regime-statutory-guidance/</w:t>
        </w:r>
      </w:hyperlink>
      <w:r w:rsidR="00F75F54">
        <w:rPr>
          <w:sz w:val="16"/>
          <w:szCs w:val="16"/>
        </w:rPr>
        <w:t xml:space="preserve"> </w:t>
      </w:r>
    </w:p>
  </w:footnote>
  <w:footnote w:id="8">
    <w:p w14:paraId="0D6FE517" w14:textId="5FDFE798" w:rsidR="0006420A" w:rsidRPr="006B4B2A" w:rsidRDefault="0006420A">
      <w:pPr>
        <w:pStyle w:val="FootnoteText"/>
        <w:rPr>
          <w:sz w:val="16"/>
          <w:szCs w:val="16"/>
        </w:rPr>
      </w:pPr>
      <w:r w:rsidRPr="006B4B2A">
        <w:rPr>
          <w:rStyle w:val="FootnoteReference"/>
          <w:sz w:val="16"/>
          <w:szCs w:val="16"/>
        </w:rPr>
        <w:footnoteRef/>
      </w:r>
      <w:r w:rsidRPr="006B4B2A">
        <w:rPr>
          <w:sz w:val="16"/>
          <w:szCs w:val="16"/>
        </w:rPr>
        <w:t xml:space="preserve"> RBC’s existing </w:t>
      </w:r>
      <w:r w:rsidR="006B4B2A" w:rsidRPr="006B4B2A">
        <w:rPr>
          <w:sz w:val="16"/>
          <w:szCs w:val="16"/>
        </w:rPr>
        <w:t xml:space="preserve">arrangements cover invasive or external </w:t>
      </w:r>
      <w:r w:rsidR="00CF4D9F">
        <w:rPr>
          <w:sz w:val="16"/>
          <w:szCs w:val="16"/>
        </w:rPr>
        <w:t>post-mortem</w:t>
      </w:r>
      <w:r w:rsidR="006B4B2A" w:rsidRPr="006B4B2A">
        <w:rPr>
          <w:sz w:val="16"/>
          <w:szCs w:val="16"/>
        </w:rPr>
        <w:t xml:space="preserve"> examinations only. </w:t>
      </w:r>
    </w:p>
  </w:footnote>
  <w:footnote w:id="9">
    <w:p w14:paraId="4E098F42" w14:textId="68FE0F8E" w:rsidR="000B7ABA" w:rsidRPr="000B7ABA" w:rsidRDefault="000B7ABA">
      <w:pPr>
        <w:pStyle w:val="FootnoteText"/>
        <w:rPr>
          <w:sz w:val="16"/>
          <w:szCs w:val="16"/>
        </w:rPr>
      </w:pPr>
      <w:r w:rsidRPr="000B7ABA">
        <w:rPr>
          <w:rStyle w:val="FootnoteReference"/>
          <w:sz w:val="16"/>
          <w:szCs w:val="16"/>
        </w:rPr>
        <w:footnoteRef/>
      </w:r>
      <w:r w:rsidRPr="000B7ABA">
        <w:rPr>
          <w:sz w:val="16"/>
          <w:szCs w:val="16"/>
        </w:rPr>
        <w:t xml:space="preserve"> RBC, </w:t>
      </w:r>
      <w:r w:rsidRPr="000B7ABA">
        <w:rPr>
          <w:i/>
          <w:iCs/>
          <w:sz w:val="16"/>
          <w:szCs w:val="16"/>
        </w:rPr>
        <w:t xml:space="preserve">Contract </w:t>
      </w:r>
      <w:r w:rsidR="00CF15D8">
        <w:rPr>
          <w:i/>
          <w:iCs/>
          <w:sz w:val="16"/>
          <w:szCs w:val="16"/>
        </w:rPr>
        <w:t>N</w:t>
      </w:r>
      <w:r w:rsidRPr="000B7ABA">
        <w:rPr>
          <w:i/>
          <w:iCs/>
          <w:sz w:val="16"/>
          <w:szCs w:val="16"/>
        </w:rPr>
        <w:t xml:space="preserve">otice </w:t>
      </w:r>
      <w:r w:rsidRPr="000B7ABA">
        <w:rPr>
          <w:sz w:val="16"/>
          <w:szCs w:val="16"/>
        </w:rPr>
        <w:t>on</w:t>
      </w:r>
      <w:r w:rsidRPr="000B7ABA">
        <w:rPr>
          <w:i/>
          <w:iCs/>
          <w:sz w:val="16"/>
          <w:szCs w:val="16"/>
        </w:rPr>
        <w:t xml:space="preserve"> Find a Tender Service</w:t>
      </w:r>
      <w:r w:rsidRPr="000B7ABA">
        <w:rPr>
          <w:sz w:val="16"/>
          <w:szCs w:val="16"/>
        </w:rPr>
        <w:t>, 22 April 2025</w:t>
      </w:r>
      <w:r w:rsidR="00A41A55">
        <w:rPr>
          <w:sz w:val="16"/>
          <w:szCs w:val="16"/>
        </w:rPr>
        <w:t xml:space="preserve">; RBC, </w:t>
      </w:r>
      <w:r w:rsidR="00A41A55" w:rsidRPr="009533E4">
        <w:rPr>
          <w:i/>
          <w:iCs/>
          <w:sz w:val="16"/>
          <w:szCs w:val="16"/>
        </w:rPr>
        <w:t>Contract Award Notice</w:t>
      </w:r>
      <w:r w:rsidR="00A41A55">
        <w:rPr>
          <w:sz w:val="16"/>
          <w:szCs w:val="16"/>
        </w:rPr>
        <w:t xml:space="preserve"> on </w:t>
      </w:r>
      <w:r w:rsidR="00A41A55" w:rsidRPr="009533E4">
        <w:rPr>
          <w:i/>
          <w:iCs/>
          <w:sz w:val="16"/>
          <w:szCs w:val="16"/>
        </w:rPr>
        <w:t>Find a Tender Service</w:t>
      </w:r>
      <w:r w:rsidR="00A41A55">
        <w:rPr>
          <w:sz w:val="16"/>
          <w:szCs w:val="16"/>
        </w:rPr>
        <w:t>, 23 December 2025</w:t>
      </w:r>
      <w:r w:rsidRPr="000B7ABA">
        <w:rPr>
          <w:sz w:val="16"/>
          <w:szCs w:val="16"/>
        </w:rPr>
        <w:t>.</w:t>
      </w:r>
    </w:p>
  </w:footnote>
  <w:footnote w:id="10">
    <w:p w14:paraId="580C76B0" w14:textId="3A7A31DB" w:rsidR="009818CE" w:rsidRPr="009818CE" w:rsidRDefault="009818CE">
      <w:pPr>
        <w:pStyle w:val="FootnoteText"/>
        <w:rPr>
          <w:sz w:val="16"/>
          <w:szCs w:val="16"/>
        </w:rPr>
      </w:pPr>
      <w:r w:rsidRPr="009818CE">
        <w:rPr>
          <w:rStyle w:val="FootnoteReference"/>
          <w:sz w:val="16"/>
          <w:szCs w:val="16"/>
        </w:rPr>
        <w:footnoteRef/>
      </w:r>
      <w:r w:rsidRPr="009818CE">
        <w:rPr>
          <w:sz w:val="16"/>
          <w:szCs w:val="16"/>
        </w:rPr>
        <w:t xml:space="preserve"> TiC Mobile</w:t>
      </w:r>
      <w:r w:rsidR="00AB1DBA">
        <w:rPr>
          <w:sz w:val="16"/>
          <w:szCs w:val="16"/>
        </w:rPr>
        <w:t xml:space="preserve"> is a provider of staffed and unstaffed mobile imaging services</w:t>
      </w:r>
      <w:r w:rsidR="00B93443">
        <w:rPr>
          <w:sz w:val="16"/>
          <w:szCs w:val="16"/>
        </w:rPr>
        <w:t xml:space="preserve">. Further information can be found on its website </w:t>
      </w:r>
      <w:hyperlink r:id="rId8" w:history="1">
        <w:r w:rsidR="00532639" w:rsidRPr="003D360D">
          <w:rPr>
            <w:rStyle w:val="Hyperlink"/>
            <w:sz w:val="16"/>
            <w:szCs w:val="16"/>
          </w:rPr>
          <w:t>https://tichealth.co.uk/TIC-Imaging/</w:t>
        </w:r>
      </w:hyperlink>
      <w:r w:rsidR="00532639">
        <w:rPr>
          <w:sz w:val="16"/>
          <w:szCs w:val="16"/>
        </w:rPr>
        <w:t xml:space="preserve">. </w:t>
      </w:r>
      <w:r w:rsidR="00AB1DBA">
        <w:rPr>
          <w:sz w:val="16"/>
          <w:szCs w:val="16"/>
        </w:rPr>
        <w:t xml:space="preserve"> </w:t>
      </w:r>
    </w:p>
  </w:footnote>
  <w:footnote w:id="11">
    <w:p w14:paraId="159ACCF2" w14:textId="1965AD57" w:rsidR="00643168" w:rsidRPr="00643168" w:rsidRDefault="00643168">
      <w:pPr>
        <w:pStyle w:val="FootnoteText"/>
        <w:rPr>
          <w:sz w:val="16"/>
          <w:szCs w:val="16"/>
        </w:rPr>
      </w:pPr>
      <w:r w:rsidRPr="00643168">
        <w:rPr>
          <w:rStyle w:val="FootnoteReference"/>
          <w:sz w:val="16"/>
          <w:szCs w:val="16"/>
        </w:rPr>
        <w:footnoteRef/>
      </w:r>
      <w:r w:rsidRPr="00643168">
        <w:rPr>
          <w:sz w:val="16"/>
          <w:szCs w:val="16"/>
        </w:rPr>
        <w:t xml:space="preserve"> Digital Autopsy, </w:t>
      </w:r>
      <w:r w:rsidRPr="00643168">
        <w:rPr>
          <w:i/>
          <w:iCs/>
          <w:sz w:val="16"/>
          <w:szCs w:val="16"/>
        </w:rPr>
        <w:t>Representations to RBC</w:t>
      </w:r>
      <w:r w:rsidRPr="00643168">
        <w:rPr>
          <w:sz w:val="16"/>
          <w:szCs w:val="16"/>
        </w:rPr>
        <w:t>, 19 December 2025.</w:t>
      </w:r>
    </w:p>
  </w:footnote>
  <w:footnote w:id="12">
    <w:p w14:paraId="12CCD1F0" w14:textId="5257A640" w:rsidR="00F43F6B" w:rsidRPr="00F672A5" w:rsidRDefault="00F43F6B">
      <w:pPr>
        <w:pStyle w:val="FootnoteText"/>
        <w:rPr>
          <w:sz w:val="16"/>
          <w:szCs w:val="16"/>
        </w:rPr>
      </w:pPr>
      <w:r w:rsidRPr="00F672A5">
        <w:rPr>
          <w:rStyle w:val="FootnoteReference"/>
          <w:sz w:val="16"/>
          <w:szCs w:val="16"/>
        </w:rPr>
        <w:footnoteRef/>
      </w:r>
      <w:r w:rsidRPr="00F672A5">
        <w:rPr>
          <w:sz w:val="16"/>
          <w:szCs w:val="16"/>
        </w:rPr>
        <w:t xml:space="preserve"> RBC, </w:t>
      </w:r>
      <w:r w:rsidRPr="00F672A5">
        <w:rPr>
          <w:i/>
          <w:iCs/>
          <w:sz w:val="16"/>
          <w:szCs w:val="16"/>
        </w:rPr>
        <w:t xml:space="preserve">Response to </w:t>
      </w:r>
      <w:r w:rsidR="00F672A5" w:rsidRPr="00F672A5">
        <w:rPr>
          <w:i/>
          <w:iCs/>
          <w:sz w:val="16"/>
          <w:szCs w:val="16"/>
        </w:rPr>
        <w:t>Digital Autopsy’s representations</w:t>
      </w:r>
      <w:r w:rsidR="00F672A5" w:rsidRPr="00F672A5">
        <w:rPr>
          <w:sz w:val="16"/>
          <w:szCs w:val="16"/>
        </w:rPr>
        <w:t>, 23 December 2025.</w:t>
      </w:r>
    </w:p>
  </w:footnote>
  <w:footnote w:id="13">
    <w:p w14:paraId="066A6FB0" w14:textId="3BE19080" w:rsidR="00CF15D8" w:rsidRPr="00CF15D8" w:rsidRDefault="00CF15D8">
      <w:pPr>
        <w:pStyle w:val="FootnoteText"/>
        <w:rPr>
          <w:sz w:val="16"/>
          <w:szCs w:val="16"/>
        </w:rPr>
      </w:pPr>
      <w:r w:rsidRPr="00CF15D8">
        <w:rPr>
          <w:rStyle w:val="FootnoteReference"/>
          <w:sz w:val="16"/>
          <w:szCs w:val="16"/>
        </w:rPr>
        <w:footnoteRef/>
      </w:r>
      <w:r w:rsidRPr="00CF15D8">
        <w:rPr>
          <w:sz w:val="16"/>
          <w:szCs w:val="16"/>
        </w:rPr>
        <w:t xml:space="preserve"> RBC, </w:t>
      </w:r>
      <w:r w:rsidRPr="00CF15D8">
        <w:rPr>
          <w:i/>
          <w:iCs/>
          <w:sz w:val="16"/>
          <w:szCs w:val="16"/>
        </w:rPr>
        <w:t xml:space="preserve">Contract Award Notice </w:t>
      </w:r>
      <w:r w:rsidRPr="00CF15D8">
        <w:rPr>
          <w:sz w:val="16"/>
          <w:szCs w:val="16"/>
        </w:rPr>
        <w:t>on</w:t>
      </w:r>
      <w:r w:rsidRPr="00CF15D8">
        <w:rPr>
          <w:i/>
          <w:iCs/>
          <w:sz w:val="16"/>
          <w:szCs w:val="16"/>
        </w:rPr>
        <w:t xml:space="preserve"> Find a Tender Service</w:t>
      </w:r>
      <w:r w:rsidRPr="00CF15D8">
        <w:rPr>
          <w:sz w:val="16"/>
          <w:szCs w:val="16"/>
        </w:rPr>
        <w:t>, 23 December 2025.</w:t>
      </w:r>
    </w:p>
  </w:footnote>
  <w:footnote w:id="14">
    <w:p w14:paraId="28E601FA" w14:textId="09A3F737" w:rsidR="00EB389B" w:rsidRPr="00F9661E" w:rsidRDefault="00EB389B">
      <w:pPr>
        <w:pStyle w:val="FootnoteText"/>
        <w:rPr>
          <w:sz w:val="16"/>
          <w:szCs w:val="16"/>
        </w:rPr>
      </w:pPr>
      <w:r w:rsidRPr="00F9661E">
        <w:rPr>
          <w:rStyle w:val="FootnoteReference"/>
          <w:sz w:val="16"/>
          <w:szCs w:val="16"/>
        </w:rPr>
        <w:footnoteRef/>
      </w:r>
      <w:r w:rsidRPr="00F9661E">
        <w:rPr>
          <w:sz w:val="16"/>
          <w:szCs w:val="16"/>
        </w:rPr>
        <w:t xml:space="preserve"> RBC, </w:t>
      </w:r>
      <w:r w:rsidRPr="00F9661E">
        <w:rPr>
          <w:i/>
          <w:iCs/>
          <w:sz w:val="16"/>
          <w:szCs w:val="16"/>
        </w:rPr>
        <w:t>Response to Digital Autopsy’s representations</w:t>
      </w:r>
      <w:r w:rsidRPr="00F9661E">
        <w:rPr>
          <w:sz w:val="16"/>
          <w:szCs w:val="16"/>
        </w:rPr>
        <w:t>, 13 January 2025.</w:t>
      </w:r>
    </w:p>
  </w:footnote>
  <w:footnote w:id="15">
    <w:p w14:paraId="251F89DA" w14:textId="77777777" w:rsidR="00517E82" w:rsidRPr="00C07719" w:rsidRDefault="00517E82" w:rsidP="00517E82">
      <w:pPr>
        <w:pStyle w:val="FootnoteText"/>
        <w:rPr>
          <w:sz w:val="16"/>
          <w:szCs w:val="16"/>
        </w:rPr>
      </w:pPr>
      <w:r w:rsidRPr="00AD7338">
        <w:rPr>
          <w:rStyle w:val="FootnoteReference"/>
          <w:sz w:val="16"/>
          <w:szCs w:val="16"/>
        </w:rPr>
        <w:footnoteRef/>
      </w:r>
      <w:r w:rsidRPr="00AD7338">
        <w:rPr>
          <w:sz w:val="16"/>
          <w:szCs w:val="16"/>
        </w:rPr>
        <w:t xml:space="preserve"> NHS England, </w:t>
      </w:r>
      <w:r w:rsidRPr="00AD7338">
        <w:rPr>
          <w:i/>
          <w:iCs/>
          <w:sz w:val="16"/>
          <w:szCs w:val="16"/>
        </w:rPr>
        <w:t>The Provider Selection Regime: statutory guidance</w:t>
      </w:r>
      <w:r w:rsidRPr="00AD7338">
        <w:rPr>
          <w:sz w:val="16"/>
          <w:szCs w:val="16"/>
        </w:rPr>
        <w:t>, April 2025, p</w:t>
      </w:r>
      <w:r>
        <w:rPr>
          <w:sz w:val="16"/>
          <w:szCs w:val="16"/>
        </w:rPr>
        <w:t>.4</w:t>
      </w:r>
      <w:r w:rsidRPr="00AD7338">
        <w:rPr>
          <w:sz w:val="16"/>
          <w:szCs w:val="16"/>
        </w:rPr>
        <w:t>.</w:t>
      </w:r>
    </w:p>
  </w:footnote>
  <w:footnote w:id="16">
    <w:p w14:paraId="4271C026" w14:textId="77777777" w:rsidR="00517E82" w:rsidRPr="00C07719" w:rsidRDefault="00517E82" w:rsidP="00517E82">
      <w:pPr>
        <w:pStyle w:val="FootnoteText"/>
        <w:rPr>
          <w:sz w:val="16"/>
          <w:szCs w:val="16"/>
        </w:rPr>
      </w:pPr>
      <w:r w:rsidRPr="00AD7338">
        <w:rPr>
          <w:rStyle w:val="FootnoteReference"/>
          <w:sz w:val="16"/>
          <w:szCs w:val="16"/>
        </w:rPr>
        <w:footnoteRef/>
      </w:r>
      <w:r w:rsidRPr="00AD7338">
        <w:rPr>
          <w:sz w:val="16"/>
          <w:szCs w:val="16"/>
        </w:rPr>
        <w:t xml:space="preserve"> NHS England, </w:t>
      </w:r>
      <w:r w:rsidRPr="00AD7338">
        <w:rPr>
          <w:i/>
          <w:iCs/>
          <w:sz w:val="16"/>
          <w:szCs w:val="16"/>
        </w:rPr>
        <w:t>The Provider Selection Regime: statutory guidance</w:t>
      </w:r>
      <w:r w:rsidRPr="00AD7338">
        <w:rPr>
          <w:sz w:val="16"/>
          <w:szCs w:val="16"/>
        </w:rPr>
        <w:t>, April 2025, p</w:t>
      </w:r>
      <w:r>
        <w:rPr>
          <w:sz w:val="16"/>
          <w:szCs w:val="16"/>
        </w:rPr>
        <w:t>.4</w:t>
      </w:r>
      <w:r w:rsidRPr="00AD7338">
        <w:rPr>
          <w:sz w:val="16"/>
          <w:szCs w:val="16"/>
        </w:rPr>
        <w:t>.</w:t>
      </w:r>
    </w:p>
  </w:footnote>
  <w:footnote w:id="17">
    <w:p w14:paraId="57B7D329" w14:textId="7C325483" w:rsidR="00237F1B" w:rsidRPr="003A6B4E" w:rsidRDefault="00237F1B">
      <w:pPr>
        <w:pStyle w:val="FootnoteText"/>
        <w:rPr>
          <w:sz w:val="16"/>
          <w:szCs w:val="16"/>
        </w:rPr>
      </w:pPr>
      <w:r w:rsidRPr="003A6B4E">
        <w:rPr>
          <w:rStyle w:val="FootnoteReference"/>
          <w:sz w:val="16"/>
          <w:szCs w:val="16"/>
        </w:rPr>
        <w:footnoteRef/>
      </w:r>
      <w:r w:rsidRPr="003A6B4E">
        <w:rPr>
          <w:sz w:val="16"/>
          <w:szCs w:val="16"/>
        </w:rPr>
        <w:t xml:space="preserve"> </w:t>
      </w:r>
      <w:r w:rsidR="00407C40" w:rsidRPr="003A6B4E">
        <w:rPr>
          <w:sz w:val="16"/>
          <w:szCs w:val="16"/>
        </w:rPr>
        <w:t xml:space="preserve">RBC, </w:t>
      </w:r>
      <w:r w:rsidR="00407C40" w:rsidRPr="003A6B4E">
        <w:rPr>
          <w:i/>
          <w:iCs/>
          <w:sz w:val="16"/>
          <w:szCs w:val="16"/>
        </w:rPr>
        <w:t>Digital Post Mortem Scanning Services Specification</w:t>
      </w:r>
      <w:r w:rsidR="00407C40" w:rsidRPr="003A6B4E">
        <w:rPr>
          <w:sz w:val="16"/>
          <w:szCs w:val="16"/>
        </w:rPr>
        <w:t xml:space="preserve">, </w:t>
      </w:r>
      <w:r w:rsidR="00D20C2D" w:rsidRPr="003A6B4E">
        <w:rPr>
          <w:sz w:val="16"/>
          <w:szCs w:val="16"/>
        </w:rPr>
        <w:t>22 April 2025.</w:t>
      </w:r>
    </w:p>
  </w:footnote>
  <w:footnote w:id="18">
    <w:p w14:paraId="67C1814C" w14:textId="77777777" w:rsidR="00FD056D" w:rsidRPr="008A7FC9" w:rsidRDefault="00FD056D" w:rsidP="00FD056D">
      <w:pPr>
        <w:pStyle w:val="FootnoteText"/>
        <w:ind w:right="-188"/>
        <w:rPr>
          <w:sz w:val="16"/>
          <w:szCs w:val="16"/>
        </w:rPr>
      </w:pPr>
      <w:r w:rsidRPr="00312C5E">
        <w:rPr>
          <w:rStyle w:val="FootnoteReference"/>
          <w:sz w:val="16"/>
          <w:szCs w:val="16"/>
        </w:rPr>
        <w:footnoteRef/>
      </w:r>
      <w:r w:rsidRPr="00312C5E">
        <w:rPr>
          <w:sz w:val="16"/>
          <w:szCs w:val="16"/>
        </w:rPr>
        <w:t xml:space="preserve"> </w:t>
      </w:r>
      <w:r w:rsidRPr="00C44453">
        <w:rPr>
          <w:sz w:val="16"/>
          <w:szCs w:val="16"/>
        </w:rPr>
        <w:t>Coroners are responsible for investigating deaths where there is reason to suspect that: the death was violent or unnatural; the cause of death is unknown; or the deceased died while in state detention (</w:t>
      </w:r>
      <w:r w:rsidRPr="00312C5E">
        <w:rPr>
          <w:sz w:val="16"/>
          <w:szCs w:val="16"/>
        </w:rPr>
        <w:t>Courts</w:t>
      </w:r>
      <w:r w:rsidRPr="008A7FC9">
        <w:rPr>
          <w:sz w:val="16"/>
          <w:szCs w:val="16"/>
        </w:rPr>
        <w:t xml:space="preserve"> and Tribunals Judiciary, </w:t>
      </w:r>
      <w:r w:rsidRPr="008A7FC9">
        <w:rPr>
          <w:i/>
          <w:iCs/>
          <w:sz w:val="16"/>
          <w:szCs w:val="16"/>
        </w:rPr>
        <w:t>Coroners</w:t>
      </w:r>
      <w:r w:rsidRPr="008A7FC9">
        <w:rPr>
          <w:sz w:val="16"/>
          <w:szCs w:val="16"/>
        </w:rPr>
        <w:t xml:space="preserve">, </w:t>
      </w:r>
      <w:hyperlink r:id="rId9" w:history="1">
        <w:r w:rsidRPr="003C0874">
          <w:rPr>
            <w:rStyle w:val="Hyperlink"/>
            <w:sz w:val="16"/>
            <w:szCs w:val="16"/>
          </w:rPr>
          <w:t>https://www.judiciary.uk/courts-and-tribunals/coroners-courts/coroners</w:t>
        </w:r>
      </w:hyperlink>
      <w:r>
        <w:t>)</w:t>
      </w:r>
      <w:r w:rsidRPr="008A7FC9">
        <w:rPr>
          <w:sz w:val="16"/>
          <w:szCs w:val="16"/>
        </w:rPr>
        <w:t>.</w:t>
      </w:r>
      <w:r>
        <w:rPr>
          <w:sz w:val="16"/>
          <w:szCs w:val="16"/>
        </w:rPr>
        <w:t xml:space="preserve"> While there is a public health element to coroner’s services, such as issuing Prevention of Future Deaths reports, this is very much secondary to their primary function, and is not an activity that is funded via the public health budget.</w:t>
      </w:r>
    </w:p>
  </w:footnote>
  <w:footnote w:id="19">
    <w:p w14:paraId="06DF9758" w14:textId="05BCC21F" w:rsidR="00242448" w:rsidRPr="008A7FC9" w:rsidRDefault="00242448" w:rsidP="009A206F">
      <w:pPr>
        <w:pStyle w:val="FootnoteText"/>
        <w:ind w:right="-188"/>
        <w:rPr>
          <w:sz w:val="16"/>
          <w:szCs w:val="16"/>
        </w:rPr>
      </w:pPr>
      <w:r w:rsidRPr="008A7FC9">
        <w:rPr>
          <w:rStyle w:val="FootnoteReference"/>
          <w:sz w:val="16"/>
          <w:szCs w:val="16"/>
        </w:rPr>
        <w:footnoteRef/>
      </w:r>
      <w:r w:rsidRPr="008A7FC9">
        <w:rPr>
          <w:sz w:val="16"/>
          <w:szCs w:val="16"/>
        </w:rPr>
        <w:t xml:space="preserve"> Courts and Tribunals Judiciary, </w:t>
      </w:r>
      <w:r w:rsidRPr="008A7FC9">
        <w:rPr>
          <w:i/>
          <w:iCs/>
          <w:sz w:val="16"/>
          <w:szCs w:val="16"/>
        </w:rPr>
        <w:t>Coroners</w:t>
      </w:r>
      <w:r w:rsidRPr="008A7FC9">
        <w:rPr>
          <w:sz w:val="16"/>
          <w:szCs w:val="16"/>
        </w:rPr>
        <w:t xml:space="preserve">, </w:t>
      </w:r>
      <w:hyperlink r:id="rId10" w:history="1">
        <w:r w:rsidR="000F27CE" w:rsidRPr="000F27CE">
          <w:rPr>
            <w:rStyle w:val="Hyperlink"/>
            <w:sz w:val="16"/>
            <w:szCs w:val="16"/>
          </w:rPr>
          <w:t>https://www.judiciary.uk/courts-and-tribunals/coroners-courts/coroners</w:t>
        </w:r>
      </w:hyperlink>
      <w:r w:rsidRPr="008A7FC9">
        <w:rPr>
          <w:sz w:val="16"/>
          <w:szCs w:val="16"/>
        </w:rPr>
        <w:t>.</w:t>
      </w:r>
    </w:p>
  </w:footnote>
  <w:footnote w:id="20">
    <w:p w14:paraId="5D74B819" w14:textId="2E0B4389" w:rsidR="00554F4A" w:rsidRPr="009C267C" w:rsidRDefault="00554F4A">
      <w:pPr>
        <w:pStyle w:val="FootnoteText"/>
        <w:rPr>
          <w:sz w:val="16"/>
          <w:szCs w:val="16"/>
        </w:rPr>
      </w:pPr>
      <w:r w:rsidRPr="009C267C">
        <w:rPr>
          <w:rStyle w:val="FootnoteReference"/>
          <w:sz w:val="16"/>
          <w:szCs w:val="16"/>
        </w:rPr>
        <w:footnoteRef/>
      </w:r>
      <w:r w:rsidRPr="009C267C">
        <w:rPr>
          <w:sz w:val="16"/>
          <w:szCs w:val="16"/>
        </w:rPr>
        <w:t xml:space="preserve"> RBC, </w:t>
      </w:r>
      <w:r w:rsidRPr="009C267C">
        <w:rPr>
          <w:i/>
          <w:iCs/>
          <w:sz w:val="16"/>
          <w:szCs w:val="16"/>
        </w:rPr>
        <w:t>Response to Panel questions</w:t>
      </w:r>
      <w:r w:rsidRPr="009C267C">
        <w:rPr>
          <w:sz w:val="16"/>
          <w:szCs w:val="16"/>
        </w:rPr>
        <w:t xml:space="preserve">, </w:t>
      </w:r>
      <w:r w:rsidR="009C267C" w:rsidRPr="009C267C">
        <w:rPr>
          <w:sz w:val="16"/>
          <w:szCs w:val="16"/>
        </w:rPr>
        <w:t>28 January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2095"/>
    <w:multiLevelType w:val="hybridMultilevel"/>
    <w:tmpl w:val="44F4B90C"/>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 w15:restartNumberingAfterBreak="0">
    <w:nsid w:val="11B571D6"/>
    <w:multiLevelType w:val="multilevel"/>
    <w:tmpl w:val="CE0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022932"/>
    <w:multiLevelType w:val="hybridMultilevel"/>
    <w:tmpl w:val="431AB6E8"/>
    <w:lvl w:ilvl="0" w:tplc="C7385584">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DCA6790"/>
    <w:multiLevelType w:val="multilevel"/>
    <w:tmpl w:val="982A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D566FE"/>
    <w:multiLevelType w:val="hybridMultilevel"/>
    <w:tmpl w:val="EF88D9CE"/>
    <w:lvl w:ilvl="0" w:tplc="53C06C00">
      <w:start w:val="1"/>
      <w:numFmt w:val="decimal"/>
      <w:lvlText w:val="%1."/>
      <w:lvlJc w:val="left"/>
      <w:pPr>
        <w:ind w:left="928" w:hanging="360"/>
      </w:pPr>
      <w:rPr>
        <w:i w:val="0"/>
        <w:iCs w:val="0"/>
      </w:rPr>
    </w:lvl>
    <w:lvl w:ilvl="1" w:tplc="08090001">
      <w:start w:val="1"/>
      <w:numFmt w:val="bullet"/>
      <w:lvlText w:val=""/>
      <w:lvlJc w:val="left"/>
      <w:pPr>
        <w:ind w:left="720" w:hanging="360"/>
      </w:pPr>
      <w:rPr>
        <w:rFonts w:ascii="Symbol" w:hAnsi="Symbol" w:hint="default"/>
      </w:rPr>
    </w:lvl>
    <w:lvl w:ilvl="2" w:tplc="08090003">
      <w:start w:val="1"/>
      <w:numFmt w:val="bullet"/>
      <w:lvlText w:val="o"/>
      <w:lvlJc w:val="left"/>
      <w:pPr>
        <w:ind w:left="2340" w:hanging="36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37714B"/>
    <w:multiLevelType w:val="multilevel"/>
    <w:tmpl w:val="1512D2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4C1B87"/>
    <w:multiLevelType w:val="hybridMultilevel"/>
    <w:tmpl w:val="5ED2F338"/>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7" w15:restartNumberingAfterBreak="0">
    <w:nsid w:val="33615BA9"/>
    <w:multiLevelType w:val="hybridMultilevel"/>
    <w:tmpl w:val="70529728"/>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8" w15:restartNumberingAfterBreak="0">
    <w:nsid w:val="43A42345"/>
    <w:multiLevelType w:val="hybridMultilevel"/>
    <w:tmpl w:val="7AF8FC86"/>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9" w15:restartNumberingAfterBreak="0">
    <w:nsid w:val="4FB108FA"/>
    <w:multiLevelType w:val="hybridMultilevel"/>
    <w:tmpl w:val="842AE8C8"/>
    <w:lvl w:ilvl="0" w:tplc="93B65976">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505045F5"/>
    <w:multiLevelType w:val="hybridMultilevel"/>
    <w:tmpl w:val="F8AC7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15E3F09"/>
    <w:multiLevelType w:val="hybridMultilevel"/>
    <w:tmpl w:val="EB6A0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70973"/>
    <w:multiLevelType w:val="hybridMultilevel"/>
    <w:tmpl w:val="4B1CF09A"/>
    <w:lvl w:ilvl="0" w:tplc="E29060CC">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596AC6"/>
    <w:multiLevelType w:val="hybridMultilevel"/>
    <w:tmpl w:val="F63294B2"/>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4" w15:restartNumberingAfterBreak="0">
    <w:nsid w:val="59DC2200"/>
    <w:multiLevelType w:val="hybridMultilevel"/>
    <w:tmpl w:val="41F6D4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A8200C5"/>
    <w:multiLevelType w:val="multilevel"/>
    <w:tmpl w:val="A648935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CE078A"/>
    <w:multiLevelType w:val="hybridMultilevel"/>
    <w:tmpl w:val="EB501AE2"/>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7" w15:restartNumberingAfterBreak="0">
    <w:nsid w:val="5D042580"/>
    <w:multiLevelType w:val="hybridMultilevel"/>
    <w:tmpl w:val="FACE6116"/>
    <w:lvl w:ilvl="0" w:tplc="0EFAD668">
      <w:start w:val="1"/>
      <w:numFmt w:val="decimal"/>
      <w:pStyle w:val="ListParagraph"/>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244504"/>
    <w:multiLevelType w:val="multilevel"/>
    <w:tmpl w:val="655E6646"/>
    <w:lvl w:ilvl="0">
      <w:start w:val="6"/>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A50A17"/>
    <w:multiLevelType w:val="multilevel"/>
    <w:tmpl w:val="A078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B72953"/>
    <w:multiLevelType w:val="hybridMultilevel"/>
    <w:tmpl w:val="33CA4ADC"/>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1" w15:restartNumberingAfterBreak="0">
    <w:nsid w:val="6C1416FF"/>
    <w:multiLevelType w:val="hybridMultilevel"/>
    <w:tmpl w:val="E1D691D0"/>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2" w15:restartNumberingAfterBreak="0">
    <w:nsid w:val="6E6C74BB"/>
    <w:multiLevelType w:val="hybridMultilevel"/>
    <w:tmpl w:val="EF844D00"/>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3" w15:restartNumberingAfterBreak="0">
    <w:nsid w:val="749F5395"/>
    <w:multiLevelType w:val="hybridMultilevel"/>
    <w:tmpl w:val="E7D691AE"/>
    <w:lvl w:ilvl="0" w:tplc="4704EC50">
      <w:start w:val="1"/>
      <w:numFmt w:val="decimal"/>
      <w:pStyle w:val="Heading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F754A7"/>
    <w:multiLevelType w:val="hybridMultilevel"/>
    <w:tmpl w:val="B8C6F7E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699167938">
    <w:abstractNumId w:val="11"/>
  </w:num>
  <w:num w:numId="2" w16cid:durableId="688677479">
    <w:abstractNumId w:val="23"/>
  </w:num>
  <w:num w:numId="3" w16cid:durableId="1553033104">
    <w:abstractNumId w:val="13"/>
  </w:num>
  <w:num w:numId="4" w16cid:durableId="1957641585">
    <w:abstractNumId w:val="16"/>
  </w:num>
  <w:num w:numId="5" w16cid:durableId="194780621">
    <w:abstractNumId w:val="20"/>
  </w:num>
  <w:num w:numId="6" w16cid:durableId="895160670">
    <w:abstractNumId w:val="21"/>
  </w:num>
  <w:num w:numId="7" w16cid:durableId="709499666">
    <w:abstractNumId w:val="23"/>
  </w:num>
  <w:num w:numId="8" w16cid:durableId="1864128803">
    <w:abstractNumId w:val="23"/>
    <w:lvlOverride w:ilvl="0">
      <w:startOverride w:val="2"/>
    </w:lvlOverride>
  </w:num>
  <w:num w:numId="9" w16cid:durableId="1139496106">
    <w:abstractNumId w:val="15"/>
  </w:num>
  <w:num w:numId="10" w16cid:durableId="643857812">
    <w:abstractNumId w:val="17"/>
  </w:num>
  <w:num w:numId="11" w16cid:durableId="2000695017">
    <w:abstractNumId w:val="12"/>
  </w:num>
  <w:num w:numId="12" w16cid:durableId="641428876">
    <w:abstractNumId w:val="10"/>
  </w:num>
  <w:num w:numId="13" w16cid:durableId="1084454028">
    <w:abstractNumId w:val="22"/>
  </w:num>
  <w:num w:numId="14" w16cid:durableId="1965429470">
    <w:abstractNumId w:val="0"/>
  </w:num>
  <w:num w:numId="15" w16cid:durableId="1918244656">
    <w:abstractNumId w:val="8"/>
  </w:num>
  <w:num w:numId="16" w16cid:durableId="50006186">
    <w:abstractNumId w:val="2"/>
  </w:num>
  <w:num w:numId="17" w16cid:durableId="645864807">
    <w:abstractNumId w:val="7"/>
  </w:num>
  <w:num w:numId="18" w16cid:durableId="1094592548">
    <w:abstractNumId w:val="1"/>
  </w:num>
  <w:num w:numId="19" w16cid:durableId="1395080501">
    <w:abstractNumId w:val="19"/>
  </w:num>
  <w:num w:numId="20" w16cid:durableId="353119527">
    <w:abstractNumId w:val="5"/>
  </w:num>
  <w:num w:numId="21" w16cid:durableId="1502890683">
    <w:abstractNumId w:val="6"/>
  </w:num>
  <w:num w:numId="22" w16cid:durableId="51580978">
    <w:abstractNumId w:val="24"/>
  </w:num>
  <w:num w:numId="23" w16cid:durableId="205878438">
    <w:abstractNumId w:val="14"/>
  </w:num>
  <w:num w:numId="24" w16cid:durableId="1698852579">
    <w:abstractNumId w:val="9"/>
  </w:num>
  <w:num w:numId="25" w16cid:durableId="2072145889">
    <w:abstractNumId w:val="3"/>
  </w:num>
  <w:num w:numId="26" w16cid:durableId="1711148116">
    <w:abstractNumId w:val="4"/>
  </w:num>
  <w:num w:numId="27" w16cid:durableId="15430095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rPmKbqeZOcm7FAds//PwBkOTeS4GQIdliRNxz0wxIgaZ5/PfmO0saANNurZ1fPelN6fnvZtpUQ4Oi3C8/gWiIw==" w:salt="zqEtsqs9257ulLFGhpEzCg=="/>
  <w:defaultTabStop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EA"/>
    <w:rsid w:val="000013A6"/>
    <w:rsid w:val="00003CC4"/>
    <w:rsid w:val="00004C1A"/>
    <w:rsid w:val="0001030D"/>
    <w:rsid w:val="000145DC"/>
    <w:rsid w:val="00020135"/>
    <w:rsid w:val="00021102"/>
    <w:rsid w:val="0002378C"/>
    <w:rsid w:val="00024185"/>
    <w:rsid w:val="00024479"/>
    <w:rsid w:val="00025779"/>
    <w:rsid w:val="00025ADB"/>
    <w:rsid w:val="000261F4"/>
    <w:rsid w:val="00026B2D"/>
    <w:rsid w:val="00026D37"/>
    <w:rsid w:val="00031678"/>
    <w:rsid w:val="000338EF"/>
    <w:rsid w:val="00033BDE"/>
    <w:rsid w:val="00034CF0"/>
    <w:rsid w:val="0003517A"/>
    <w:rsid w:val="000354FB"/>
    <w:rsid w:val="00035906"/>
    <w:rsid w:val="00036DFF"/>
    <w:rsid w:val="00040D26"/>
    <w:rsid w:val="00040E61"/>
    <w:rsid w:val="00041361"/>
    <w:rsid w:val="00042C19"/>
    <w:rsid w:val="00042C68"/>
    <w:rsid w:val="00042DC3"/>
    <w:rsid w:val="000441C2"/>
    <w:rsid w:val="000533A6"/>
    <w:rsid w:val="000546B3"/>
    <w:rsid w:val="0005491F"/>
    <w:rsid w:val="00055C15"/>
    <w:rsid w:val="00055DD8"/>
    <w:rsid w:val="00057444"/>
    <w:rsid w:val="000619A6"/>
    <w:rsid w:val="00061BCC"/>
    <w:rsid w:val="00062EED"/>
    <w:rsid w:val="00063491"/>
    <w:rsid w:val="00063BF9"/>
    <w:rsid w:val="0006420A"/>
    <w:rsid w:val="0006766A"/>
    <w:rsid w:val="0007243C"/>
    <w:rsid w:val="000729AD"/>
    <w:rsid w:val="00073A32"/>
    <w:rsid w:val="00073FF9"/>
    <w:rsid w:val="00075300"/>
    <w:rsid w:val="00075469"/>
    <w:rsid w:val="00077D9C"/>
    <w:rsid w:val="00080186"/>
    <w:rsid w:val="000826B1"/>
    <w:rsid w:val="0009067D"/>
    <w:rsid w:val="0009119D"/>
    <w:rsid w:val="00094F7D"/>
    <w:rsid w:val="00095CD3"/>
    <w:rsid w:val="000A3BFB"/>
    <w:rsid w:val="000A72A4"/>
    <w:rsid w:val="000A79EB"/>
    <w:rsid w:val="000B106C"/>
    <w:rsid w:val="000B235B"/>
    <w:rsid w:val="000B28E8"/>
    <w:rsid w:val="000B2A2C"/>
    <w:rsid w:val="000B4757"/>
    <w:rsid w:val="000B69EA"/>
    <w:rsid w:val="000B72AD"/>
    <w:rsid w:val="000B7ABA"/>
    <w:rsid w:val="000C0C58"/>
    <w:rsid w:val="000C11E7"/>
    <w:rsid w:val="000C18AB"/>
    <w:rsid w:val="000C2821"/>
    <w:rsid w:val="000C28C7"/>
    <w:rsid w:val="000C29BD"/>
    <w:rsid w:val="000C3278"/>
    <w:rsid w:val="000C36E4"/>
    <w:rsid w:val="000C3E94"/>
    <w:rsid w:val="000C41B9"/>
    <w:rsid w:val="000C4C5B"/>
    <w:rsid w:val="000C7A42"/>
    <w:rsid w:val="000D046E"/>
    <w:rsid w:val="000D2663"/>
    <w:rsid w:val="000D53CD"/>
    <w:rsid w:val="000D6CAC"/>
    <w:rsid w:val="000D75FE"/>
    <w:rsid w:val="000E1404"/>
    <w:rsid w:val="000E3575"/>
    <w:rsid w:val="000E5F4E"/>
    <w:rsid w:val="000F0ACA"/>
    <w:rsid w:val="000F2227"/>
    <w:rsid w:val="000F27CE"/>
    <w:rsid w:val="000F2CAA"/>
    <w:rsid w:val="000F3553"/>
    <w:rsid w:val="000F6069"/>
    <w:rsid w:val="000F6721"/>
    <w:rsid w:val="00107CAE"/>
    <w:rsid w:val="00112C09"/>
    <w:rsid w:val="00112E1B"/>
    <w:rsid w:val="00113BB8"/>
    <w:rsid w:val="00113FCB"/>
    <w:rsid w:val="001143D0"/>
    <w:rsid w:val="001154BC"/>
    <w:rsid w:val="001212D7"/>
    <w:rsid w:val="00122449"/>
    <w:rsid w:val="0012332E"/>
    <w:rsid w:val="001235CF"/>
    <w:rsid w:val="00131A9C"/>
    <w:rsid w:val="00132BBC"/>
    <w:rsid w:val="00134116"/>
    <w:rsid w:val="00136047"/>
    <w:rsid w:val="00136634"/>
    <w:rsid w:val="00136E2E"/>
    <w:rsid w:val="001402AE"/>
    <w:rsid w:val="00141FF1"/>
    <w:rsid w:val="00142576"/>
    <w:rsid w:val="0014321C"/>
    <w:rsid w:val="00144436"/>
    <w:rsid w:val="00145A91"/>
    <w:rsid w:val="00146B40"/>
    <w:rsid w:val="001476B9"/>
    <w:rsid w:val="0015057D"/>
    <w:rsid w:val="00151CB5"/>
    <w:rsid w:val="001562FB"/>
    <w:rsid w:val="001568C4"/>
    <w:rsid w:val="00157B44"/>
    <w:rsid w:val="00160C05"/>
    <w:rsid w:val="00162BDF"/>
    <w:rsid w:val="0016324D"/>
    <w:rsid w:val="00165552"/>
    <w:rsid w:val="001657C8"/>
    <w:rsid w:val="00166041"/>
    <w:rsid w:val="00166901"/>
    <w:rsid w:val="00166A6C"/>
    <w:rsid w:val="00166E81"/>
    <w:rsid w:val="00170831"/>
    <w:rsid w:val="00170DB5"/>
    <w:rsid w:val="00171185"/>
    <w:rsid w:val="00172236"/>
    <w:rsid w:val="00172A52"/>
    <w:rsid w:val="00172B18"/>
    <w:rsid w:val="001739EA"/>
    <w:rsid w:val="00174BF9"/>
    <w:rsid w:val="00174DE0"/>
    <w:rsid w:val="00175950"/>
    <w:rsid w:val="00176656"/>
    <w:rsid w:val="00182F1F"/>
    <w:rsid w:val="001855E3"/>
    <w:rsid w:val="001864EF"/>
    <w:rsid w:val="00187303"/>
    <w:rsid w:val="00192205"/>
    <w:rsid w:val="00194181"/>
    <w:rsid w:val="00194BC5"/>
    <w:rsid w:val="00195145"/>
    <w:rsid w:val="001A05AA"/>
    <w:rsid w:val="001A45D4"/>
    <w:rsid w:val="001A4EED"/>
    <w:rsid w:val="001A76CC"/>
    <w:rsid w:val="001A780E"/>
    <w:rsid w:val="001B0CC6"/>
    <w:rsid w:val="001B7BF1"/>
    <w:rsid w:val="001B7FFC"/>
    <w:rsid w:val="001C0CF9"/>
    <w:rsid w:val="001C17FD"/>
    <w:rsid w:val="001C4A68"/>
    <w:rsid w:val="001C4D70"/>
    <w:rsid w:val="001C5348"/>
    <w:rsid w:val="001C6095"/>
    <w:rsid w:val="001D1959"/>
    <w:rsid w:val="001D5698"/>
    <w:rsid w:val="001D5EBC"/>
    <w:rsid w:val="001E268F"/>
    <w:rsid w:val="001E2A1B"/>
    <w:rsid w:val="001E79D6"/>
    <w:rsid w:val="001F1813"/>
    <w:rsid w:val="001F2E39"/>
    <w:rsid w:val="001F45F1"/>
    <w:rsid w:val="001F5028"/>
    <w:rsid w:val="001F68E5"/>
    <w:rsid w:val="001F759B"/>
    <w:rsid w:val="00200BF4"/>
    <w:rsid w:val="00200F50"/>
    <w:rsid w:val="002022FA"/>
    <w:rsid w:val="00203AB9"/>
    <w:rsid w:val="00205411"/>
    <w:rsid w:val="00207506"/>
    <w:rsid w:val="0020782D"/>
    <w:rsid w:val="00210D68"/>
    <w:rsid w:val="002116BF"/>
    <w:rsid w:val="00211BE2"/>
    <w:rsid w:val="00214DFB"/>
    <w:rsid w:val="00214FE3"/>
    <w:rsid w:val="00215AD5"/>
    <w:rsid w:val="00217091"/>
    <w:rsid w:val="002175AB"/>
    <w:rsid w:val="00221751"/>
    <w:rsid w:val="00223E49"/>
    <w:rsid w:val="00226AA8"/>
    <w:rsid w:val="0022743A"/>
    <w:rsid w:val="002311A2"/>
    <w:rsid w:val="00231C2D"/>
    <w:rsid w:val="00231CB3"/>
    <w:rsid w:val="00231F5D"/>
    <w:rsid w:val="002324CA"/>
    <w:rsid w:val="00234735"/>
    <w:rsid w:val="0023538A"/>
    <w:rsid w:val="00235779"/>
    <w:rsid w:val="00237F1B"/>
    <w:rsid w:val="00241AE1"/>
    <w:rsid w:val="00242448"/>
    <w:rsid w:val="00245B87"/>
    <w:rsid w:val="00246952"/>
    <w:rsid w:val="00247869"/>
    <w:rsid w:val="00247CE9"/>
    <w:rsid w:val="0025045C"/>
    <w:rsid w:val="00253289"/>
    <w:rsid w:val="002539A1"/>
    <w:rsid w:val="0025477C"/>
    <w:rsid w:val="0026169D"/>
    <w:rsid w:val="00263BC8"/>
    <w:rsid w:val="00264D52"/>
    <w:rsid w:val="00270C42"/>
    <w:rsid w:val="00273E14"/>
    <w:rsid w:val="002748A3"/>
    <w:rsid w:val="00280B4D"/>
    <w:rsid w:val="00282A17"/>
    <w:rsid w:val="00282E5C"/>
    <w:rsid w:val="0028553F"/>
    <w:rsid w:val="002857B0"/>
    <w:rsid w:val="002873E7"/>
    <w:rsid w:val="0028773F"/>
    <w:rsid w:val="00290528"/>
    <w:rsid w:val="00292909"/>
    <w:rsid w:val="0029513D"/>
    <w:rsid w:val="00295FF2"/>
    <w:rsid w:val="00296F37"/>
    <w:rsid w:val="0029755C"/>
    <w:rsid w:val="002A00E0"/>
    <w:rsid w:val="002A1E75"/>
    <w:rsid w:val="002A2DDD"/>
    <w:rsid w:val="002A57EF"/>
    <w:rsid w:val="002A5C84"/>
    <w:rsid w:val="002A6351"/>
    <w:rsid w:val="002A691A"/>
    <w:rsid w:val="002B05FF"/>
    <w:rsid w:val="002B0E27"/>
    <w:rsid w:val="002B1CDB"/>
    <w:rsid w:val="002B4A4D"/>
    <w:rsid w:val="002B7834"/>
    <w:rsid w:val="002C08CB"/>
    <w:rsid w:val="002C366D"/>
    <w:rsid w:val="002C36CE"/>
    <w:rsid w:val="002C3818"/>
    <w:rsid w:val="002C41EB"/>
    <w:rsid w:val="002C45C0"/>
    <w:rsid w:val="002C688F"/>
    <w:rsid w:val="002C6F2D"/>
    <w:rsid w:val="002C7BFB"/>
    <w:rsid w:val="002D1105"/>
    <w:rsid w:val="002D5882"/>
    <w:rsid w:val="002D59BE"/>
    <w:rsid w:val="002D61CC"/>
    <w:rsid w:val="002E15F7"/>
    <w:rsid w:val="002E1886"/>
    <w:rsid w:val="002E2BD6"/>
    <w:rsid w:val="002F11B2"/>
    <w:rsid w:val="002F28A6"/>
    <w:rsid w:val="002F5221"/>
    <w:rsid w:val="002F6BAA"/>
    <w:rsid w:val="00306DFC"/>
    <w:rsid w:val="00310F81"/>
    <w:rsid w:val="00312C5E"/>
    <w:rsid w:val="0031341F"/>
    <w:rsid w:val="0031355C"/>
    <w:rsid w:val="00314D1D"/>
    <w:rsid w:val="0031652E"/>
    <w:rsid w:val="003169F0"/>
    <w:rsid w:val="00321B91"/>
    <w:rsid w:val="00322751"/>
    <w:rsid w:val="0032343C"/>
    <w:rsid w:val="0032484C"/>
    <w:rsid w:val="00324F2B"/>
    <w:rsid w:val="003277F0"/>
    <w:rsid w:val="0033078D"/>
    <w:rsid w:val="003309FD"/>
    <w:rsid w:val="003366C8"/>
    <w:rsid w:val="00340FEF"/>
    <w:rsid w:val="00341A2F"/>
    <w:rsid w:val="003427FF"/>
    <w:rsid w:val="003434AD"/>
    <w:rsid w:val="00343D75"/>
    <w:rsid w:val="003442A8"/>
    <w:rsid w:val="0034542A"/>
    <w:rsid w:val="003467B6"/>
    <w:rsid w:val="0034733F"/>
    <w:rsid w:val="003509DB"/>
    <w:rsid w:val="00350D53"/>
    <w:rsid w:val="003512D4"/>
    <w:rsid w:val="0035133B"/>
    <w:rsid w:val="003535E9"/>
    <w:rsid w:val="00354143"/>
    <w:rsid w:val="00356361"/>
    <w:rsid w:val="00357BAD"/>
    <w:rsid w:val="0036075E"/>
    <w:rsid w:val="00360878"/>
    <w:rsid w:val="0036203C"/>
    <w:rsid w:val="003621E1"/>
    <w:rsid w:val="00364B57"/>
    <w:rsid w:val="003708BF"/>
    <w:rsid w:val="00371AE8"/>
    <w:rsid w:val="00373A78"/>
    <w:rsid w:val="00373F1D"/>
    <w:rsid w:val="00374C36"/>
    <w:rsid w:val="00375827"/>
    <w:rsid w:val="003779AE"/>
    <w:rsid w:val="00377A86"/>
    <w:rsid w:val="00385685"/>
    <w:rsid w:val="00385701"/>
    <w:rsid w:val="00390D37"/>
    <w:rsid w:val="00391D21"/>
    <w:rsid w:val="00391EF6"/>
    <w:rsid w:val="003932AE"/>
    <w:rsid w:val="00395238"/>
    <w:rsid w:val="003961E4"/>
    <w:rsid w:val="00396A01"/>
    <w:rsid w:val="003977F0"/>
    <w:rsid w:val="003A13DA"/>
    <w:rsid w:val="003A2AA4"/>
    <w:rsid w:val="003A4E7F"/>
    <w:rsid w:val="003A5414"/>
    <w:rsid w:val="003A56F4"/>
    <w:rsid w:val="003A673B"/>
    <w:rsid w:val="003A6B4E"/>
    <w:rsid w:val="003A7668"/>
    <w:rsid w:val="003A7DEB"/>
    <w:rsid w:val="003B0210"/>
    <w:rsid w:val="003B29E4"/>
    <w:rsid w:val="003B2E25"/>
    <w:rsid w:val="003B4728"/>
    <w:rsid w:val="003B48DE"/>
    <w:rsid w:val="003B5149"/>
    <w:rsid w:val="003B568B"/>
    <w:rsid w:val="003C0874"/>
    <w:rsid w:val="003C37B0"/>
    <w:rsid w:val="003C5FC6"/>
    <w:rsid w:val="003C65A7"/>
    <w:rsid w:val="003C7D48"/>
    <w:rsid w:val="003D02FD"/>
    <w:rsid w:val="003D0D55"/>
    <w:rsid w:val="003D187E"/>
    <w:rsid w:val="003D1B8C"/>
    <w:rsid w:val="003D2D66"/>
    <w:rsid w:val="003D4191"/>
    <w:rsid w:val="003D5C91"/>
    <w:rsid w:val="003D6E80"/>
    <w:rsid w:val="003D6F82"/>
    <w:rsid w:val="003E2670"/>
    <w:rsid w:val="003E2DAA"/>
    <w:rsid w:val="003E3EED"/>
    <w:rsid w:val="003E5FAE"/>
    <w:rsid w:val="003E63A8"/>
    <w:rsid w:val="003F028C"/>
    <w:rsid w:val="003F2E1E"/>
    <w:rsid w:val="003F41E6"/>
    <w:rsid w:val="003F53E7"/>
    <w:rsid w:val="00401632"/>
    <w:rsid w:val="00405AED"/>
    <w:rsid w:val="004069D0"/>
    <w:rsid w:val="00407C40"/>
    <w:rsid w:val="00410E2E"/>
    <w:rsid w:val="00410F09"/>
    <w:rsid w:val="0041245D"/>
    <w:rsid w:val="0041561E"/>
    <w:rsid w:val="0041570E"/>
    <w:rsid w:val="00415A4C"/>
    <w:rsid w:val="004174E8"/>
    <w:rsid w:val="00421BC5"/>
    <w:rsid w:val="0042268D"/>
    <w:rsid w:val="00422887"/>
    <w:rsid w:val="00423653"/>
    <w:rsid w:val="00424F11"/>
    <w:rsid w:val="004265EF"/>
    <w:rsid w:val="00432F6F"/>
    <w:rsid w:val="00434A3A"/>
    <w:rsid w:val="00437032"/>
    <w:rsid w:val="00437230"/>
    <w:rsid w:val="004420B0"/>
    <w:rsid w:val="00443CBE"/>
    <w:rsid w:val="004448C1"/>
    <w:rsid w:val="00447F59"/>
    <w:rsid w:val="00452BC0"/>
    <w:rsid w:val="0045492B"/>
    <w:rsid w:val="00460121"/>
    <w:rsid w:val="00462427"/>
    <w:rsid w:val="00462769"/>
    <w:rsid w:val="00462D95"/>
    <w:rsid w:val="00463ACB"/>
    <w:rsid w:val="00466527"/>
    <w:rsid w:val="00470789"/>
    <w:rsid w:val="004719BA"/>
    <w:rsid w:val="00473162"/>
    <w:rsid w:val="00475D3C"/>
    <w:rsid w:val="00480493"/>
    <w:rsid w:val="0048216E"/>
    <w:rsid w:val="00483247"/>
    <w:rsid w:val="004837EB"/>
    <w:rsid w:val="00484354"/>
    <w:rsid w:val="004853D3"/>
    <w:rsid w:val="004857E2"/>
    <w:rsid w:val="00487AC9"/>
    <w:rsid w:val="004954B3"/>
    <w:rsid w:val="00495549"/>
    <w:rsid w:val="004A0EDE"/>
    <w:rsid w:val="004A444C"/>
    <w:rsid w:val="004A5722"/>
    <w:rsid w:val="004A5E72"/>
    <w:rsid w:val="004A6468"/>
    <w:rsid w:val="004A7987"/>
    <w:rsid w:val="004A7C9A"/>
    <w:rsid w:val="004B0328"/>
    <w:rsid w:val="004B24C0"/>
    <w:rsid w:val="004B4EAC"/>
    <w:rsid w:val="004B5F7D"/>
    <w:rsid w:val="004B6443"/>
    <w:rsid w:val="004B66D8"/>
    <w:rsid w:val="004B768A"/>
    <w:rsid w:val="004C2971"/>
    <w:rsid w:val="004C32F0"/>
    <w:rsid w:val="004C389A"/>
    <w:rsid w:val="004C4838"/>
    <w:rsid w:val="004C56EE"/>
    <w:rsid w:val="004C5723"/>
    <w:rsid w:val="004C6C34"/>
    <w:rsid w:val="004C7ACF"/>
    <w:rsid w:val="004D0CEB"/>
    <w:rsid w:val="004D0DAC"/>
    <w:rsid w:val="004D1ABF"/>
    <w:rsid w:val="004E4599"/>
    <w:rsid w:val="004E460C"/>
    <w:rsid w:val="004E51FC"/>
    <w:rsid w:val="004E5907"/>
    <w:rsid w:val="004E63E5"/>
    <w:rsid w:val="004E6716"/>
    <w:rsid w:val="004E6E99"/>
    <w:rsid w:val="004E7796"/>
    <w:rsid w:val="004E7A7C"/>
    <w:rsid w:val="004F1B2E"/>
    <w:rsid w:val="004F3FC7"/>
    <w:rsid w:val="004F422D"/>
    <w:rsid w:val="004F42F7"/>
    <w:rsid w:val="004F6283"/>
    <w:rsid w:val="004F7858"/>
    <w:rsid w:val="005004FE"/>
    <w:rsid w:val="005007D0"/>
    <w:rsid w:val="00500FCD"/>
    <w:rsid w:val="0050507B"/>
    <w:rsid w:val="005142B5"/>
    <w:rsid w:val="00516433"/>
    <w:rsid w:val="00517885"/>
    <w:rsid w:val="00517E82"/>
    <w:rsid w:val="0052002D"/>
    <w:rsid w:val="005203B5"/>
    <w:rsid w:val="005208C0"/>
    <w:rsid w:val="00523390"/>
    <w:rsid w:val="00524381"/>
    <w:rsid w:val="0052456B"/>
    <w:rsid w:val="00525E4D"/>
    <w:rsid w:val="00527955"/>
    <w:rsid w:val="00530156"/>
    <w:rsid w:val="00531C67"/>
    <w:rsid w:val="005324A9"/>
    <w:rsid w:val="00532639"/>
    <w:rsid w:val="00532AF3"/>
    <w:rsid w:val="00533501"/>
    <w:rsid w:val="0053663F"/>
    <w:rsid w:val="00537BF6"/>
    <w:rsid w:val="00537FA3"/>
    <w:rsid w:val="00544404"/>
    <w:rsid w:val="0054458F"/>
    <w:rsid w:val="005462AB"/>
    <w:rsid w:val="00547514"/>
    <w:rsid w:val="005503D5"/>
    <w:rsid w:val="00552780"/>
    <w:rsid w:val="00553E7F"/>
    <w:rsid w:val="00554113"/>
    <w:rsid w:val="00554F4A"/>
    <w:rsid w:val="00555447"/>
    <w:rsid w:val="00555ED6"/>
    <w:rsid w:val="0055678C"/>
    <w:rsid w:val="0056126B"/>
    <w:rsid w:val="005616CE"/>
    <w:rsid w:val="00561AC0"/>
    <w:rsid w:val="00563570"/>
    <w:rsid w:val="0056554D"/>
    <w:rsid w:val="00572365"/>
    <w:rsid w:val="00572956"/>
    <w:rsid w:val="00574414"/>
    <w:rsid w:val="0057510E"/>
    <w:rsid w:val="005751A7"/>
    <w:rsid w:val="00575996"/>
    <w:rsid w:val="00576DE1"/>
    <w:rsid w:val="005778B6"/>
    <w:rsid w:val="005802E1"/>
    <w:rsid w:val="005812E9"/>
    <w:rsid w:val="00582AD4"/>
    <w:rsid w:val="0058463B"/>
    <w:rsid w:val="00584FAB"/>
    <w:rsid w:val="00590625"/>
    <w:rsid w:val="0059230C"/>
    <w:rsid w:val="00594BA3"/>
    <w:rsid w:val="00595778"/>
    <w:rsid w:val="005971BE"/>
    <w:rsid w:val="005975BE"/>
    <w:rsid w:val="005A18AC"/>
    <w:rsid w:val="005A1CB8"/>
    <w:rsid w:val="005A602E"/>
    <w:rsid w:val="005A6831"/>
    <w:rsid w:val="005A70C3"/>
    <w:rsid w:val="005A79B0"/>
    <w:rsid w:val="005B036C"/>
    <w:rsid w:val="005B1D3C"/>
    <w:rsid w:val="005B2EC4"/>
    <w:rsid w:val="005B520D"/>
    <w:rsid w:val="005B530D"/>
    <w:rsid w:val="005B6F24"/>
    <w:rsid w:val="005C03A8"/>
    <w:rsid w:val="005C0A27"/>
    <w:rsid w:val="005C16FD"/>
    <w:rsid w:val="005C5319"/>
    <w:rsid w:val="005C60BB"/>
    <w:rsid w:val="005C7217"/>
    <w:rsid w:val="005C7473"/>
    <w:rsid w:val="005D3478"/>
    <w:rsid w:val="005D4669"/>
    <w:rsid w:val="005D4754"/>
    <w:rsid w:val="005E294A"/>
    <w:rsid w:val="005E2E57"/>
    <w:rsid w:val="005E2E8C"/>
    <w:rsid w:val="005E63DE"/>
    <w:rsid w:val="005E64A1"/>
    <w:rsid w:val="005E7BF7"/>
    <w:rsid w:val="005F178E"/>
    <w:rsid w:val="005F20AF"/>
    <w:rsid w:val="00602586"/>
    <w:rsid w:val="006033F0"/>
    <w:rsid w:val="00606109"/>
    <w:rsid w:val="0060647D"/>
    <w:rsid w:val="006072E6"/>
    <w:rsid w:val="00610B16"/>
    <w:rsid w:val="006111EF"/>
    <w:rsid w:val="00611551"/>
    <w:rsid w:val="00612EFA"/>
    <w:rsid w:val="00613C80"/>
    <w:rsid w:val="00613E49"/>
    <w:rsid w:val="00614892"/>
    <w:rsid w:val="00614ECE"/>
    <w:rsid w:val="00615FBB"/>
    <w:rsid w:val="0061687F"/>
    <w:rsid w:val="00616BCF"/>
    <w:rsid w:val="006216E8"/>
    <w:rsid w:val="00624521"/>
    <w:rsid w:val="006262C7"/>
    <w:rsid w:val="00630DCA"/>
    <w:rsid w:val="006319F1"/>
    <w:rsid w:val="0063423E"/>
    <w:rsid w:val="0063462E"/>
    <w:rsid w:val="00634B9B"/>
    <w:rsid w:val="00636E97"/>
    <w:rsid w:val="0063769C"/>
    <w:rsid w:val="0064274B"/>
    <w:rsid w:val="00643168"/>
    <w:rsid w:val="006435EC"/>
    <w:rsid w:val="006438CE"/>
    <w:rsid w:val="00645237"/>
    <w:rsid w:val="00647F3D"/>
    <w:rsid w:val="006506DB"/>
    <w:rsid w:val="006528DE"/>
    <w:rsid w:val="00661FB9"/>
    <w:rsid w:val="0066362B"/>
    <w:rsid w:val="00664AE5"/>
    <w:rsid w:val="00665374"/>
    <w:rsid w:val="00665753"/>
    <w:rsid w:val="00665BDE"/>
    <w:rsid w:val="00670417"/>
    <w:rsid w:val="006747EA"/>
    <w:rsid w:val="006764CE"/>
    <w:rsid w:val="00676B8A"/>
    <w:rsid w:val="00676C02"/>
    <w:rsid w:val="00676DEC"/>
    <w:rsid w:val="006800F9"/>
    <w:rsid w:val="006821B3"/>
    <w:rsid w:val="006829B2"/>
    <w:rsid w:val="006829D5"/>
    <w:rsid w:val="00683023"/>
    <w:rsid w:val="00684031"/>
    <w:rsid w:val="00684CAF"/>
    <w:rsid w:val="0068537B"/>
    <w:rsid w:val="00687EEB"/>
    <w:rsid w:val="00690FA2"/>
    <w:rsid w:val="006923B0"/>
    <w:rsid w:val="006977ED"/>
    <w:rsid w:val="00697E0D"/>
    <w:rsid w:val="006A723A"/>
    <w:rsid w:val="006B1893"/>
    <w:rsid w:val="006B1C37"/>
    <w:rsid w:val="006B4B2A"/>
    <w:rsid w:val="006B4C93"/>
    <w:rsid w:val="006B6168"/>
    <w:rsid w:val="006B7DC1"/>
    <w:rsid w:val="006C1656"/>
    <w:rsid w:val="006C5843"/>
    <w:rsid w:val="006C58CF"/>
    <w:rsid w:val="006C6324"/>
    <w:rsid w:val="006D2F85"/>
    <w:rsid w:val="006D3DE4"/>
    <w:rsid w:val="006D405E"/>
    <w:rsid w:val="006D57E7"/>
    <w:rsid w:val="006E123E"/>
    <w:rsid w:val="006E127C"/>
    <w:rsid w:val="006E1F46"/>
    <w:rsid w:val="006E2257"/>
    <w:rsid w:val="006E3D8D"/>
    <w:rsid w:val="006E4E83"/>
    <w:rsid w:val="006E5EEA"/>
    <w:rsid w:val="006E6054"/>
    <w:rsid w:val="006F3A79"/>
    <w:rsid w:val="006F438F"/>
    <w:rsid w:val="006F644A"/>
    <w:rsid w:val="006F7400"/>
    <w:rsid w:val="006F7AA1"/>
    <w:rsid w:val="0070189B"/>
    <w:rsid w:val="00701DCD"/>
    <w:rsid w:val="00704C96"/>
    <w:rsid w:val="00706A67"/>
    <w:rsid w:val="0070771F"/>
    <w:rsid w:val="00710393"/>
    <w:rsid w:val="00710B20"/>
    <w:rsid w:val="00711A1B"/>
    <w:rsid w:val="00711FA6"/>
    <w:rsid w:val="007121C2"/>
    <w:rsid w:val="007138A3"/>
    <w:rsid w:val="00713D5C"/>
    <w:rsid w:val="00714755"/>
    <w:rsid w:val="007218BC"/>
    <w:rsid w:val="00723794"/>
    <w:rsid w:val="00723C01"/>
    <w:rsid w:val="007252C0"/>
    <w:rsid w:val="00726925"/>
    <w:rsid w:val="007307AD"/>
    <w:rsid w:val="00731327"/>
    <w:rsid w:val="00732759"/>
    <w:rsid w:val="00735A3C"/>
    <w:rsid w:val="00737562"/>
    <w:rsid w:val="00743393"/>
    <w:rsid w:val="007435E9"/>
    <w:rsid w:val="007460E9"/>
    <w:rsid w:val="007477B3"/>
    <w:rsid w:val="00750FD9"/>
    <w:rsid w:val="0075145A"/>
    <w:rsid w:val="00751F5D"/>
    <w:rsid w:val="00753090"/>
    <w:rsid w:val="00755DC5"/>
    <w:rsid w:val="00756B2B"/>
    <w:rsid w:val="00757CDE"/>
    <w:rsid w:val="007604FA"/>
    <w:rsid w:val="007670C5"/>
    <w:rsid w:val="00770050"/>
    <w:rsid w:val="00770C1E"/>
    <w:rsid w:val="00770F62"/>
    <w:rsid w:val="00771869"/>
    <w:rsid w:val="00772660"/>
    <w:rsid w:val="00773068"/>
    <w:rsid w:val="00777769"/>
    <w:rsid w:val="007804C5"/>
    <w:rsid w:val="00780FB4"/>
    <w:rsid w:val="00782391"/>
    <w:rsid w:val="007825E9"/>
    <w:rsid w:val="00790480"/>
    <w:rsid w:val="007943A3"/>
    <w:rsid w:val="00796C77"/>
    <w:rsid w:val="00796F93"/>
    <w:rsid w:val="007A2AE6"/>
    <w:rsid w:val="007A3E62"/>
    <w:rsid w:val="007A6E26"/>
    <w:rsid w:val="007A7918"/>
    <w:rsid w:val="007B2239"/>
    <w:rsid w:val="007B3B02"/>
    <w:rsid w:val="007B3E8E"/>
    <w:rsid w:val="007B41BE"/>
    <w:rsid w:val="007B42B7"/>
    <w:rsid w:val="007B56C4"/>
    <w:rsid w:val="007B798A"/>
    <w:rsid w:val="007C0FDB"/>
    <w:rsid w:val="007C287C"/>
    <w:rsid w:val="007C4BFD"/>
    <w:rsid w:val="007C4CCE"/>
    <w:rsid w:val="007C7292"/>
    <w:rsid w:val="007D0E47"/>
    <w:rsid w:val="007D0F00"/>
    <w:rsid w:val="007D0FC3"/>
    <w:rsid w:val="007D2C29"/>
    <w:rsid w:val="007D3828"/>
    <w:rsid w:val="007D6114"/>
    <w:rsid w:val="007E1E98"/>
    <w:rsid w:val="007E4D42"/>
    <w:rsid w:val="007E5A36"/>
    <w:rsid w:val="007E6C27"/>
    <w:rsid w:val="007E7737"/>
    <w:rsid w:val="007F0C9D"/>
    <w:rsid w:val="007F1FFD"/>
    <w:rsid w:val="007F40D3"/>
    <w:rsid w:val="007F41E3"/>
    <w:rsid w:val="007F51CF"/>
    <w:rsid w:val="007F5C74"/>
    <w:rsid w:val="00800C69"/>
    <w:rsid w:val="0080172D"/>
    <w:rsid w:val="00801C49"/>
    <w:rsid w:val="008027E6"/>
    <w:rsid w:val="00802957"/>
    <w:rsid w:val="0080424A"/>
    <w:rsid w:val="00806F95"/>
    <w:rsid w:val="00807259"/>
    <w:rsid w:val="00810514"/>
    <w:rsid w:val="0081247C"/>
    <w:rsid w:val="00813410"/>
    <w:rsid w:val="00817E91"/>
    <w:rsid w:val="00820404"/>
    <w:rsid w:val="0082142F"/>
    <w:rsid w:val="00822265"/>
    <w:rsid w:val="00822943"/>
    <w:rsid w:val="00822E24"/>
    <w:rsid w:val="0082488A"/>
    <w:rsid w:val="00826164"/>
    <w:rsid w:val="00830191"/>
    <w:rsid w:val="008311B9"/>
    <w:rsid w:val="008317F2"/>
    <w:rsid w:val="00833DD5"/>
    <w:rsid w:val="0083511C"/>
    <w:rsid w:val="008378E3"/>
    <w:rsid w:val="00841ED3"/>
    <w:rsid w:val="008429EB"/>
    <w:rsid w:val="00842C5C"/>
    <w:rsid w:val="00842CED"/>
    <w:rsid w:val="00843890"/>
    <w:rsid w:val="008439C8"/>
    <w:rsid w:val="008455E0"/>
    <w:rsid w:val="00846C2F"/>
    <w:rsid w:val="008537FA"/>
    <w:rsid w:val="008611DE"/>
    <w:rsid w:val="00861D0C"/>
    <w:rsid w:val="00862401"/>
    <w:rsid w:val="008627BA"/>
    <w:rsid w:val="008636A0"/>
    <w:rsid w:val="008651C3"/>
    <w:rsid w:val="00866345"/>
    <w:rsid w:val="0087308F"/>
    <w:rsid w:val="00875B7D"/>
    <w:rsid w:val="0088237A"/>
    <w:rsid w:val="00882967"/>
    <w:rsid w:val="00882F0A"/>
    <w:rsid w:val="00885299"/>
    <w:rsid w:val="008904D2"/>
    <w:rsid w:val="008914ED"/>
    <w:rsid w:val="0089280F"/>
    <w:rsid w:val="00892D41"/>
    <w:rsid w:val="00893000"/>
    <w:rsid w:val="008938C0"/>
    <w:rsid w:val="00895580"/>
    <w:rsid w:val="00896029"/>
    <w:rsid w:val="008960A3"/>
    <w:rsid w:val="008963AB"/>
    <w:rsid w:val="008971DB"/>
    <w:rsid w:val="008A0376"/>
    <w:rsid w:val="008A09C6"/>
    <w:rsid w:val="008A11C6"/>
    <w:rsid w:val="008A1543"/>
    <w:rsid w:val="008A234C"/>
    <w:rsid w:val="008A2CE2"/>
    <w:rsid w:val="008A3366"/>
    <w:rsid w:val="008A6C50"/>
    <w:rsid w:val="008A7FC9"/>
    <w:rsid w:val="008B0233"/>
    <w:rsid w:val="008B07F4"/>
    <w:rsid w:val="008B29E9"/>
    <w:rsid w:val="008B30CE"/>
    <w:rsid w:val="008B5146"/>
    <w:rsid w:val="008B557D"/>
    <w:rsid w:val="008B5EE8"/>
    <w:rsid w:val="008B6ACB"/>
    <w:rsid w:val="008B70B2"/>
    <w:rsid w:val="008C1961"/>
    <w:rsid w:val="008C2002"/>
    <w:rsid w:val="008C4934"/>
    <w:rsid w:val="008C53AE"/>
    <w:rsid w:val="008D0044"/>
    <w:rsid w:val="008D1C17"/>
    <w:rsid w:val="008D2900"/>
    <w:rsid w:val="008D3305"/>
    <w:rsid w:val="008D4C51"/>
    <w:rsid w:val="008D6140"/>
    <w:rsid w:val="008D6EA3"/>
    <w:rsid w:val="008E165A"/>
    <w:rsid w:val="008E1A9E"/>
    <w:rsid w:val="008E23E0"/>
    <w:rsid w:val="008E4F6C"/>
    <w:rsid w:val="008E561C"/>
    <w:rsid w:val="008F19B1"/>
    <w:rsid w:val="008F35FD"/>
    <w:rsid w:val="008F3F2B"/>
    <w:rsid w:val="008F718C"/>
    <w:rsid w:val="00900393"/>
    <w:rsid w:val="00901A03"/>
    <w:rsid w:val="00902167"/>
    <w:rsid w:val="009023E0"/>
    <w:rsid w:val="00903785"/>
    <w:rsid w:val="009055BD"/>
    <w:rsid w:val="00907D25"/>
    <w:rsid w:val="00910CFC"/>
    <w:rsid w:val="00911FD9"/>
    <w:rsid w:val="00912024"/>
    <w:rsid w:val="00913252"/>
    <w:rsid w:val="0091514F"/>
    <w:rsid w:val="00916535"/>
    <w:rsid w:val="00917068"/>
    <w:rsid w:val="0092015A"/>
    <w:rsid w:val="0092168F"/>
    <w:rsid w:val="00921796"/>
    <w:rsid w:val="00921F70"/>
    <w:rsid w:val="00922925"/>
    <w:rsid w:val="009232BC"/>
    <w:rsid w:val="009240D6"/>
    <w:rsid w:val="009266BD"/>
    <w:rsid w:val="00932779"/>
    <w:rsid w:val="00932F98"/>
    <w:rsid w:val="0093446E"/>
    <w:rsid w:val="0093470F"/>
    <w:rsid w:val="00936124"/>
    <w:rsid w:val="0094099D"/>
    <w:rsid w:val="00943ABC"/>
    <w:rsid w:val="009470D9"/>
    <w:rsid w:val="00952F33"/>
    <w:rsid w:val="00952F79"/>
    <w:rsid w:val="009533E4"/>
    <w:rsid w:val="00955011"/>
    <w:rsid w:val="00956453"/>
    <w:rsid w:val="00957A39"/>
    <w:rsid w:val="009634DD"/>
    <w:rsid w:val="00964F37"/>
    <w:rsid w:val="00965D8B"/>
    <w:rsid w:val="0096652E"/>
    <w:rsid w:val="00967924"/>
    <w:rsid w:val="00970113"/>
    <w:rsid w:val="00971EE5"/>
    <w:rsid w:val="00974824"/>
    <w:rsid w:val="00974CE2"/>
    <w:rsid w:val="00974EED"/>
    <w:rsid w:val="0097718F"/>
    <w:rsid w:val="009818CE"/>
    <w:rsid w:val="009836EB"/>
    <w:rsid w:val="009853D8"/>
    <w:rsid w:val="00991049"/>
    <w:rsid w:val="00991489"/>
    <w:rsid w:val="00993DAE"/>
    <w:rsid w:val="00994386"/>
    <w:rsid w:val="00994D0E"/>
    <w:rsid w:val="009972D1"/>
    <w:rsid w:val="009977D0"/>
    <w:rsid w:val="009A131F"/>
    <w:rsid w:val="009A1960"/>
    <w:rsid w:val="009A206F"/>
    <w:rsid w:val="009A311B"/>
    <w:rsid w:val="009A3B2D"/>
    <w:rsid w:val="009A7605"/>
    <w:rsid w:val="009B03F1"/>
    <w:rsid w:val="009B246A"/>
    <w:rsid w:val="009C02D5"/>
    <w:rsid w:val="009C0377"/>
    <w:rsid w:val="009C267C"/>
    <w:rsid w:val="009C3126"/>
    <w:rsid w:val="009C364E"/>
    <w:rsid w:val="009C4CD2"/>
    <w:rsid w:val="009C5B69"/>
    <w:rsid w:val="009C72A1"/>
    <w:rsid w:val="009C7965"/>
    <w:rsid w:val="009D0591"/>
    <w:rsid w:val="009D3CA0"/>
    <w:rsid w:val="009D40F9"/>
    <w:rsid w:val="009E04C9"/>
    <w:rsid w:val="009E09F5"/>
    <w:rsid w:val="009E1B8D"/>
    <w:rsid w:val="009E1C65"/>
    <w:rsid w:val="009E263C"/>
    <w:rsid w:val="009E3CAB"/>
    <w:rsid w:val="009E4E1D"/>
    <w:rsid w:val="009E73F6"/>
    <w:rsid w:val="009F136A"/>
    <w:rsid w:val="009F145A"/>
    <w:rsid w:val="009F16D6"/>
    <w:rsid w:val="009F2556"/>
    <w:rsid w:val="009F2C3C"/>
    <w:rsid w:val="009F6E4E"/>
    <w:rsid w:val="009F6FCF"/>
    <w:rsid w:val="00A03DCF"/>
    <w:rsid w:val="00A04618"/>
    <w:rsid w:val="00A075CC"/>
    <w:rsid w:val="00A10053"/>
    <w:rsid w:val="00A1029E"/>
    <w:rsid w:val="00A12BD8"/>
    <w:rsid w:val="00A14006"/>
    <w:rsid w:val="00A1573A"/>
    <w:rsid w:val="00A162CC"/>
    <w:rsid w:val="00A17A73"/>
    <w:rsid w:val="00A17DA7"/>
    <w:rsid w:val="00A202D0"/>
    <w:rsid w:val="00A20A2F"/>
    <w:rsid w:val="00A21E55"/>
    <w:rsid w:val="00A22CD6"/>
    <w:rsid w:val="00A23491"/>
    <w:rsid w:val="00A2385B"/>
    <w:rsid w:val="00A26E51"/>
    <w:rsid w:val="00A2792D"/>
    <w:rsid w:val="00A32841"/>
    <w:rsid w:val="00A32CB4"/>
    <w:rsid w:val="00A33535"/>
    <w:rsid w:val="00A33AA8"/>
    <w:rsid w:val="00A33E20"/>
    <w:rsid w:val="00A33E7E"/>
    <w:rsid w:val="00A3427D"/>
    <w:rsid w:val="00A36497"/>
    <w:rsid w:val="00A406AD"/>
    <w:rsid w:val="00A41199"/>
    <w:rsid w:val="00A41A55"/>
    <w:rsid w:val="00A43778"/>
    <w:rsid w:val="00A4387A"/>
    <w:rsid w:val="00A43E28"/>
    <w:rsid w:val="00A47F24"/>
    <w:rsid w:val="00A51011"/>
    <w:rsid w:val="00A555FE"/>
    <w:rsid w:val="00A561AC"/>
    <w:rsid w:val="00A56637"/>
    <w:rsid w:val="00A611AF"/>
    <w:rsid w:val="00A61671"/>
    <w:rsid w:val="00A619C6"/>
    <w:rsid w:val="00A640D5"/>
    <w:rsid w:val="00A64B0A"/>
    <w:rsid w:val="00A65B3E"/>
    <w:rsid w:val="00A66027"/>
    <w:rsid w:val="00A66B59"/>
    <w:rsid w:val="00A67188"/>
    <w:rsid w:val="00A72C47"/>
    <w:rsid w:val="00A738B8"/>
    <w:rsid w:val="00A73D7C"/>
    <w:rsid w:val="00A7441A"/>
    <w:rsid w:val="00A759BB"/>
    <w:rsid w:val="00A83493"/>
    <w:rsid w:val="00A83E10"/>
    <w:rsid w:val="00A84AAA"/>
    <w:rsid w:val="00A857B4"/>
    <w:rsid w:val="00A92E32"/>
    <w:rsid w:val="00A93B9E"/>
    <w:rsid w:val="00AA05E8"/>
    <w:rsid w:val="00AA08FA"/>
    <w:rsid w:val="00AA0A85"/>
    <w:rsid w:val="00AA0A99"/>
    <w:rsid w:val="00AA20CD"/>
    <w:rsid w:val="00AA5BDE"/>
    <w:rsid w:val="00AA5CBB"/>
    <w:rsid w:val="00AB0608"/>
    <w:rsid w:val="00AB153A"/>
    <w:rsid w:val="00AB1DBA"/>
    <w:rsid w:val="00AB4D62"/>
    <w:rsid w:val="00AB4EA5"/>
    <w:rsid w:val="00AB55D3"/>
    <w:rsid w:val="00AB5773"/>
    <w:rsid w:val="00AB7374"/>
    <w:rsid w:val="00AB7821"/>
    <w:rsid w:val="00AB79BD"/>
    <w:rsid w:val="00AB7D25"/>
    <w:rsid w:val="00AC0EFB"/>
    <w:rsid w:val="00AC232B"/>
    <w:rsid w:val="00AC3784"/>
    <w:rsid w:val="00AC4330"/>
    <w:rsid w:val="00AC53A1"/>
    <w:rsid w:val="00AC606D"/>
    <w:rsid w:val="00AC7AD3"/>
    <w:rsid w:val="00AD0F9B"/>
    <w:rsid w:val="00AD1B7C"/>
    <w:rsid w:val="00AD4C08"/>
    <w:rsid w:val="00AD5E3C"/>
    <w:rsid w:val="00AD5F0E"/>
    <w:rsid w:val="00AD7338"/>
    <w:rsid w:val="00AD7989"/>
    <w:rsid w:val="00AE2C4B"/>
    <w:rsid w:val="00AE31A3"/>
    <w:rsid w:val="00AE3ACB"/>
    <w:rsid w:val="00AE3FD1"/>
    <w:rsid w:val="00AE6F95"/>
    <w:rsid w:val="00AF3C75"/>
    <w:rsid w:val="00AF4CD4"/>
    <w:rsid w:val="00AF5C83"/>
    <w:rsid w:val="00B00C5F"/>
    <w:rsid w:val="00B01651"/>
    <w:rsid w:val="00B02E3C"/>
    <w:rsid w:val="00B0385D"/>
    <w:rsid w:val="00B0498A"/>
    <w:rsid w:val="00B06954"/>
    <w:rsid w:val="00B06F90"/>
    <w:rsid w:val="00B0732C"/>
    <w:rsid w:val="00B114B3"/>
    <w:rsid w:val="00B12FDA"/>
    <w:rsid w:val="00B16DEF"/>
    <w:rsid w:val="00B22468"/>
    <w:rsid w:val="00B22DED"/>
    <w:rsid w:val="00B24F1D"/>
    <w:rsid w:val="00B30705"/>
    <w:rsid w:val="00B30C32"/>
    <w:rsid w:val="00B343D0"/>
    <w:rsid w:val="00B35071"/>
    <w:rsid w:val="00B35233"/>
    <w:rsid w:val="00B4028E"/>
    <w:rsid w:val="00B40750"/>
    <w:rsid w:val="00B40765"/>
    <w:rsid w:val="00B41F50"/>
    <w:rsid w:val="00B42668"/>
    <w:rsid w:val="00B4285E"/>
    <w:rsid w:val="00B42FB1"/>
    <w:rsid w:val="00B457FB"/>
    <w:rsid w:val="00B4615C"/>
    <w:rsid w:val="00B46B6E"/>
    <w:rsid w:val="00B4781B"/>
    <w:rsid w:val="00B50CAA"/>
    <w:rsid w:val="00B519A0"/>
    <w:rsid w:val="00B52578"/>
    <w:rsid w:val="00B62798"/>
    <w:rsid w:val="00B62CFF"/>
    <w:rsid w:val="00B64645"/>
    <w:rsid w:val="00B64F00"/>
    <w:rsid w:val="00B7211C"/>
    <w:rsid w:val="00B72BAA"/>
    <w:rsid w:val="00B74C9D"/>
    <w:rsid w:val="00B77F10"/>
    <w:rsid w:val="00B8339B"/>
    <w:rsid w:val="00B8676A"/>
    <w:rsid w:val="00B879B5"/>
    <w:rsid w:val="00B90C38"/>
    <w:rsid w:val="00B93443"/>
    <w:rsid w:val="00B978A9"/>
    <w:rsid w:val="00B97CC6"/>
    <w:rsid w:val="00BA087D"/>
    <w:rsid w:val="00BA16DB"/>
    <w:rsid w:val="00BA2A73"/>
    <w:rsid w:val="00BA331B"/>
    <w:rsid w:val="00BA647B"/>
    <w:rsid w:val="00BA6F9E"/>
    <w:rsid w:val="00BA700A"/>
    <w:rsid w:val="00BA70AA"/>
    <w:rsid w:val="00BB03FB"/>
    <w:rsid w:val="00BB0D4B"/>
    <w:rsid w:val="00BB4BDC"/>
    <w:rsid w:val="00BB5B4A"/>
    <w:rsid w:val="00BB662B"/>
    <w:rsid w:val="00BB6BC6"/>
    <w:rsid w:val="00BB7F87"/>
    <w:rsid w:val="00BC1E24"/>
    <w:rsid w:val="00BC5934"/>
    <w:rsid w:val="00BC7AC3"/>
    <w:rsid w:val="00BD0A70"/>
    <w:rsid w:val="00BD15F5"/>
    <w:rsid w:val="00BD38A0"/>
    <w:rsid w:val="00BD4189"/>
    <w:rsid w:val="00BD522D"/>
    <w:rsid w:val="00BD7D38"/>
    <w:rsid w:val="00BE6961"/>
    <w:rsid w:val="00BE7BEC"/>
    <w:rsid w:val="00BF1A8A"/>
    <w:rsid w:val="00BF51EA"/>
    <w:rsid w:val="00BF638C"/>
    <w:rsid w:val="00C01078"/>
    <w:rsid w:val="00C036F5"/>
    <w:rsid w:val="00C058F8"/>
    <w:rsid w:val="00C06402"/>
    <w:rsid w:val="00C07719"/>
    <w:rsid w:val="00C11886"/>
    <w:rsid w:val="00C156F6"/>
    <w:rsid w:val="00C1797A"/>
    <w:rsid w:val="00C17BE3"/>
    <w:rsid w:val="00C17EED"/>
    <w:rsid w:val="00C2032F"/>
    <w:rsid w:val="00C2147E"/>
    <w:rsid w:val="00C22ED0"/>
    <w:rsid w:val="00C27547"/>
    <w:rsid w:val="00C3104D"/>
    <w:rsid w:val="00C31594"/>
    <w:rsid w:val="00C31F0D"/>
    <w:rsid w:val="00C329E2"/>
    <w:rsid w:val="00C32D41"/>
    <w:rsid w:val="00C345E2"/>
    <w:rsid w:val="00C34999"/>
    <w:rsid w:val="00C40250"/>
    <w:rsid w:val="00C41494"/>
    <w:rsid w:val="00C4290F"/>
    <w:rsid w:val="00C431D5"/>
    <w:rsid w:val="00C448B5"/>
    <w:rsid w:val="00C45F3A"/>
    <w:rsid w:val="00C46792"/>
    <w:rsid w:val="00C524E9"/>
    <w:rsid w:val="00C556DD"/>
    <w:rsid w:val="00C57CE4"/>
    <w:rsid w:val="00C608B0"/>
    <w:rsid w:val="00C64429"/>
    <w:rsid w:val="00C66F88"/>
    <w:rsid w:val="00C67952"/>
    <w:rsid w:val="00C70C93"/>
    <w:rsid w:val="00C72AB3"/>
    <w:rsid w:val="00C72E99"/>
    <w:rsid w:val="00C774D0"/>
    <w:rsid w:val="00C77AD8"/>
    <w:rsid w:val="00C81F14"/>
    <w:rsid w:val="00C821E2"/>
    <w:rsid w:val="00C8251E"/>
    <w:rsid w:val="00C827A3"/>
    <w:rsid w:val="00C914A3"/>
    <w:rsid w:val="00C9256A"/>
    <w:rsid w:val="00C940A6"/>
    <w:rsid w:val="00C94CA3"/>
    <w:rsid w:val="00C95059"/>
    <w:rsid w:val="00C95838"/>
    <w:rsid w:val="00C960C3"/>
    <w:rsid w:val="00C96CDA"/>
    <w:rsid w:val="00CA08BC"/>
    <w:rsid w:val="00CA0D33"/>
    <w:rsid w:val="00CA13DD"/>
    <w:rsid w:val="00CA16CE"/>
    <w:rsid w:val="00CA2D7F"/>
    <w:rsid w:val="00CA3B96"/>
    <w:rsid w:val="00CB1262"/>
    <w:rsid w:val="00CB1576"/>
    <w:rsid w:val="00CB22FC"/>
    <w:rsid w:val="00CB2AFE"/>
    <w:rsid w:val="00CB3B4F"/>
    <w:rsid w:val="00CB4A85"/>
    <w:rsid w:val="00CB4F78"/>
    <w:rsid w:val="00CB5C47"/>
    <w:rsid w:val="00CB6602"/>
    <w:rsid w:val="00CB7912"/>
    <w:rsid w:val="00CC093B"/>
    <w:rsid w:val="00CC0A66"/>
    <w:rsid w:val="00CC1007"/>
    <w:rsid w:val="00CC350E"/>
    <w:rsid w:val="00CC5F64"/>
    <w:rsid w:val="00CC7264"/>
    <w:rsid w:val="00CC7C15"/>
    <w:rsid w:val="00CD2E6B"/>
    <w:rsid w:val="00CD3449"/>
    <w:rsid w:val="00CD6470"/>
    <w:rsid w:val="00CD6A9D"/>
    <w:rsid w:val="00CD6FB6"/>
    <w:rsid w:val="00CD7282"/>
    <w:rsid w:val="00CE08CD"/>
    <w:rsid w:val="00CE11CD"/>
    <w:rsid w:val="00CE12A5"/>
    <w:rsid w:val="00CE341E"/>
    <w:rsid w:val="00CE38FB"/>
    <w:rsid w:val="00CE3B17"/>
    <w:rsid w:val="00CE45C8"/>
    <w:rsid w:val="00CE5742"/>
    <w:rsid w:val="00CE6029"/>
    <w:rsid w:val="00CE6A91"/>
    <w:rsid w:val="00CF15D8"/>
    <w:rsid w:val="00CF33A4"/>
    <w:rsid w:val="00CF4D9F"/>
    <w:rsid w:val="00CF5556"/>
    <w:rsid w:val="00CF70FF"/>
    <w:rsid w:val="00D0012E"/>
    <w:rsid w:val="00D0118D"/>
    <w:rsid w:val="00D02619"/>
    <w:rsid w:val="00D0291D"/>
    <w:rsid w:val="00D035F9"/>
    <w:rsid w:val="00D03659"/>
    <w:rsid w:val="00D037D2"/>
    <w:rsid w:val="00D03BAC"/>
    <w:rsid w:val="00D069D8"/>
    <w:rsid w:val="00D06EA5"/>
    <w:rsid w:val="00D06EE8"/>
    <w:rsid w:val="00D11824"/>
    <w:rsid w:val="00D11EE9"/>
    <w:rsid w:val="00D1401C"/>
    <w:rsid w:val="00D20C2D"/>
    <w:rsid w:val="00D21E93"/>
    <w:rsid w:val="00D2240C"/>
    <w:rsid w:val="00D2376C"/>
    <w:rsid w:val="00D24201"/>
    <w:rsid w:val="00D25056"/>
    <w:rsid w:val="00D25C97"/>
    <w:rsid w:val="00D26A19"/>
    <w:rsid w:val="00D270C3"/>
    <w:rsid w:val="00D27625"/>
    <w:rsid w:val="00D30B6B"/>
    <w:rsid w:val="00D30BCB"/>
    <w:rsid w:val="00D34FB3"/>
    <w:rsid w:val="00D352DE"/>
    <w:rsid w:val="00D376BF"/>
    <w:rsid w:val="00D37853"/>
    <w:rsid w:val="00D409DB"/>
    <w:rsid w:val="00D42A72"/>
    <w:rsid w:val="00D4793B"/>
    <w:rsid w:val="00D479ED"/>
    <w:rsid w:val="00D47DA7"/>
    <w:rsid w:val="00D51347"/>
    <w:rsid w:val="00D517C5"/>
    <w:rsid w:val="00D51FDA"/>
    <w:rsid w:val="00D55186"/>
    <w:rsid w:val="00D55AB0"/>
    <w:rsid w:val="00D56434"/>
    <w:rsid w:val="00D60DBF"/>
    <w:rsid w:val="00D6150E"/>
    <w:rsid w:val="00D640C4"/>
    <w:rsid w:val="00D64CBB"/>
    <w:rsid w:val="00D67311"/>
    <w:rsid w:val="00D73A78"/>
    <w:rsid w:val="00D75974"/>
    <w:rsid w:val="00D76BAB"/>
    <w:rsid w:val="00D82EA8"/>
    <w:rsid w:val="00D9106C"/>
    <w:rsid w:val="00D91683"/>
    <w:rsid w:val="00D918AB"/>
    <w:rsid w:val="00D9318D"/>
    <w:rsid w:val="00D94131"/>
    <w:rsid w:val="00D95906"/>
    <w:rsid w:val="00D971C0"/>
    <w:rsid w:val="00DA0D4A"/>
    <w:rsid w:val="00DA0E34"/>
    <w:rsid w:val="00DA5FBC"/>
    <w:rsid w:val="00DA691C"/>
    <w:rsid w:val="00DA7401"/>
    <w:rsid w:val="00DB0760"/>
    <w:rsid w:val="00DB3CF2"/>
    <w:rsid w:val="00DB5867"/>
    <w:rsid w:val="00DB6C1A"/>
    <w:rsid w:val="00DB70FE"/>
    <w:rsid w:val="00DC4313"/>
    <w:rsid w:val="00DC5FD5"/>
    <w:rsid w:val="00DC64F7"/>
    <w:rsid w:val="00DD0445"/>
    <w:rsid w:val="00DD1DD9"/>
    <w:rsid w:val="00DD3080"/>
    <w:rsid w:val="00DD4F68"/>
    <w:rsid w:val="00DE0DF2"/>
    <w:rsid w:val="00DE12B5"/>
    <w:rsid w:val="00DE2BE5"/>
    <w:rsid w:val="00DE36A1"/>
    <w:rsid w:val="00DE375C"/>
    <w:rsid w:val="00DE440E"/>
    <w:rsid w:val="00DE608F"/>
    <w:rsid w:val="00DE6872"/>
    <w:rsid w:val="00DE6B9B"/>
    <w:rsid w:val="00DE7360"/>
    <w:rsid w:val="00DE7BED"/>
    <w:rsid w:val="00DF31FF"/>
    <w:rsid w:val="00DF3E1E"/>
    <w:rsid w:val="00DF47DF"/>
    <w:rsid w:val="00DF6270"/>
    <w:rsid w:val="00DF7A60"/>
    <w:rsid w:val="00E00B3E"/>
    <w:rsid w:val="00E054A9"/>
    <w:rsid w:val="00E05B95"/>
    <w:rsid w:val="00E1051A"/>
    <w:rsid w:val="00E121C6"/>
    <w:rsid w:val="00E12323"/>
    <w:rsid w:val="00E1266E"/>
    <w:rsid w:val="00E144F4"/>
    <w:rsid w:val="00E14759"/>
    <w:rsid w:val="00E154AF"/>
    <w:rsid w:val="00E166D9"/>
    <w:rsid w:val="00E168F1"/>
    <w:rsid w:val="00E1794B"/>
    <w:rsid w:val="00E20ED8"/>
    <w:rsid w:val="00E213CA"/>
    <w:rsid w:val="00E220E1"/>
    <w:rsid w:val="00E302CB"/>
    <w:rsid w:val="00E3059C"/>
    <w:rsid w:val="00E3124B"/>
    <w:rsid w:val="00E323AD"/>
    <w:rsid w:val="00E32464"/>
    <w:rsid w:val="00E340E8"/>
    <w:rsid w:val="00E34DA3"/>
    <w:rsid w:val="00E377E9"/>
    <w:rsid w:val="00E377FC"/>
    <w:rsid w:val="00E37F05"/>
    <w:rsid w:val="00E42C64"/>
    <w:rsid w:val="00E42D11"/>
    <w:rsid w:val="00E42DEE"/>
    <w:rsid w:val="00E44AE2"/>
    <w:rsid w:val="00E47209"/>
    <w:rsid w:val="00E47896"/>
    <w:rsid w:val="00E509A0"/>
    <w:rsid w:val="00E533BD"/>
    <w:rsid w:val="00E535F9"/>
    <w:rsid w:val="00E543C9"/>
    <w:rsid w:val="00E54BC6"/>
    <w:rsid w:val="00E55049"/>
    <w:rsid w:val="00E5610C"/>
    <w:rsid w:val="00E607C9"/>
    <w:rsid w:val="00E60916"/>
    <w:rsid w:val="00E61B99"/>
    <w:rsid w:val="00E64DB6"/>
    <w:rsid w:val="00E65E85"/>
    <w:rsid w:val="00E66009"/>
    <w:rsid w:val="00E66407"/>
    <w:rsid w:val="00E672BE"/>
    <w:rsid w:val="00E70071"/>
    <w:rsid w:val="00E70158"/>
    <w:rsid w:val="00E71A86"/>
    <w:rsid w:val="00E722F9"/>
    <w:rsid w:val="00E73940"/>
    <w:rsid w:val="00E7461D"/>
    <w:rsid w:val="00E7498B"/>
    <w:rsid w:val="00E74A42"/>
    <w:rsid w:val="00E74C7C"/>
    <w:rsid w:val="00E75791"/>
    <w:rsid w:val="00E76E4D"/>
    <w:rsid w:val="00E80584"/>
    <w:rsid w:val="00E8274B"/>
    <w:rsid w:val="00E82DC4"/>
    <w:rsid w:val="00E84C9F"/>
    <w:rsid w:val="00E8580D"/>
    <w:rsid w:val="00E8660D"/>
    <w:rsid w:val="00E905F1"/>
    <w:rsid w:val="00E91B35"/>
    <w:rsid w:val="00E92E89"/>
    <w:rsid w:val="00E931C4"/>
    <w:rsid w:val="00E94094"/>
    <w:rsid w:val="00E95B2C"/>
    <w:rsid w:val="00E97E52"/>
    <w:rsid w:val="00EA3D7A"/>
    <w:rsid w:val="00EA4B5C"/>
    <w:rsid w:val="00EA5D2B"/>
    <w:rsid w:val="00EA69E9"/>
    <w:rsid w:val="00EA7C22"/>
    <w:rsid w:val="00EB389B"/>
    <w:rsid w:val="00EB3A9D"/>
    <w:rsid w:val="00EB50E3"/>
    <w:rsid w:val="00EC1D1E"/>
    <w:rsid w:val="00EC487E"/>
    <w:rsid w:val="00EC5808"/>
    <w:rsid w:val="00EC67A6"/>
    <w:rsid w:val="00EC6814"/>
    <w:rsid w:val="00EC6D92"/>
    <w:rsid w:val="00EC7618"/>
    <w:rsid w:val="00EC7715"/>
    <w:rsid w:val="00ED1700"/>
    <w:rsid w:val="00ED1758"/>
    <w:rsid w:val="00ED3151"/>
    <w:rsid w:val="00ED40FC"/>
    <w:rsid w:val="00ED618C"/>
    <w:rsid w:val="00ED6B0F"/>
    <w:rsid w:val="00ED71B9"/>
    <w:rsid w:val="00EE0193"/>
    <w:rsid w:val="00EE304D"/>
    <w:rsid w:val="00EE3D09"/>
    <w:rsid w:val="00EE67F4"/>
    <w:rsid w:val="00EF08F6"/>
    <w:rsid w:val="00EF0D7E"/>
    <w:rsid w:val="00EF2A62"/>
    <w:rsid w:val="00EF350E"/>
    <w:rsid w:val="00EF4DB3"/>
    <w:rsid w:val="00EF7331"/>
    <w:rsid w:val="00EF7A00"/>
    <w:rsid w:val="00F02D90"/>
    <w:rsid w:val="00F03248"/>
    <w:rsid w:val="00F054C4"/>
    <w:rsid w:val="00F060C0"/>
    <w:rsid w:val="00F073A9"/>
    <w:rsid w:val="00F07723"/>
    <w:rsid w:val="00F13CE8"/>
    <w:rsid w:val="00F16083"/>
    <w:rsid w:val="00F1680D"/>
    <w:rsid w:val="00F16F4C"/>
    <w:rsid w:val="00F17760"/>
    <w:rsid w:val="00F24642"/>
    <w:rsid w:val="00F3063E"/>
    <w:rsid w:val="00F32ACA"/>
    <w:rsid w:val="00F3450A"/>
    <w:rsid w:val="00F34FB9"/>
    <w:rsid w:val="00F350F6"/>
    <w:rsid w:val="00F3677E"/>
    <w:rsid w:val="00F378D5"/>
    <w:rsid w:val="00F37925"/>
    <w:rsid w:val="00F37C8A"/>
    <w:rsid w:val="00F40361"/>
    <w:rsid w:val="00F43F6B"/>
    <w:rsid w:val="00F444B0"/>
    <w:rsid w:val="00F451D2"/>
    <w:rsid w:val="00F453E3"/>
    <w:rsid w:val="00F456B5"/>
    <w:rsid w:val="00F47F84"/>
    <w:rsid w:val="00F510FA"/>
    <w:rsid w:val="00F53EA5"/>
    <w:rsid w:val="00F55DD8"/>
    <w:rsid w:val="00F57091"/>
    <w:rsid w:val="00F572FD"/>
    <w:rsid w:val="00F57771"/>
    <w:rsid w:val="00F57C22"/>
    <w:rsid w:val="00F60698"/>
    <w:rsid w:val="00F60C08"/>
    <w:rsid w:val="00F630C4"/>
    <w:rsid w:val="00F6358D"/>
    <w:rsid w:val="00F646A6"/>
    <w:rsid w:val="00F65BB7"/>
    <w:rsid w:val="00F672A5"/>
    <w:rsid w:val="00F673E9"/>
    <w:rsid w:val="00F70BA6"/>
    <w:rsid w:val="00F749AC"/>
    <w:rsid w:val="00F749AE"/>
    <w:rsid w:val="00F74F9A"/>
    <w:rsid w:val="00F75F54"/>
    <w:rsid w:val="00F77ECE"/>
    <w:rsid w:val="00F80DFE"/>
    <w:rsid w:val="00F82087"/>
    <w:rsid w:val="00F85B74"/>
    <w:rsid w:val="00F85E6F"/>
    <w:rsid w:val="00F862A3"/>
    <w:rsid w:val="00F873E0"/>
    <w:rsid w:val="00F87947"/>
    <w:rsid w:val="00F879FB"/>
    <w:rsid w:val="00F9256B"/>
    <w:rsid w:val="00F9349F"/>
    <w:rsid w:val="00F957D9"/>
    <w:rsid w:val="00F9661E"/>
    <w:rsid w:val="00F970F2"/>
    <w:rsid w:val="00FA01E1"/>
    <w:rsid w:val="00FA23F7"/>
    <w:rsid w:val="00FA2D72"/>
    <w:rsid w:val="00FA41FA"/>
    <w:rsid w:val="00FA7665"/>
    <w:rsid w:val="00FA7671"/>
    <w:rsid w:val="00FB0CD3"/>
    <w:rsid w:val="00FB28E1"/>
    <w:rsid w:val="00FB2A90"/>
    <w:rsid w:val="00FB532C"/>
    <w:rsid w:val="00FB59BF"/>
    <w:rsid w:val="00FB61F3"/>
    <w:rsid w:val="00FB7CE3"/>
    <w:rsid w:val="00FC098B"/>
    <w:rsid w:val="00FC26E5"/>
    <w:rsid w:val="00FC7EAA"/>
    <w:rsid w:val="00FD056D"/>
    <w:rsid w:val="00FD172B"/>
    <w:rsid w:val="00FD1EAF"/>
    <w:rsid w:val="00FD23FF"/>
    <w:rsid w:val="00FD3A00"/>
    <w:rsid w:val="00FD3FC0"/>
    <w:rsid w:val="00FD42D2"/>
    <w:rsid w:val="00FD4A2D"/>
    <w:rsid w:val="00FD77D3"/>
    <w:rsid w:val="00FE043E"/>
    <w:rsid w:val="00FE14C5"/>
    <w:rsid w:val="00FE16D0"/>
    <w:rsid w:val="00FE2A89"/>
    <w:rsid w:val="00FE5C71"/>
    <w:rsid w:val="00FE6E67"/>
    <w:rsid w:val="00FF37EA"/>
    <w:rsid w:val="00FF3AA3"/>
    <w:rsid w:val="00FF4C57"/>
    <w:rsid w:val="013C9D24"/>
    <w:rsid w:val="05E0F751"/>
    <w:rsid w:val="14EA6DE0"/>
    <w:rsid w:val="267BA7B5"/>
    <w:rsid w:val="2702E273"/>
    <w:rsid w:val="38E85BA0"/>
    <w:rsid w:val="3C24F0A7"/>
    <w:rsid w:val="3DCB4289"/>
    <w:rsid w:val="429CBE78"/>
    <w:rsid w:val="45E00D3F"/>
    <w:rsid w:val="60CFD3A2"/>
    <w:rsid w:val="61B820EE"/>
    <w:rsid w:val="67272221"/>
    <w:rsid w:val="6811060B"/>
    <w:rsid w:val="6BEA7BE2"/>
    <w:rsid w:val="6C1F1F31"/>
    <w:rsid w:val="6D51DFFB"/>
    <w:rsid w:val="6FA88B6B"/>
    <w:rsid w:val="75A5DA0D"/>
    <w:rsid w:val="7ADE9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5C3B"/>
  <w15:chartTrackingRefBased/>
  <w15:docId w15:val="{72702932-64B5-4065-9F85-2408DB96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37A"/>
    <w:rPr>
      <w:rFonts w:ascii="Arial" w:hAnsi="Arial"/>
      <w:sz w:val="22"/>
      <w:szCs w:val="22"/>
    </w:rPr>
  </w:style>
  <w:style w:type="paragraph" w:styleId="Heading1">
    <w:name w:val="heading 1"/>
    <w:basedOn w:val="Normal"/>
    <w:next w:val="Normal"/>
    <w:link w:val="Heading1Char"/>
    <w:autoRedefine/>
    <w:uiPriority w:val="9"/>
    <w:qFormat/>
    <w:rsid w:val="00AC232B"/>
    <w:pPr>
      <w:keepNext/>
      <w:keepLines/>
      <w:numPr>
        <w:numId w:val="2"/>
      </w:numPr>
      <w:spacing w:before="360" w:line="240" w:lineRule="auto"/>
      <w:ind w:left="567" w:hanging="567"/>
      <w:outlineLvl w:val="0"/>
    </w:pPr>
    <w:rPr>
      <w:rFonts w:eastAsiaTheme="majorEastAsia" w:cstheme="majorBidi"/>
      <w:b/>
      <w:sz w:val="28"/>
      <w:szCs w:val="40"/>
    </w:rPr>
  </w:style>
  <w:style w:type="paragraph" w:styleId="Heading2">
    <w:name w:val="heading 2"/>
    <w:basedOn w:val="Normal"/>
    <w:next w:val="Normal"/>
    <w:link w:val="Heading2Char"/>
    <w:autoRedefine/>
    <w:uiPriority w:val="9"/>
    <w:unhideWhenUsed/>
    <w:qFormat/>
    <w:rsid w:val="00DE6B9B"/>
    <w:pPr>
      <w:keepNext/>
      <w:keepLines/>
      <w:numPr>
        <w:ilvl w:val="1"/>
        <w:numId w:val="27"/>
      </w:numPr>
      <w:spacing w:before="240" w:line="240" w:lineRule="auto"/>
      <w:ind w:left="567" w:hanging="567"/>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674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32B"/>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DE6B9B"/>
    <w:rPr>
      <w:rFonts w:ascii="Arial" w:eastAsiaTheme="majorEastAsia" w:hAnsi="Arial" w:cstheme="majorBidi"/>
      <w:b/>
      <w:szCs w:val="32"/>
    </w:rPr>
  </w:style>
  <w:style w:type="character" w:customStyle="1" w:styleId="Heading3Char">
    <w:name w:val="Heading 3 Char"/>
    <w:basedOn w:val="DefaultParagraphFont"/>
    <w:link w:val="Heading3"/>
    <w:uiPriority w:val="9"/>
    <w:semiHidden/>
    <w:rsid w:val="00674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7EA"/>
    <w:rPr>
      <w:rFonts w:eastAsiaTheme="majorEastAsia" w:cstheme="majorBidi"/>
      <w:color w:val="272727" w:themeColor="text1" w:themeTint="D8"/>
    </w:rPr>
  </w:style>
  <w:style w:type="paragraph" w:styleId="Title">
    <w:name w:val="Title"/>
    <w:basedOn w:val="Normal"/>
    <w:next w:val="Normal"/>
    <w:link w:val="TitleChar"/>
    <w:uiPriority w:val="10"/>
    <w:qFormat/>
    <w:rsid w:val="00674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7EA"/>
    <w:pPr>
      <w:spacing w:before="160"/>
      <w:jc w:val="center"/>
    </w:pPr>
    <w:rPr>
      <w:i/>
      <w:iCs/>
      <w:color w:val="404040" w:themeColor="text1" w:themeTint="BF"/>
    </w:rPr>
  </w:style>
  <w:style w:type="character" w:customStyle="1" w:styleId="QuoteChar">
    <w:name w:val="Quote Char"/>
    <w:basedOn w:val="DefaultParagraphFont"/>
    <w:link w:val="Quote"/>
    <w:uiPriority w:val="29"/>
    <w:rsid w:val="006747EA"/>
    <w:rPr>
      <w:i/>
      <w:iCs/>
      <w:color w:val="404040" w:themeColor="text1" w:themeTint="BF"/>
    </w:rPr>
  </w:style>
  <w:style w:type="paragraph" w:styleId="ListParagraph">
    <w:name w:val="List Paragraph"/>
    <w:basedOn w:val="Normal"/>
    <w:uiPriority w:val="34"/>
    <w:qFormat/>
    <w:rsid w:val="00E154AF"/>
    <w:pPr>
      <w:numPr>
        <w:numId w:val="10"/>
      </w:numPr>
      <w:spacing w:line="276" w:lineRule="auto"/>
      <w:ind w:left="567" w:hanging="567"/>
    </w:pPr>
  </w:style>
  <w:style w:type="character" w:styleId="IntenseEmphasis">
    <w:name w:val="Intense Emphasis"/>
    <w:basedOn w:val="DefaultParagraphFont"/>
    <w:uiPriority w:val="21"/>
    <w:qFormat/>
    <w:rsid w:val="006747EA"/>
    <w:rPr>
      <w:i/>
      <w:iCs/>
      <w:color w:val="0F4761" w:themeColor="accent1" w:themeShade="BF"/>
    </w:rPr>
  </w:style>
  <w:style w:type="paragraph" w:styleId="IntenseQuote">
    <w:name w:val="Intense Quote"/>
    <w:basedOn w:val="Normal"/>
    <w:next w:val="Normal"/>
    <w:link w:val="IntenseQuoteChar"/>
    <w:uiPriority w:val="30"/>
    <w:qFormat/>
    <w:rsid w:val="00674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7EA"/>
    <w:rPr>
      <w:i/>
      <w:iCs/>
      <w:color w:val="0F4761" w:themeColor="accent1" w:themeShade="BF"/>
    </w:rPr>
  </w:style>
  <w:style w:type="character" w:styleId="IntenseReference">
    <w:name w:val="Intense Reference"/>
    <w:basedOn w:val="DefaultParagraphFont"/>
    <w:uiPriority w:val="32"/>
    <w:qFormat/>
    <w:rsid w:val="006747EA"/>
    <w:rPr>
      <w:b/>
      <w:bCs/>
      <w:smallCaps/>
      <w:color w:val="0F4761" w:themeColor="accent1" w:themeShade="BF"/>
      <w:spacing w:val="5"/>
    </w:rPr>
  </w:style>
  <w:style w:type="paragraph" w:styleId="TOCHeading">
    <w:name w:val="TOC Heading"/>
    <w:basedOn w:val="Heading1"/>
    <w:next w:val="Normal"/>
    <w:uiPriority w:val="39"/>
    <w:unhideWhenUsed/>
    <w:qFormat/>
    <w:rsid w:val="005B530D"/>
    <w:pPr>
      <w:spacing w:before="240" w:after="0"/>
      <w:outlineLvl w:val="9"/>
    </w:pPr>
    <w:rPr>
      <w:kern w:val="0"/>
      <w:sz w:val="32"/>
      <w:szCs w:val="32"/>
      <w:lang w:eastAsia="en-GB"/>
      <w14:ligatures w14:val="none"/>
    </w:rPr>
  </w:style>
  <w:style w:type="paragraph" w:styleId="FootnoteText">
    <w:name w:val="footnote text"/>
    <w:basedOn w:val="Normal"/>
    <w:link w:val="FootnoteTextChar"/>
    <w:uiPriority w:val="99"/>
    <w:semiHidden/>
    <w:unhideWhenUsed/>
    <w:rsid w:val="00D47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79ED"/>
    <w:rPr>
      <w:rFonts w:ascii="Arial" w:hAnsi="Arial"/>
      <w:sz w:val="20"/>
      <w:szCs w:val="20"/>
    </w:rPr>
  </w:style>
  <w:style w:type="character" w:styleId="FootnoteReference">
    <w:name w:val="footnote reference"/>
    <w:basedOn w:val="DefaultParagraphFont"/>
    <w:uiPriority w:val="99"/>
    <w:semiHidden/>
    <w:unhideWhenUsed/>
    <w:rsid w:val="00D479ED"/>
    <w:rPr>
      <w:vertAlign w:val="superscript"/>
    </w:rPr>
  </w:style>
  <w:style w:type="paragraph" w:styleId="TOC1">
    <w:name w:val="toc 1"/>
    <w:basedOn w:val="Normal"/>
    <w:next w:val="Normal"/>
    <w:autoRedefine/>
    <w:uiPriority w:val="39"/>
    <w:unhideWhenUsed/>
    <w:rsid w:val="00E722F9"/>
    <w:pPr>
      <w:spacing w:after="100"/>
    </w:pPr>
  </w:style>
  <w:style w:type="character" w:styleId="Hyperlink">
    <w:name w:val="Hyperlink"/>
    <w:basedOn w:val="DefaultParagraphFont"/>
    <w:uiPriority w:val="99"/>
    <w:unhideWhenUsed/>
    <w:rsid w:val="00E722F9"/>
    <w:rPr>
      <w:color w:val="467886" w:themeColor="hyperlink"/>
      <w:u w:val="single"/>
    </w:rPr>
  </w:style>
  <w:style w:type="paragraph" w:styleId="TOC2">
    <w:name w:val="toc 2"/>
    <w:basedOn w:val="Normal"/>
    <w:next w:val="Normal"/>
    <w:autoRedefine/>
    <w:uiPriority w:val="39"/>
    <w:unhideWhenUsed/>
    <w:rsid w:val="00385685"/>
    <w:pPr>
      <w:spacing w:after="100"/>
      <w:ind w:left="220"/>
    </w:pPr>
  </w:style>
  <w:style w:type="character" w:styleId="UnresolvedMention">
    <w:name w:val="Unresolved Mention"/>
    <w:basedOn w:val="DefaultParagraphFont"/>
    <w:uiPriority w:val="99"/>
    <w:semiHidden/>
    <w:unhideWhenUsed/>
    <w:rsid w:val="00F37C8A"/>
    <w:rPr>
      <w:color w:val="605E5C"/>
      <w:shd w:val="clear" w:color="auto" w:fill="E1DFDD"/>
    </w:rPr>
  </w:style>
  <w:style w:type="character" w:styleId="CommentReference">
    <w:name w:val="annotation reference"/>
    <w:basedOn w:val="DefaultParagraphFont"/>
    <w:uiPriority w:val="99"/>
    <w:semiHidden/>
    <w:unhideWhenUsed/>
    <w:rsid w:val="0096652E"/>
    <w:rPr>
      <w:sz w:val="16"/>
      <w:szCs w:val="16"/>
    </w:rPr>
  </w:style>
  <w:style w:type="paragraph" w:styleId="CommentText">
    <w:name w:val="annotation text"/>
    <w:basedOn w:val="Normal"/>
    <w:link w:val="CommentTextChar"/>
    <w:uiPriority w:val="99"/>
    <w:unhideWhenUsed/>
    <w:rsid w:val="0096652E"/>
    <w:pPr>
      <w:spacing w:line="240" w:lineRule="auto"/>
    </w:pPr>
    <w:rPr>
      <w:sz w:val="20"/>
      <w:szCs w:val="20"/>
    </w:rPr>
  </w:style>
  <w:style w:type="character" w:customStyle="1" w:styleId="CommentTextChar">
    <w:name w:val="Comment Text Char"/>
    <w:basedOn w:val="DefaultParagraphFont"/>
    <w:link w:val="CommentText"/>
    <w:uiPriority w:val="99"/>
    <w:rsid w:val="0096652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6652E"/>
    <w:rPr>
      <w:b/>
      <w:bCs/>
    </w:rPr>
  </w:style>
  <w:style w:type="character" w:customStyle="1" w:styleId="CommentSubjectChar">
    <w:name w:val="Comment Subject Char"/>
    <w:basedOn w:val="CommentTextChar"/>
    <w:link w:val="CommentSubject"/>
    <w:uiPriority w:val="99"/>
    <w:semiHidden/>
    <w:rsid w:val="0096652E"/>
    <w:rPr>
      <w:rFonts w:ascii="Arial" w:hAnsi="Arial"/>
      <w:b/>
      <w:bCs/>
      <w:sz w:val="20"/>
      <w:szCs w:val="20"/>
    </w:rPr>
  </w:style>
  <w:style w:type="paragraph" w:styleId="NoSpacing">
    <w:name w:val="No Spacing"/>
    <w:uiPriority w:val="1"/>
    <w:qFormat/>
    <w:rsid w:val="00AC232B"/>
    <w:pPr>
      <w:spacing w:after="0" w:line="240" w:lineRule="auto"/>
    </w:pPr>
    <w:rPr>
      <w:rFonts w:ascii="Arial" w:hAnsi="Arial"/>
      <w:sz w:val="22"/>
      <w:szCs w:val="22"/>
    </w:rPr>
  </w:style>
  <w:style w:type="paragraph" w:styleId="NormalWeb">
    <w:name w:val="Normal (Web)"/>
    <w:basedOn w:val="Normal"/>
    <w:uiPriority w:val="99"/>
    <w:semiHidden/>
    <w:unhideWhenUsed/>
    <w:rsid w:val="005B036C"/>
    <w:rPr>
      <w:rFonts w:ascii="Times New Roman" w:hAnsi="Times New Roman" w:cs="Times New Roman"/>
      <w:sz w:val="24"/>
      <w:szCs w:val="24"/>
    </w:rPr>
  </w:style>
  <w:style w:type="paragraph" w:styleId="Header">
    <w:name w:val="header"/>
    <w:basedOn w:val="Normal"/>
    <w:link w:val="HeaderChar"/>
    <w:uiPriority w:val="99"/>
    <w:unhideWhenUsed/>
    <w:rsid w:val="00581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2E9"/>
    <w:rPr>
      <w:rFonts w:ascii="Arial" w:hAnsi="Arial"/>
      <w:sz w:val="22"/>
      <w:szCs w:val="22"/>
    </w:rPr>
  </w:style>
  <w:style w:type="paragraph" w:styleId="Footer">
    <w:name w:val="footer"/>
    <w:basedOn w:val="Normal"/>
    <w:link w:val="FooterChar"/>
    <w:uiPriority w:val="99"/>
    <w:unhideWhenUsed/>
    <w:rsid w:val="00581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2E9"/>
    <w:rPr>
      <w:rFonts w:ascii="Arial" w:hAnsi="Arial"/>
      <w:sz w:val="22"/>
      <w:szCs w:val="22"/>
    </w:rPr>
  </w:style>
  <w:style w:type="paragraph" w:styleId="Revision">
    <w:name w:val="Revision"/>
    <w:hidden/>
    <w:uiPriority w:val="99"/>
    <w:semiHidden/>
    <w:rsid w:val="00DC64F7"/>
    <w:pPr>
      <w:spacing w:after="0" w:line="240" w:lineRule="auto"/>
    </w:pPr>
    <w:rPr>
      <w:rFonts w:ascii="Arial" w:hAnsi="Arial"/>
      <w:sz w:val="22"/>
      <w:szCs w:val="22"/>
    </w:rPr>
  </w:style>
  <w:style w:type="character" w:styleId="Mention">
    <w:name w:val="Mention"/>
    <w:basedOn w:val="DefaultParagraphFont"/>
    <w:uiPriority w:val="99"/>
    <w:unhideWhenUsed/>
    <w:rsid w:val="004601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tichealth.co.uk/TIC-Imaging/" TargetMode="External"/><Relationship Id="rId3" Type="http://schemas.openxmlformats.org/officeDocument/2006/relationships/hyperlink" Target="https://www.england.nhs.uk/commissioning/how-commissioning-is-changing/nhs-provider-selection-regime/independent-patient-choice-and-procurement-panel/" TargetMode="External"/><Relationship Id="rId7" Type="http://schemas.openxmlformats.org/officeDocument/2006/relationships/hyperlink" Target="https://www.england.nhs.uk/long-read/the-provider-selection-regime-statutory-guidance/" TargetMode="External"/><Relationship Id="rId2" Type="http://schemas.openxmlformats.org/officeDocument/2006/relationships/hyperlink" Target="https://www.rochdale.gov.uk/" TargetMode="External"/><Relationship Id="rId1" Type="http://schemas.openxmlformats.org/officeDocument/2006/relationships/hyperlink" Target="https://www.digitalautopsy.co.uk/" TargetMode="External"/><Relationship Id="rId6" Type="http://schemas.openxmlformats.org/officeDocument/2006/relationships/hyperlink" Target="https://www.legislation.gov.uk/uksi/2023/1348/contents/made" TargetMode="External"/><Relationship Id="rId5" Type="http://schemas.openxmlformats.org/officeDocument/2006/relationships/hyperlink" Target="https://www.england.nhs.uk/commissioning/how-commissioning-is-changing/nhs-provider-selection-regime/independent-patient-choice-and-procurement-panel/" TargetMode="External"/><Relationship Id="rId10" Type="http://schemas.openxmlformats.org/officeDocument/2006/relationships/hyperlink" Target="https://www.judiciary.uk/courts-and-tribunals/coroners-courts/coroners" TargetMode="External"/><Relationship Id="rId4" Type="http://schemas.openxmlformats.org/officeDocument/2006/relationships/hyperlink" Target="https://www.england.nhs.uk/commissioning/how-commissioning-is-changing/nhs-provider-selection-regime/independent-patient-choice-and-procurement-panel/panel-members/" TargetMode="External"/><Relationship Id="rId9" Type="http://schemas.openxmlformats.org/officeDocument/2006/relationships/hyperlink" Target="https://www.judiciary.uk/courts-and-tribunals/coroners-courts/coro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N xmlns="96410c0b-a514-402d-9462-ba76dadfba38" xsi:nil="true"/>
    <Category xmlns="96410c0b-a514-402d-9462-ba76dadfba38" xsi:nil="true"/>
    <_ip_UnifiedCompliancePolicyProperties xmlns="http://schemas.microsoft.com/sharepoint/v3" xsi:nil="true"/>
    <Duplicateversions xmlns="96410c0b-a514-402d-9462-ba76dadfba38" xsi:nil="true"/>
    <lcf76f155ced4ddcb4097134ff3c332f xmlns="96410c0b-a514-402d-9462-ba76dadfba38">
      <Terms xmlns="http://schemas.microsoft.com/office/infopath/2007/PartnerControls"/>
    </lcf76f155ced4ddcb4097134ff3c332f>
    <TaxCatchAll xmlns="47bd0a4b-cdef-49e3-b4c2-dc603af9f461" xsi:nil="true"/>
    <MeetingDate xmlns="96410c0b-a514-402d-9462-ba76dadfba3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B4B43881409A4B9BCB39EE28F08756" ma:contentTypeVersion="28" ma:contentTypeDescription="Create a new document." ma:contentTypeScope="" ma:versionID="a05b2dce787b60fe7ff962efb2cfffe1">
  <xsd:schema xmlns:xsd="http://www.w3.org/2001/XMLSchema" xmlns:xs="http://www.w3.org/2001/XMLSchema" xmlns:p="http://schemas.microsoft.com/office/2006/metadata/properties" xmlns:ns1="http://schemas.microsoft.com/sharepoint/v3" xmlns:ns2="96410c0b-a514-402d-9462-ba76dadfba38" xmlns:ns3="47bd0a4b-cdef-49e3-b4c2-dc603af9f461" targetNamespace="http://schemas.microsoft.com/office/2006/metadata/properties" ma:root="true" ma:fieldsID="6186108655342bb1f944b7e0aa211fe1" ns1:_="" ns2:_="" ns3:_="">
    <xsd:import namespace="http://schemas.microsoft.com/sharepoint/v3"/>
    <xsd:import namespace="96410c0b-a514-402d-9462-ba76dadfba38"/>
    <xsd:import namespace="47bd0a4b-cdef-49e3-b4c2-dc603af9f461"/>
    <xsd:element name="properties">
      <xsd:complexType>
        <xsd:sequence>
          <xsd:element name="documentManagement">
            <xsd:complexType>
              <xsd:all>
                <xsd:element ref="ns2:Category" minOccurs="0"/>
                <xsd:element ref="ns2:MeetingDate" minOccurs="0"/>
                <xsd:element ref="ns2:DocumentN" minOccurs="0"/>
                <xsd:element ref="ns2:Duplicateversion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10c0b-a514-402d-9462-ba76dadfba38" elementFormDefault="qualified">
    <xsd:import namespace="http://schemas.microsoft.com/office/2006/documentManagement/types"/>
    <xsd:import namespace="http://schemas.microsoft.com/office/infopath/2007/PartnerControls"/>
    <xsd:element name="Category" ma:index="2" nillable="true" ma:displayName="Category " ma:format="Dropdown" ma:internalName="Category">
      <xsd:simpleType>
        <xsd:restriction base="dms:Choice">
          <xsd:enumeration value="Case Document"/>
          <xsd:enumeration value="Evidence Document"/>
          <xsd:enumeration value="E-correspondence"/>
          <xsd:enumeration value="Letter"/>
          <xsd:enumeration value="DO NOT USE"/>
        </xsd:restriction>
      </xsd:simpleType>
    </xsd:element>
    <xsd:element name="MeetingDate" ma:index="4" nillable="true" ma:displayName="Meeting Date " ma:format="DateOnly" ma:internalName="MeetingDate">
      <xsd:simpleType>
        <xsd:restriction base="dms:DateTime"/>
      </xsd:simpleType>
    </xsd:element>
    <xsd:element name="DocumentN" ma:index="5" nillable="true" ma:displayName="Document N" ma:format="Dropdown" ma:internalName="DocumentN">
      <xsd:simpleType>
        <xsd:restriction base="dms:Note">
          <xsd:maxLength value="255"/>
        </xsd:restriction>
      </xsd:simpleType>
    </xsd:element>
    <xsd:element name="Duplicateversions" ma:index="6" nillable="true" ma:displayName="Duplicate versions" ma:format="Dropdown" ma:internalName="Duplicateversion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bd0a4b-cdef-49e3-b4c2-dc603af9f4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ef46ec-daea-48c6-8848-a1cfc81ca0b7}" ma:internalName="TaxCatchAll" ma:showField="CatchAllData" ma:web="47bd0a4b-cdef-49e3-b4c2-dc603af9f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98A47-3B4F-4865-8239-54A54D5BFC6D}">
  <ds:schemaRefs>
    <ds:schemaRef ds:uri="96410c0b-a514-402d-9462-ba76dadfba38"/>
    <ds:schemaRef ds:uri="http://schemas.microsoft.com/office/2006/metadata/properties"/>
    <ds:schemaRef ds:uri="http://schemas.openxmlformats.org/package/2006/metadata/core-properties"/>
    <ds:schemaRef ds:uri="47bd0a4b-cdef-49e3-b4c2-dc603af9f461"/>
    <ds:schemaRef ds:uri="http://schemas.microsoft.com/sharepoint/v3"/>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356BE2F-1925-44F7-9217-A6F9AB7CD645}">
  <ds:schemaRefs>
    <ds:schemaRef ds:uri="http://schemas.openxmlformats.org/officeDocument/2006/bibliography"/>
  </ds:schemaRefs>
</ds:datastoreItem>
</file>

<file path=customXml/itemProps3.xml><?xml version="1.0" encoding="utf-8"?>
<ds:datastoreItem xmlns:ds="http://schemas.openxmlformats.org/officeDocument/2006/customXml" ds:itemID="{8B9E0192-F7EE-425A-AABE-FB02ED5FD697}">
  <ds:schemaRefs>
    <ds:schemaRef ds:uri="http://schemas.microsoft.com/sharepoint/v3/contenttype/forms"/>
  </ds:schemaRefs>
</ds:datastoreItem>
</file>

<file path=customXml/itemProps4.xml><?xml version="1.0" encoding="utf-8"?>
<ds:datastoreItem xmlns:ds="http://schemas.openxmlformats.org/officeDocument/2006/customXml" ds:itemID="{59C8DBAB-FAA7-48A6-9E8F-FB498DE1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10c0b-a514-402d-9462-ba76dadfba38"/>
    <ds:schemaRef ds:uri="47bd0a4b-cdef-49e3-b4c2-dc603af9f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17</TotalTime>
  <Pages>9</Pages>
  <Words>2501</Words>
  <Characters>14261</Characters>
  <Application>Microsoft Office Word</Application>
  <DocSecurity>8</DocSecurity>
  <Lines>118</Lines>
  <Paragraphs>33</Paragraphs>
  <ScaleCrop>false</ScaleCrop>
  <Company>NHS South, Central and West</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Amy (NHS SOUTH, CENTRAL AND WEST COMMISSIONING SUPPORT UNIT)</dc:creator>
  <cp:keywords/>
  <dc:description/>
  <cp:lastModifiedBy>DAVIES, Amy (NHS SOUTH, CENTRAL AND WEST COMMISSIONING SUPPORT UNIT)</cp:lastModifiedBy>
  <cp:revision>8</cp:revision>
  <cp:lastPrinted>2026-02-17T11:53:00Z</cp:lastPrinted>
  <dcterms:created xsi:type="dcterms:W3CDTF">2026-02-17T11:35:00Z</dcterms:created>
  <dcterms:modified xsi:type="dcterms:W3CDTF">2026-02-17T11:54:00Z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0x01010053B4B43881409A4B9BCB39EE28F08756</vt:lpwstr>
  </property>
  <property fmtid="{D5CDD505-2E9C-101B-9397-08002B2CF9AE}" pid="3" name="MediaServiceImageTags">
    <vt:lpwstr/>
  </property>
  <property fmtid="{D5CDD505-2E9C-101B-9397-08002B2CF9AE}" pid="4" name="docLang">
    <vt:lpwstr>en</vt:lpwstr>
  </property>
</Properties>
</file>