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47BE" w14:textId="77777777" w:rsidR="00492B51" w:rsidRPr="00395593" w:rsidRDefault="00492B51" w:rsidP="00203C99">
      <w:pPr>
        <w:spacing w:before="2600" w:after="480" w:line="259" w:lineRule="auto"/>
        <w:rPr>
          <w:rFonts w:cs="Arial"/>
          <w:b/>
          <w:bCs/>
          <w:color w:val="0070C0"/>
          <w:sz w:val="40"/>
          <w:szCs w:val="40"/>
        </w:rPr>
      </w:pPr>
      <w:r w:rsidRPr="00395593">
        <w:rPr>
          <w:rFonts w:cs="Arial"/>
          <w:b/>
          <w:bCs/>
          <w:color w:val="0070C0"/>
          <w:sz w:val="40"/>
          <w:szCs w:val="40"/>
        </w:rPr>
        <w:t>Independent Patient Choice and Procurement Panel</w:t>
      </w:r>
    </w:p>
    <w:p w14:paraId="52F835C4" w14:textId="5DAF54DF" w:rsidR="00492B51" w:rsidRPr="00131D9D" w:rsidRDefault="00492B51" w:rsidP="00DB208C">
      <w:pPr>
        <w:rPr>
          <w:rFonts w:cs="Arial"/>
          <w:b/>
          <w:bCs/>
          <w:color w:val="0070C0"/>
          <w:sz w:val="32"/>
          <w:szCs w:val="32"/>
        </w:rPr>
      </w:pPr>
      <w:r w:rsidRPr="00131D9D">
        <w:rPr>
          <w:rFonts w:cs="Arial"/>
          <w:b/>
          <w:bCs/>
          <w:color w:val="0070C0"/>
          <w:sz w:val="32"/>
          <w:szCs w:val="32"/>
        </w:rPr>
        <w:t>Review of a proposed contract award</w:t>
      </w:r>
    </w:p>
    <w:p w14:paraId="17336FB4" w14:textId="77777777" w:rsidR="00492B51" w:rsidRPr="00395593" w:rsidRDefault="00492B51" w:rsidP="00492B51">
      <w:pPr>
        <w:rPr>
          <w:rFonts w:cs="Arial"/>
        </w:rPr>
      </w:pPr>
    </w:p>
    <w:p w14:paraId="2B511B84" w14:textId="40B7CBB6" w:rsidR="00492B51" w:rsidRPr="00A12D62" w:rsidRDefault="00397679" w:rsidP="00492B51">
      <w:pPr>
        <w:rPr>
          <w:rFonts w:cs="Arial"/>
          <w:b/>
          <w:bCs/>
          <w:color w:val="0070C0"/>
          <w:sz w:val="32"/>
          <w:szCs w:val="32"/>
        </w:rPr>
      </w:pPr>
      <w:r>
        <w:rPr>
          <w:rFonts w:cs="Arial"/>
          <w:b/>
          <w:bCs/>
          <w:color w:val="0070C0"/>
          <w:sz w:val="32"/>
          <w:szCs w:val="32"/>
        </w:rPr>
        <w:t xml:space="preserve">Planned </w:t>
      </w:r>
      <w:r w:rsidR="00D75CCB">
        <w:rPr>
          <w:rFonts w:cs="Arial"/>
          <w:b/>
          <w:bCs/>
          <w:color w:val="0070C0"/>
          <w:sz w:val="32"/>
          <w:szCs w:val="32"/>
        </w:rPr>
        <w:t>O</w:t>
      </w:r>
      <w:r>
        <w:rPr>
          <w:rFonts w:cs="Arial"/>
          <w:b/>
          <w:bCs/>
          <w:color w:val="0070C0"/>
          <w:sz w:val="32"/>
          <w:szCs w:val="32"/>
        </w:rPr>
        <w:t>utpatient</w:t>
      </w:r>
      <w:r w:rsidR="00D75CCB">
        <w:rPr>
          <w:rFonts w:cs="Arial"/>
          <w:b/>
          <w:bCs/>
          <w:color w:val="0070C0"/>
          <w:sz w:val="32"/>
          <w:szCs w:val="32"/>
        </w:rPr>
        <w:t>s</w:t>
      </w:r>
      <w:r>
        <w:rPr>
          <w:rFonts w:cs="Arial"/>
          <w:b/>
          <w:bCs/>
          <w:color w:val="0070C0"/>
          <w:sz w:val="32"/>
          <w:szCs w:val="32"/>
        </w:rPr>
        <w:t xml:space="preserve"> </w:t>
      </w:r>
      <w:r w:rsidR="00D75CCB">
        <w:rPr>
          <w:rFonts w:cs="Arial"/>
          <w:b/>
          <w:bCs/>
          <w:color w:val="0070C0"/>
          <w:sz w:val="32"/>
          <w:szCs w:val="32"/>
        </w:rPr>
        <w:t>N</w:t>
      </w:r>
      <w:r>
        <w:rPr>
          <w:rFonts w:cs="Arial"/>
          <w:b/>
          <w:bCs/>
          <w:color w:val="0070C0"/>
          <w:sz w:val="32"/>
          <w:szCs w:val="32"/>
        </w:rPr>
        <w:t>on-</w:t>
      </w:r>
      <w:r w:rsidR="00D75CCB">
        <w:rPr>
          <w:rFonts w:cs="Arial"/>
          <w:b/>
          <w:bCs/>
          <w:color w:val="0070C0"/>
          <w:sz w:val="32"/>
          <w:szCs w:val="32"/>
        </w:rPr>
        <w:t>E</w:t>
      </w:r>
      <w:r>
        <w:rPr>
          <w:rFonts w:cs="Arial"/>
          <w:b/>
          <w:bCs/>
          <w:color w:val="0070C0"/>
          <w:sz w:val="32"/>
          <w:szCs w:val="32"/>
        </w:rPr>
        <w:t xml:space="preserve">mergency </w:t>
      </w:r>
      <w:r w:rsidR="00D75CCB">
        <w:rPr>
          <w:rFonts w:cs="Arial"/>
          <w:b/>
          <w:bCs/>
          <w:color w:val="0070C0"/>
          <w:sz w:val="32"/>
          <w:szCs w:val="32"/>
        </w:rPr>
        <w:t>P</w:t>
      </w:r>
      <w:r>
        <w:rPr>
          <w:rFonts w:cs="Arial"/>
          <w:b/>
          <w:bCs/>
          <w:color w:val="0070C0"/>
          <w:sz w:val="32"/>
          <w:szCs w:val="32"/>
        </w:rPr>
        <w:t xml:space="preserve">atient </w:t>
      </w:r>
      <w:r w:rsidR="00D75CCB">
        <w:rPr>
          <w:rFonts w:cs="Arial"/>
          <w:b/>
          <w:bCs/>
          <w:color w:val="0070C0"/>
          <w:sz w:val="32"/>
          <w:szCs w:val="32"/>
        </w:rPr>
        <w:t>T</w:t>
      </w:r>
      <w:r>
        <w:rPr>
          <w:rFonts w:cs="Arial"/>
          <w:b/>
          <w:bCs/>
          <w:color w:val="0070C0"/>
          <w:sz w:val="32"/>
          <w:szCs w:val="32"/>
        </w:rPr>
        <w:t xml:space="preserve">ransport </w:t>
      </w:r>
      <w:r w:rsidR="00D75CCB">
        <w:rPr>
          <w:rFonts w:cs="Arial"/>
          <w:b/>
          <w:bCs/>
          <w:color w:val="0070C0"/>
          <w:sz w:val="32"/>
          <w:szCs w:val="32"/>
        </w:rPr>
        <w:t>S</w:t>
      </w:r>
      <w:r>
        <w:rPr>
          <w:rFonts w:cs="Arial"/>
          <w:b/>
          <w:bCs/>
          <w:color w:val="0070C0"/>
          <w:sz w:val="32"/>
          <w:szCs w:val="32"/>
        </w:rPr>
        <w:t xml:space="preserve">ervices in </w:t>
      </w:r>
      <w:r w:rsidR="009E5254">
        <w:rPr>
          <w:rFonts w:cs="Arial"/>
          <w:b/>
          <w:bCs/>
          <w:color w:val="0070C0"/>
          <w:sz w:val="32"/>
          <w:szCs w:val="32"/>
        </w:rPr>
        <w:t>Bristol, North Somerset and South Gloucestershire</w:t>
      </w:r>
    </w:p>
    <w:p w14:paraId="61996999" w14:textId="77777777" w:rsidR="00492B51" w:rsidRPr="00395593" w:rsidRDefault="00492B51" w:rsidP="00492B51">
      <w:pPr>
        <w:rPr>
          <w:rFonts w:cs="Arial"/>
        </w:rPr>
      </w:pPr>
    </w:p>
    <w:p w14:paraId="5574F9D5" w14:textId="77777777" w:rsidR="00492B51" w:rsidRPr="00395593" w:rsidRDefault="00492B51" w:rsidP="00492B51">
      <w:pPr>
        <w:rPr>
          <w:rFonts w:cs="Arial"/>
        </w:rPr>
      </w:pPr>
    </w:p>
    <w:p w14:paraId="03A145C3" w14:textId="77777777" w:rsidR="00492B51" w:rsidRPr="00395593" w:rsidRDefault="00492B51" w:rsidP="00492B51">
      <w:pPr>
        <w:rPr>
          <w:rFonts w:cs="Arial"/>
        </w:rPr>
      </w:pPr>
    </w:p>
    <w:p w14:paraId="5CFDF419" w14:textId="77777777" w:rsidR="00492B51" w:rsidRPr="00395593" w:rsidRDefault="00492B51" w:rsidP="00492B51">
      <w:pPr>
        <w:rPr>
          <w:rFonts w:cs="Arial"/>
        </w:rPr>
      </w:pPr>
    </w:p>
    <w:p w14:paraId="158A4E02" w14:textId="2D66AF65" w:rsidR="00492B51" w:rsidRPr="009C62F8" w:rsidRDefault="00492B51" w:rsidP="00492B51">
      <w:pPr>
        <w:rPr>
          <w:rFonts w:cs="Arial"/>
          <w:b/>
          <w:bCs/>
          <w:color w:val="0070C0"/>
          <w:sz w:val="28"/>
          <w:szCs w:val="28"/>
        </w:rPr>
      </w:pPr>
      <w:r w:rsidRPr="009C62F8">
        <w:rPr>
          <w:rFonts w:cs="Arial"/>
          <w:b/>
          <w:bCs/>
          <w:color w:val="0070C0"/>
          <w:sz w:val="28"/>
          <w:szCs w:val="28"/>
        </w:rPr>
        <w:t>Case Reference: CR003</w:t>
      </w:r>
      <w:r w:rsidR="00397679">
        <w:rPr>
          <w:rFonts w:cs="Arial"/>
          <w:b/>
          <w:bCs/>
          <w:color w:val="0070C0"/>
          <w:sz w:val="28"/>
          <w:szCs w:val="28"/>
        </w:rPr>
        <w:t>3</w:t>
      </w:r>
      <w:r w:rsidRPr="009C62F8">
        <w:rPr>
          <w:rFonts w:cs="Arial"/>
          <w:b/>
          <w:bCs/>
          <w:color w:val="0070C0"/>
          <w:sz w:val="28"/>
          <w:szCs w:val="28"/>
        </w:rPr>
        <w:t>-25</w:t>
      </w:r>
      <w:r w:rsidR="00397679">
        <w:rPr>
          <w:rFonts w:cs="Arial"/>
          <w:b/>
          <w:bCs/>
          <w:color w:val="0070C0"/>
          <w:sz w:val="28"/>
          <w:szCs w:val="28"/>
        </w:rPr>
        <w:t xml:space="preserve"> &amp; CR0034-25</w:t>
      </w:r>
    </w:p>
    <w:p w14:paraId="32A6F5E0" w14:textId="5B3F53BF" w:rsidR="009C62F8" w:rsidRPr="00A26AC4" w:rsidRDefault="00A26AC4" w:rsidP="00492B51">
      <w:pPr>
        <w:rPr>
          <w:rFonts w:cs="Arial"/>
          <w:b/>
          <w:bCs/>
          <w:color w:val="0070C0"/>
          <w:sz w:val="28"/>
          <w:szCs w:val="28"/>
        </w:rPr>
      </w:pPr>
      <w:r w:rsidRPr="00A26AC4">
        <w:rPr>
          <w:rFonts w:cs="Arial"/>
          <w:b/>
          <w:bCs/>
          <w:color w:val="0070C0"/>
          <w:sz w:val="28"/>
          <w:szCs w:val="28"/>
        </w:rPr>
        <w:t>10 February 2026</w:t>
      </w:r>
    </w:p>
    <w:p w14:paraId="2EEB6CC3" w14:textId="77777777" w:rsidR="009C62F8" w:rsidRDefault="009C62F8">
      <w:pPr>
        <w:rPr>
          <w:rFonts w:cs="Arial"/>
          <w:b/>
          <w:bCs/>
          <w:color w:val="0070C0"/>
          <w:sz w:val="28"/>
          <w:szCs w:val="28"/>
          <w:highlight w:val="yellow"/>
        </w:rPr>
      </w:pPr>
      <w:r>
        <w:rPr>
          <w:rFonts w:cs="Arial"/>
          <w:b/>
          <w:bCs/>
          <w:color w:val="0070C0"/>
          <w:sz w:val="28"/>
          <w:szCs w:val="28"/>
          <w:highlight w:val="yellow"/>
        </w:rPr>
        <w:br w:type="page"/>
      </w:r>
    </w:p>
    <w:sdt>
      <w:sdtPr>
        <w:rPr>
          <w:rFonts w:ascii="Arial" w:eastAsiaTheme="minorEastAsia" w:hAnsi="Arial" w:cstheme="minorBidi"/>
          <w:color w:val="auto"/>
          <w:kern w:val="2"/>
          <w:sz w:val="22"/>
          <w:szCs w:val="22"/>
          <w:lang w:eastAsia="en-US"/>
          <w14:ligatures w14:val="standardContextual"/>
        </w:rPr>
        <w:id w:val="-887884442"/>
        <w:docPartObj>
          <w:docPartGallery w:val="Table of Contents"/>
          <w:docPartUnique/>
        </w:docPartObj>
      </w:sdtPr>
      <w:sdtContent>
        <w:p w14:paraId="3D601F5E" w14:textId="26D5722E" w:rsidR="00AA2682" w:rsidRPr="00810321" w:rsidRDefault="00AA2682" w:rsidP="00320065">
          <w:pPr>
            <w:pStyle w:val="TOCHeading"/>
          </w:pPr>
          <w:r w:rsidRPr="00810321">
            <w:t>Contents</w:t>
          </w:r>
        </w:p>
        <w:p w14:paraId="1C5E5B23" w14:textId="44809715" w:rsidR="00B66E79" w:rsidRDefault="00AA2682">
          <w:pPr>
            <w:pStyle w:val="TOC1"/>
            <w:rPr>
              <w:rFonts w:asciiTheme="minorHAnsi" w:eastAsiaTheme="minorEastAsia" w:hAnsiTheme="minorHAnsi"/>
              <w:noProof/>
              <w:sz w:val="24"/>
              <w:szCs w:val="24"/>
              <w:lang w:eastAsia="en-GB"/>
            </w:rPr>
          </w:pPr>
          <w:r w:rsidRPr="001333AE">
            <w:rPr>
              <w:rFonts w:cs="Arial"/>
            </w:rPr>
            <w:fldChar w:fldCharType="begin"/>
          </w:r>
          <w:r w:rsidRPr="001333AE">
            <w:rPr>
              <w:rFonts w:cs="Arial"/>
            </w:rPr>
            <w:instrText xml:space="preserve"> TOC \o "1-3" \h \z \u </w:instrText>
          </w:r>
          <w:r w:rsidRPr="001333AE">
            <w:rPr>
              <w:rFonts w:cs="Arial"/>
            </w:rPr>
            <w:fldChar w:fldCharType="separate"/>
          </w:r>
          <w:hyperlink w:anchor="_Toc220417382" w:history="1">
            <w:r w:rsidR="00B66E79" w:rsidRPr="007200C4">
              <w:rPr>
                <w:rStyle w:val="Hyperlink"/>
                <w:noProof/>
              </w:rPr>
              <w:t>1.</w:t>
            </w:r>
            <w:r w:rsidR="00B66E79">
              <w:rPr>
                <w:rFonts w:asciiTheme="minorHAnsi" w:eastAsiaTheme="minorEastAsia" w:hAnsiTheme="minorHAnsi"/>
                <w:noProof/>
                <w:sz w:val="24"/>
                <w:szCs w:val="24"/>
                <w:lang w:eastAsia="en-GB"/>
              </w:rPr>
              <w:tab/>
            </w:r>
            <w:r w:rsidR="00B66E79" w:rsidRPr="007200C4">
              <w:rPr>
                <w:rStyle w:val="Hyperlink"/>
                <w:noProof/>
              </w:rPr>
              <w:t>Executive Summary</w:t>
            </w:r>
            <w:r w:rsidR="00B66E79">
              <w:rPr>
                <w:noProof/>
                <w:webHidden/>
              </w:rPr>
              <w:tab/>
            </w:r>
            <w:r w:rsidR="00B66E79">
              <w:rPr>
                <w:noProof/>
                <w:webHidden/>
              </w:rPr>
              <w:fldChar w:fldCharType="begin"/>
            </w:r>
            <w:r w:rsidR="00B66E79">
              <w:rPr>
                <w:noProof/>
                <w:webHidden/>
              </w:rPr>
              <w:instrText xml:space="preserve"> PAGEREF _Toc220417382 \h </w:instrText>
            </w:r>
            <w:r w:rsidR="00B66E79">
              <w:rPr>
                <w:noProof/>
                <w:webHidden/>
              </w:rPr>
            </w:r>
            <w:r w:rsidR="00B66E79">
              <w:rPr>
                <w:noProof/>
                <w:webHidden/>
              </w:rPr>
              <w:fldChar w:fldCharType="separate"/>
            </w:r>
            <w:r w:rsidR="00785E99">
              <w:rPr>
                <w:noProof/>
                <w:webHidden/>
              </w:rPr>
              <w:t>3</w:t>
            </w:r>
            <w:r w:rsidR="00B66E79">
              <w:rPr>
                <w:noProof/>
                <w:webHidden/>
              </w:rPr>
              <w:fldChar w:fldCharType="end"/>
            </w:r>
          </w:hyperlink>
        </w:p>
        <w:p w14:paraId="6ADB1F9C" w14:textId="5062B768" w:rsidR="00B66E79" w:rsidRDefault="00B66E79">
          <w:pPr>
            <w:pStyle w:val="TOC1"/>
            <w:rPr>
              <w:rFonts w:asciiTheme="minorHAnsi" w:eastAsiaTheme="minorEastAsia" w:hAnsiTheme="minorHAnsi"/>
              <w:noProof/>
              <w:sz w:val="24"/>
              <w:szCs w:val="24"/>
              <w:lang w:eastAsia="en-GB"/>
            </w:rPr>
          </w:pPr>
          <w:hyperlink w:anchor="_Toc220417383" w:history="1">
            <w:r w:rsidRPr="007200C4">
              <w:rPr>
                <w:rStyle w:val="Hyperlink"/>
                <w:noProof/>
              </w:rPr>
              <w:t>2.</w:t>
            </w:r>
            <w:r>
              <w:rPr>
                <w:rFonts w:asciiTheme="minorHAnsi" w:eastAsiaTheme="minorEastAsia" w:hAnsiTheme="minorHAnsi"/>
                <w:noProof/>
                <w:sz w:val="24"/>
                <w:szCs w:val="24"/>
                <w:lang w:eastAsia="en-GB"/>
              </w:rPr>
              <w:tab/>
            </w:r>
            <w:r w:rsidRPr="007200C4">
              <w:rPr>
                <w:rStyle w:val="Hyperlink"/>
                <w:noProof/>
              </w:rPr>
              <w:t>Introduction</w:t>
            </w:r>
            <w:r>
              <w:rPr>
                <w:noProof/>
                <w:webHidden/>
              </w:rPr>
              <w:tab/>
            </w:r>
            <w:r>
              <w:rPr>
                <w:noProof/>
                <w:webHidden/>
              </w:rPr>
              <w:fldChar w:fldCharType="begin"/>
            </w:r>
            <w:r>
              <w:rPr>
                <w:noProof/>
                <w:webHidden/>
              </w:rPr>
              <w:instrText xml:space="preserve"> PAGEREF _Toc220417383 \h </w:instrText>
            </w:r>
            <w:r>
              <w:rPr>
                <w:noProof/>
                <w:webHidden/>
              </w:rPr>
            </w:r>
            <w:r>
              <w:rPr>
                <w:noProof/>
                <w:webHidden/>
              </w:rPr>
              <w:fldChar w:fldCharType="separate"/>
            </w:r>
            <w:r w:rsidR="00785E99">
              <w:rPr>
                <w:noProof/>
                <w:webHidden/>
              </w:rPr>
              <w:t>4</w:t>
            </w:r>
            <w:r>
              <w:rPr>
                <w:noProof/>
                <w:webHidden/>
              </w:rPr>
              <w:fldChar w:fldCharType="end"/>
            </w:r>
          </w:hyperlink>
        </w:p>
        <w:p w14:paraId="735891F7" w14:textId="3764124F" w:rsidR="00B66E79" w:rsidRDefault="00B66E79">
          <w:pPr>
            <w:pStyle w:val="TOC1"/>
            <w:rPr>
              <w:rFonts w:asciiTheme="minorHAnsi" w:eastAsiaTheme="minorEastAsia" w:hAnsiTheme="minorHAnsi"/>
              <w:noProof/>
              <w:sz w:val="24"/>
              <w:szCs w:val="24"/>
              <w:lang w:eastAsia="en-GB"/>
            </w:rPr>
          </w:pPr>
          <w:hyperlink w:anchor="_Toc220417384" w:history="1">
            <w:r w:rsidRPr="007200C4">
              <w:rPr>
                <w:rStyle w:val="Hyperlink"/>
                <w:noProof/>
              </w:rPr>
              <w:t>3.</w:t>
            </w:r>
            <w:r>
              <w:rPr>
                <w:rFonts w:asciiTheme="minorHAnsi" w:eastAsiaTheme="minorEastAsia" w:hAnsiTheme="minorHAnsi"/>
                <w:noProof/>
                <w:sz w:val="24"/>
                <w:szCs w:val="24"/>
                <w:lang w:eastAsia="en-GB"/>
              </w:rPr>
              <w:tab/>
            </w:r>
            <w:r w:rsidRPr="007200C4">
              <w:rPr>
                <w:rStyle w:val="Hyperlink"/>
                <w:noProof/>
              </w:rPr>
              <w:t>Role of the Panel</w:t>
            </w:r>
            <w:r>
              <w:rPr>
                <w:noProof/>
                <w:webHidden/>
              </w:rPr>
              <w:tab/>
            </w:r>
            <w:r>
              <w:rPr>
                <w:noProof/>
                <w:webHidden/>
              </w:rPr>
              <w:fldChar w:fldCharType="begin"/>
            </w:r>
            <w:r>
              <w:rPr>
                <w:noProof/>
                <w:webHidden/>
              </w:rPr>
              <w:instrText xml:space="preserve"> PAGEREF _Toc220417384 \h </w:instrText>
            </w:r>
            <w:r>
              <w:rPr>
                <w:noProof/>
                <w:webHidden/>
              </w:rPr>
            </w:r>
            <w:r>
              <w:rPr>
                <w:noProof/>
                <w:webHidden/>
              </w:rPr>
              <w:fldChar w:fldCharType="separate"/>
            </w:r>
            <w:r w:rsidR="00785E99">
              <w:rPr>
                <w:noProof/>
                <w:webHidden/>
              </w:rPr>
              <w:t>5</w:t>
            </w:r>
            <w:r>
              <w:rPr>
                <w:noProof/>
                <w:webHidden/>
              </w:rPr>
              <w:fldChar w:fldCharType="end"/>
            </w:r>
          </w:hyperlink>
        </w:p>
        <w:p w14:paraId="27E498F5" w14:textId="686C24F1" w:rsidR="00B66E79" w:rsidRDefault="00B66E79">
          <w:pPr>
            <w:pStyle w:val="TOC1"/>
            <w:rPr>
              <w:rFonts w:asciiTheme="minorHAnsi" w:eastAsiaTheme="minorEastAsia" w:hAnsiTheme="minorHAnsi"/>
              <w:noProof/>
              <w:sz w:val="24"/>
              <w:szCs w:val="24"/>
              <w:lang w:eastAsia="en-GB"/>
            </w:rPr>
          </w:pPr>
          <w:hyperlink w:anchor="_Toc220417385" w:history="1">
            <w:r w:rsidRPr="007200C4">
              <w:rPr>
                <w:rStyle w:val="Hyperlink"/>
                <w:noProof/>
              </w:rPr>
              <w:t>4.</w:t>
            </w:r>
            <w:r>
              <w:rPr>
                <w:rFonts w:asciiTheme="minorHAnsi" w:eastAsiaTheme="minorEastAsia" w:hAnsiTheme="minorHAnsi"/>
                <w:noProof/>
                <w:sz w:val="24"/>
                <w:szCs w:val="24"/>
                <w:lang w:eastAsia="en-GB"/>
              </w:rPr>
              <w:tab/>
            </w:r>
            <w:r w:rsidRPr="007200C4">
              <w:rPr>
                <w:rStyle w:val="Hyperlink"/>
                <w:noProof/>
              </w:rPr>
              <w:t>Background to this review</w:t>
            </w:r>
            <w:r>
              <w:rPr>
                <w:noProof/>
                <w:webHidden/>
              </w:rPr>
              <w:tab/>
            </w:r>
            <w:r>
              <w:rPr>
                <w:noProof/>
                <w:webHidden/>
              </w:rPr>
              <w:fldChar w:fldCharType="begin"/>
            </w:r>
            <w:r>
              <w:rPr>
                <w:noProof/>
                <w:webHidden/>
              </w:rPr>
              <w:instrText xml:space="preserve"> PAGEREF _Toc220417385 \h </w:instrText>
            </w:r>
            <w:r>
              <w:rPr>
                <w:noProof/>
                <w:webHidden/>
              </w:rPr>
            </w:r>
            <w:r>
              <w:rPr>
                <w:noProof/>
                <w:webHidden/>
              </w:rPr>
              <w:fldChar w:fldCharType="separate"/>
            </w:r>
            <w:r w:rsidR="00785E99">
              <w:rPr>
                <w:noProof/>
                <w:webHidden/>
              </w:rPr>
              <w:t>6</w:t>
            </w:r>
            <w:r>
              <w:rPr>
                <w:noProof/>
                <w:webHidden/>
              </w:rPr>
              <w:fldChar w:fldCharType="end"/>
            </w:r>
          </w:hyperlink>
        </w:p>
        <w:p w14:paraId="07CCBBF6" w14:textId="7524D248"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86" w:history="1">
            <w:r w:rsidRPr="007200C4">
              <w:rPr>
                <w:rStyle w:val="Hyperlink"/>
                <w:noProof/>
              </w:rPr>
              <w:t>4.1 Events leading up to the current provider selection process</w:t>
            </w:r>
            <w:r>
              <w:rPr>
                <w:noProof/>
                <w:webHidden/>
              </w:rPr>
              <w:tab/>
            </w:r>
            <w:r>
              <w:rPr>
                <w:noProof/>
                <w:webHidden/>
              </w:rPr>
              <w:fldChar w:fldCharType="begin"/>
            </w:r>
            <w:r>
              <w:rPr>
                <w:noProof/>
                <w:webHidden/>
              </w:rPr>
              <w:instrText xml:space="preserve"> PAGEREF _Toc220417386 \h </w:instrText>
            </w:r>
            <w:r>
              <w:rPr>
                <w:noProof/>
                <w:webHidden/>
              </w:rPr>
            </w:r>
            <w:r>
              <w:rPr>
                <w:noProof/>
                <w:webHidden/>
              </w:rPr>
              <w:fldChar w:fldCharType="separate"/>
            </w:r>
            <w:r w:rsidR="00785E99">
              <w:rPr>
                <w:noProof/>
                <w:webHidden/>
              </w:rPr>
              <w:t>6</w:t>
            </w:r>
            <w:r>
              <w:rPr>
                <w:noProof/>
                <w:webHidden/>
              </w:rPr>
              <w:fldChar w:fldCharType="end"/>
            </w:r>
          </w:hyperlink>
        </w:p>
        <w:p w14:paraId="54536E62" w14:textId="52EFD0AF"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87" w:history="1">
            <w:r w:rsidRPr="007200C4">
              <w:rPr>
                <w:rStyle w:val="Hyperlink"/>
                <w:noProof/>
              </w:rPr>
              <w:t>4.2 The current provider selection process</w:t>
            </w:r>
            <w:r>
              <w:rPr>
                <w:noProof/>
                <w:webHidden/>
              </w:rPr>
              <w:tab/>
            </w:r>
            <w:r>
              <w:rPr>
                <w:noProof/>
                <w:webHidden/>
              </w:rPr>
              <w:fldChar w:fldCharType="begin"/>
            </w:r>
            <w:r>
              <w:rPr>
                <w:noProof/>
                <w:webHidden/>
              </w:rPr>
              <w:instrText xml:space="preserve"> PAGEREF _Toc220417387 \h </w:instrText>
            </w:r>
            <w:r>
              <w:rPr>
                <w:noProof/>
                <w:webHidden/>
              </w:rPr>
            </w:r>
            <w:r>
              <w:rPr>
                <w:noProof/>
                <w:webHidden/>
              </w:rPr>
              <w:fldChar w:fldCharType="separate"/>
            </w:r>
            <w:r w:rsidR="00785E99">
              <w:rPr>
                <w:noProof/>
                <w:webHidden/>
              </w:rPr>
              <w:t>7</w:t>
            </w:r>
            <w:r>
              <w:rPr>
                <w:noProof/>
                <w:webHidden/>
              </w:rPr>
              <w:fldChar w:fldCharType="end"/>
            </w:r>
          </w:hyperlink>
        </w:p>
        <w:p w14:paraId="1FBE9147" w14:textId="20C70200" w:rsidR="00B66E79" w:rsidRDefault="00B66E79">
          <w:pPr>
            <w:pStyle w:val="TOC1"/>
            <w:rPr>
              <w:rFonts w:asciiTheme="minorHAnsi" w:eastAsiaTheme="minorEastAsia" w:hAnsiTheme="minorHAnsi"/>
              <w:noProof/>
              <w:sz w:val="24"/>
              <w:szCs w:val="24"/>
              <w:lang w:eastAsia="en-GB"/>
            </w:rPr>
          </w:pPr>
          <w:hyperlink w:anchor="_Toc220417388" w:history="1">
            <w:r w:rsidRPr="007200C4">
              <w:rPr>
                <w:rStyle w:val="Hyperlink"/>
                <w:noProof/>
              </w:rPr>
              <w:t>5.</w:t>
            </w:r>
            <w:r>
              <w:rPr>
                <w:rFonts w:asciiTheme="minorHAnsi" w:eastAsiaTheme="minorEastAsia" w:hAnsiTheme="minorHAnsi"/>
                <w:noProof/>
                <w:sz w:val="24"/>
                <w:szCs w:val="24"/>
                <w:lang w:eastAsia="en-GB"/>
              </w:rPr>
              <w:tab/>
            </w:r>
            <w:r w:rsidRPr="007200C4">
              <w:rPr>
                <w:rStyle w:val="Hyperlink"/>
                <w:noProof/>
              </w:rPr>
              <w:t>Representations by HTG and BAEMS</w:t>
            </w:r>
            <w:r>
              <w:rPr>
                <w:noProof/>
                <w:webHidden/>
              </w:rPr>
              <w:tab/>
            </w:r>
            <w:r>
              <w:rPr>
                <w:noProof/>
                <w:webHidden/>
              </w:rPr>
              <w:fldChar w:fldCharType="begin"/>
            </w:r>
            <w:r>
              <w:rPr>
                <w:noProof/>
                <w:webHidden/>
              </w:rPr>
              <w:instrText xml:space="preserve"> PAGEREF _Toc220417388 \h </w:instrText>
            </w:r>
            <w:r>
              <w:rPr>
                <w:noProof/>
                <w:webHidden/>
              </w:rPr>
            </w:r>
            <w:r>
              <w:rPr>
                <w:noProof/>
                <w:webHidden/>
              </w:rPr>
              <w:fldChar w:fldCharType="separate"/>
            </w:r>
            <w:r w:rsidR="00785E99">
              <w:rPr>
                <w:noProof/>
                <w:webHidden/>
              </w:rPr>
              <w:t>8</w:t>
            </w:r>
            <w:r>
              <w:rPr>
                <w:noProof/>
                <w:webHidden/>
              </w:rPr>
              <w:fldChar w:fldCharType="end"/>
            </w:r>
          </w:hyperlink>
        </w:p>
        <w:p w14:paraId="6CD804F1" w14:textId="7A1C7B10"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89" w:history="1">
            <w:r w:rsidRPr="007200C4">
              <w:rPr>
                <w:rStyle w:val="Hyperlink"/>
                <w:noProof/>
              </w:rPr>
              <w:t>5.1 Representations by HTG</w:t>
            </w:r>
            <w:r>
              <w:rPr>
                <w:noProof/>
                <w:webHidden/>
              </w:rPr>
              <w:tab/>
            </w:r>
            <w:r>
              <w:rPr>
                <w:noProof/>
                <w:webHidden/>
              </w:rPr>
              <w:fldChar w:fldCharType="begin"/>
            </w:r>
            <w:r>
              <w:rPr>
                <w:noProof/>
                <w:webHidden/>
              </w:rPr>
              <w:instrText xml:space="preserve"> PAGEREF _Toc220417389 \h </w:instrText>
            </w:r>
            <w:r>
              <w:rPr>
                <w:noProof/>
                <w:webHidden/>
              </w:rPr>
            </w:r>
            <w:r>
              <w:rPr>
                <w:noProof/>
                <w:webHidden/>
              </w:rPr>
              <w:fldChar w:fldCharType="separate"/>
            </w:r>
            <w:r w:rsidR="00785E99">
              <w:rPr>
                <w:noProof/>
                <w:webHidden/>
              </w:rPr>
              <w:t>8</w:t>
            </w:r>
            <w:r>
              <w:rPr>
                <w:noProof/>
                <w:webHidden/>
              </w:rPr>
              <w:fldChar w:fldCharType="end"/>
            </w:r>
          </w:hyperlink>
        </w:p>
        <w:p w14:paraId="36427B93" w14:textId="659EA4A5"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0" w:history="1">
            <w:r w:rsidRPr="007200C4">
              <w:rPr>
                <w:rStyle w:val="Hyperlink"/>
                <w:noProof/>
              </w:rPr>
              <w:t>5.2. Representations by BAEMS</w:t>
            </w:r>
            <w:r>
              <w:rPr>
                <w:noProof/>
                <w:webHidden/>
              </w:rPr>
              <w:tab/>
            </w:r>
            <w:r>
              <w:rPr>
                <w:noProof/>
                <w:webHidden/>
              </w:rPr>
              <w:fldChar w:fldCharType="begin"/>
            </w:r>
            <w:r>
              <w:rPr>
                <w:noProof/>
                <w:webHidden/>
              </w:rPr>
              <w:instrText xml:space="preserve"> PAGEREF _Toc220417390 \h </w:instrText>
            </w:r>
            <w:r>
              <w:rPr>
                <w:noProof/>
                <w:webHidden/>
              </w:rPr>
            </w:r>
            <w:r>
              <w:rPr>
                <w:noProof/>
                <w:webHidden/>
              </w:rPr>
              <w:fldChar w:fldCharType="separate"/>
            </w:r>
            <w:r w:rsidR="00785E99">
              <w:rPr>
                <w:noProof/>
                <w:webHidden/>
              </w:rPr>
              <w:t>9</w:t>
            </w:r>
            <w:r>
              <w:rPr>
                <w:noProof/>
                <w:webHidden/>
              </w:rPr>
              <w:fldChar w:fldCharType="end"/>
            </w:r>
          </w:hyperlink>
        </w:p>
        <w:p w14:paraId="2F8B9124" w14:textId="505A146C" w:rsidR="00B66E79" w:rsidRDefault="00B66E79">
          <w:pPr>
            <w:pStyle w:val="TOC1"/>
            <w:rPr>
              <w:rFonts w:asciiTheme="minorHAnsi" w:eastAsiaTheme="minorEastAsia" w:hAnsiTheme="minorHAnsi"/>
              <w:noProof/>
              <w:sz w:val="24"/>
              <w:szCs w:val="24"/>
              <w:lang w:eastAsia="en-GB"/>
            </w:rPr>
          </w:pPr>
          <w:hyperlink w:anchor="_Toc220417391" w:history="1">
            <w:r w:rsidRPr="007200C4">
              <w:rPr>
                <w:rStyle w:val="Hyperlink"/>
                <w:noProof/>
              </w:rPr>
              <w:t>6.</w:t>
            </w:r>
            <w:r>
              <w:rPr>
                <w:rFonts w:asciiTheme="minorHAnsi" w:eastAsiaTheme="minorEastAsia" w:hAnsiTheme="minorHAnsi"/>
                <w:noProof/>
                <w:sz w:val="24"/>
                <w:szCs w:val="24"/>
                <w:lang w:eastAsia="en-GB"/>
              </w:rPr>
              <w:tab/>
            </w:r>
            <w:r w:rsidRPr="007200C4">
              <w:rPr>
                <w:rStyle w:val="Hyperlink"/>
                <w:noProof/>
              </w:rPr>
              <w:t>PSR regulations relevant to this review</w:t>
            </w:r>
            <w:r>
              <w:rPr>
                <w:noProof/>
                <w:webHidden/>
              </w:rPr>
              <w:tab/>
            </w:r>
            <w:r>
              <w:rPr>
                <w:noProof/>
                <w:webHidden/>
              </w:rPr>
              <w:fldChar w:fldCharType="begin"/>
            </w:r>
            <w:r>
              <w:rPr>
                <w:noProof/>
                <w:webHidden/>
              </w:rPr>
              <w:instrText xml:space="preserve"> PAGEREF _Toc220417391 \h </w:instrText>
            </w:r>
            <w:r>
              <w:rPr>
                <w:noProof/>
                <w:webHidden/>
              </w:rPr>
            </w:r>
            <w:r>
              <w:rPr>
                <w:noProof/>
                <w:webHidden/>
              </w:rPr>
              <w:fldChar w:fldCharType="separate"/>
            </w:r>
            <w:r w:rsidR="00785E99">
              <w:rPr>
                <w:noProof/>
                <w:webHidden/>
              </w:rPr>
              <w:t>10</w:t>
            </w:r>
            <w:r>
              <w:rPr>
                <w:noProof/>
                <w:webHidden/>
              </w:rPr>
              <w:fldChar w:fldCharType="end"/>
            </w:r>
          </w:hyperlink>
        </w:p>
        <w:p w14:paraId="184BEAA5" w14:textId="48CB73ED" w:rsidR="00B66E79" w:rsidRDefault="00B66E79">
          <w:pPr>
            <w:pStyle w:val="TOC1"/>
            <w:rPr>
              <w:rFonts w:asciiTheme="minorHAnsi" w:eastAsiaTheme="minorEastAsia" w:hAnsiTheme="minorHAnsi"/>
              <w:noProof/>
              <w:sz w:val="24"/>
              <w:szCs w:val="24"/>
              <w:lang w:eastAsia="en-GB"/>
            </w:rPr>
          </w:pPr>
          <w:hyperlink w:anchor="_Toc220417392" w:history="1">
            <w:r w:rsidRPr="007200C4">
              <w:rPr>
                <w:rStyle w:val="Hyperlink"/>
                <w:noProof/>
              </w:rPr>
              <w:t>7.</w:t>
            </w:r>
            <w:r>
              <w:rPr>
                <w:rFonts w:asciiTheme="minorHAnsi" w:eastAsiaTheme="minorEastAsia" w:hAnsiTheme="minorHAnsi"/>
                <w:noProof/>
                <w:sz w:val="24"/>
                <w:szCs w:val="24"/>
                <w:lang w:eastAsia="en-GB"/>
              </w:rPr>
              <w:tab/>
            </w:r>
            <w:r w:rsidRPr="007200C4">
              <w:rPr>
                <w:rStyle w:val="Hyperlink"/>
                <w:noProof/>
              </w:rPr>
              <w:t>Integrity of the provider selection process</w:t>
            </w:r>
            <w:r>
              <w:rPr>
                <w:noProof/>
                <w:webHidden/>
              </w:rPr>
              <w:tab/>
            </w:r>
            <w:r>
              <w:rPr>
                <w:noProof/>
                <w:webHidden/>
              </w:rPr>
              <w:fldChar w:fldCharType="begin"/>
            </w:r>
            <w:r>
              <w:rPr>
                <w:noProof/>
                <w:webHidden/>
              </w:rPr>
              <w:instrText xml:space="preserve"> PAGEREF _Toc220417392 \h </w:instrText>
            </w:r>
            <w:r>
              <w:rPr>
                <w:noProof/>
                <w:webHidden/>
              </w:rPr>
            </w:r>
            <w:r>
              <w:rPr>
                <w:noProof/>
                <w:webHidden/>
              </w:rPr>
              <w:fldChar w:fldCharType="separate"/>
            </w:r>
            <w:r w:rsidR="00785E99">
              <w:rPr>
                <w:noProof/>
                <w:webHidden/>
              </w:rPr>
              <w:t>12</w:t>
            </w:r>
            <w:r>
              <w:rPr>
                <w:noProof/>
                <w:webHidden/>
              </w:rPr>
              <w:fldChar w:fldCharType="end"/>
            </w:r>
          </w:hyperlink>
        </w:p>
        <w:p w14:paraId="33758A3E" w14:textId="52267D81"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3" w:history="1">
            <w:r w:rsidRPr="007200C4">
              <w:rPr>
                <w:rStyle w:val="Hyperlink"/>
                <w:noProof/>
              </w:rPr>
              <w:t>7.1 BNSSG’s response to Bidder A’s letter</w:t>
            </w:r>
            <w:r>
              <w:rPr>
                <w:noProof/>
                <w:webHidden/>
              </w:rPr>
              <w:tab/>
            </w:r>
            <w:r>
              <w:rPr>
                <w:noProof/>
                <w:webHidden/>
              </w:rPr>
              <w:fldChar w:fldCharType="begin"/>
            </w:r>
            <w:r>
              <w:rPr>
                <w:noProof/>
                <w:webHidden/>
              </w:rPr>
              <w:instrText xml:space="preserve"> PAGEREF _Toc220417393 \h </w:instrText>
            </w:r>
            <w:r>
              <w:rPr>
                <w:noProof/>
                <w:webHidden/>
              </w:rPr>
            </w:r>
            <w:r>
              <w:rPr>
                <w:noProof/>
                <w:webHidden/>
              </w:rPr>
              <w:fldChar w:fldCharType="separate"/>
            </w:r>
            <w:r w:rsidR="00785E99">
              <w:rPr>
                <w:noProof/>
                <w:webHidden/>
              </w:rPr>
              <w:t>12</w:t>
            </w:r>
            <w:r>
              <w:rPr>
                <w:noProof/>
                <w:webHidden/>
              </w:rPr>
              <w:fldChar w:fldCharType="end"/>
            </w:r>
          </w:hyperlink>
        </w:p>
        <w:p w14:paraId="3F453F3F" w14:textId="6D32E345"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4" w:history="1">
            <w:r w:rsidRPr="007200C4">
              <w:rPr>
                <w:rStyle w:val="Hyperlink"/>
                <w:noProof/>
              </w:rPr>
              <w:t>7.2 Panel assessment of BNSSG’s response to Bidder A’s letter</w:t>
            </w:r>
            <w:r>
              <w:rPr>
                <w:noProof/>
                <w:webHidden/>
              </w:rPr>
              <w:tab/>
            </w:r>
            <w:r>
              <w:rPr>
                <w:noProof/>
                <w:webHidden/>
              </w:rPr>
              <w:fldChar w:fldCharType="begin"/>
            </w:r>
            <w:r>
              <w:rPr>
                <w:noProof/>
                <w:webHidden/>
              </w:rPr>
              <w:instrText xml:space="preserve"> PAGEREF _Toc220417394 \h </w:instrText>
            </w:r>
            <w:r>
              <w:rPr>
                <w:noProof/>
                <w:webHidden/>
              </w:rPr>
            </w:r>
            <w:r>
              <w:rPr>
                <w:noProof/>
                <w:webHidden/>
              </w:rPr>
              <w:fldChar w:fldCharType="separate"/>
            </w:r>
            <w:r w:rsidR="00785E99">
              <w:rPr>
                <w:noProof/>
                <w:webHidden/>
              </w:rPr>
              <w:t>14</w:t>
            </w:r>
            <w:r>
              <w:rPr>
                <w:noProof/>
                <w:webHidden/>
              </w:rPr>
              <w:fldChar w:fldCharType="end"/>
            </w:r>
          </w:hyperlink>
        </w:p>
        <w:p w14:paraId="5E981BBE" w14:textId="158E18D0"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5" w:history="1">
            <w:r w:rsidRPr="007200C4">
              <w:rPr>
                <w:rStyle w:val="Hyperlink"/>
                <w:noProof/>
              </w:rPr>
              <w:t>7.3 Panel advice and recommendations</w:t>
            </w:r>
            <w:r>
              <w:rPr>
                <w:noProof/>
                <w:webHidden/>
              </w:rPr>
              <w:tab/>
            </w:r>
            <w:r>
              <w:rPr>
                <w:noProof/>
                <w:webHidden/>
              </w:rPr>
              <w:fldChar w:fldCharType="begin"/>
            </w:r>
            <w:r>
              <w:rPr>
                <w:noProof/>
                <w:webHidden/>
              </w:rPr>
              <w:instrText xml:space="preserve"> PAGEREF _Toc220417395 \h </w:instrText>
            </w:r>
            <w:r>
              <w:rPr>
                <w:noProof/>
                <w:webHidden/>
              </w:rPr>
            </w:r>
            <w:r>
              <w:rPr>
                <w:noProof/>
                <w:webHidden/>
              </w:rPr>
              <w:fldChar w:fldCharType="separate"/>
            </w:r>
            <w:r w:rsidR="00785E99">
              <w:rPr>
                <w:noProof/>
                <w:webHidden/>
              </w:rPr>
              <w:t>17</w:t>
            </w:r>
            <w:r>
              <w:rPr>
                <w:noProof/>
                <w:webHidden/>
              </w:rPr>
              <w:fldChar w:fldCharType="end"/>
            </w:r>
          </w:hyperlink>
        </w:p>
        <w:p w14:paraId="0C6D2949" w14:textId="3B1EB843" w:rsidR="00B66E79" w:rsidRDefault="00B66E79">
          <w:pPr>
            <w:pStyle w:val="TOC1"/>
            <w:rPr>
              <w:rFonts w:asciiTheme="minorHAnsi" w:eastAsiaTheme="minorEastAsia" w:hAnsiTheme="minorHAnsi"/>
              <w:noProof/>
              <w:sz w:val="24"/>
              <w:szCs w:val="24"/>
              <w:lang w:eastAsia="en-GB"/>
            </w:rPr>
          </w:pPr>
          <w:hyperlink w:anchor="_Toc220417396" w:history="1">
            <w:r w:rsidRPr="007200C4">
              <w:rPr>
                <w:rStyle w:val="Hyperlink"/>
                <w:noProof/>
              </w:rPr>
              <w:t>8.</w:t>
            </w:r>
            <w:r>
              <w:rPr>
                <w:rFonts w:asciiTheme="minorHAnsi" w:eastAsiaTheme="minorEastAsia" w:hAnsiTheme="minorHAnsi"/>
                <w:noProof/>
                <w:sz w:val="24"/>
                <w:szCs w:val="24"/>
                <w:lang w:eastAsia="en-GB"/>
              </w:rPr>
              <w:tab/>
            </w:r>
            <w:r w:rsidRPr="007200C4">
              <w:rPr>
                <w:rStyle w:val="Hyperlink"/>
                <w:noProof/>
              </w:rPr>
              <w:t>Assessment of other issues</w:t>
            </w:r>
            <w:r>
              <w:rPr>
                <w:noProof/>
                <w:webHidden/>
              </w:rPr>
              <w:tab/>
            </w:r>
            <w:r>
              <w:rPr>
                <w:noProof/>
                <w:webHidden/>
              </w:rPr>
              <w:fldChar w:fldCharType="begin"/>
            </w:r>
            <w:r>
              <w:rPr>
                <w:noProof/>
                <w:webHidden/>
              </w:rPr>
              <w:instrText xml:space="preserve"> PAGEREF _Toc220417396 \h </w:instrText>
            </w:r>
            <w:r>
              <w:rPr>
                <w:noProof/>
                <w:webHidden/>
              </w:rPr>
            </w:r>
            <w:r>
              <w:rPr>
                <w:noProof/>
                <w:webHidden/>
              </w:rPr>
              <w:fldChar w:fldCharType="separate"/>
            </w:r>
            <w:r w:rsidR="00785E99">
              <w:rPr>
                <w:noProof/>
                <w:webHidden/>
              </w:rPr>
              <w:t>18</w:t>
            </w:r>
            <w:r>
              <w:rPr>
                <w:noProof/>
                <w:webHidden/>
              </w:rPr>
              <w:fldChar w:fldCharType="end"/>
            </w:r>
          </w:hyperlink>
        </w:p>
        <w:p w14:paraId="52D58027" w14:textId="35648E3A"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7" w:history="1">
            <w:r w:rsidRPr="007200C4">
              <w:rPr>
                <w:rStyle w:val="Hyperlink"/>
                <w:noProof/>
              </w:rPr>
              <w:t>8.1 Limits on character counts for responses to scored quality questions</w:t>
            </w:r>
            <w:r>
              <w:rPr>
                <w:noProof/>
                <w:webHidden/>
              </w:rPr>
              <w:tab/>
            </w:r>
            <w:r>
              <w:rPr>
                <w:noProof/>
                <w:webHidden/>
              </w:rPr>
              <w:fldChar w:fldCharType="begin"/>
            </w:r>
            <w:r>
              <w:rPr>
                <w:noProof/>
                <w:webHidden/>
              </w:rPr>
              <w:instrText xml:space="preserve"> PAGEREF _Toc220417397 \h </w:instrText>
            </w:r>
            <w:r>
              <w:rPr>
                <w:noProof/>
                <w:webHidden/>
              </w:rPr>
            </w:r>
            <w:r>
              <w:rPr>
                <w:noProof/>
                <w:webHidden/>
              </w:rPr>
              <w:fldChar w:fldCharType="separate"/>
            </w:r>
            <w:r w:rsidR="00785E99">
              <w:rPr>
                <w:noProof/>
                <w:webHidden/>
              </w:rPr>
              <w:t>18</w:t>
            </w:r>
            <w:r>
              <w:rPr>
                <w:noProof/>
                <w:webHidden/>
              </w:rPr>
              <w:fldChar w:fldCharType="end"/>
            </w:r>
          </w:hyperlink>
        </w:p>
        <w:p w14:paraId="63A23F91" w14:textId="3BDBA3C3"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8" w:history="1">
            <w:r w:rsidRPr="007200C4">
              <w:rPr>
                <w:rStyle w:val="Hyperlink"/>
                <w:noProof/>
              </w:rPr>
              <w:t>8.2 Unfair advantage for EMED as a result of disclosure in ongoing litigation</w:t>
            </w:r>
            <w:r>
              <w:rPr>
                <w:noProof/>
                <w:webHidden/>
              </w:rPr>
              <w:tab/>
            </w:r>
            <w:r>
              <w:rPr>
                <w:noProof/>
                <w:webHidden/>
              </w:rPr>
              <w:fldChar w:fldCharType="begin"/>
            </w:r>
            <w:r>
              <w:rPr>
                <w:noProof/>
                <w:webHidden/>
              </w:rPr>
              <w:instrText xml:space="preserve"> PAGEREF _Toc220417398 \h </w:instrText>
            </w:r>
            <w:r>
              <w:rPr>
                <w:noProof/>
                <w:webHidden/>
              </w:rPr>
            </w:r>
            <w:r>
              <w:rPr>
                <w:noProof/>
                <w:webHidden/>
              </w:rPr>
              <w:fldChar w:fldCharType="separate"/>
            </w:r>
            <w:r w:rsidR="00785E99">
              <w:rPr>
                <w:noProof/>
                <w:webHidden/>
              </w:rPr>
              <w:t>24</w:t>
            </w:r>
            <w:r>
              <w:rPr>
                <w:noProof/>
                <w:webHidden/>
              </w:rPr>
              <w:fldChar w:fldCharType="end"/>
            </w:r>
          </w:hyperlink>
        </w:p>
        <w:p w14:paraId="626D90FD" w14:textId="7A7B3A2D" w:rsidR="00B66E79" w:rsidRDefault="00B66E79">
          <w:pPr>
            <w:pStyle w:val="TOC2"/>
            <w:tabs>
              <w:tab w:val="right" w:leader="dot" w:pos="9016"/>
            </w:tabs>
            <w:rPr>
              <w:rFonts w:asciiTheme="minorHAnsi" w:eastAsiaTheme="minorEastAsia" w:hAnsiTheme="minorHAnsi"/>
              <w:noProof/>
              <w:sz w:val="24"/>
              <w:szCs w:val="24"/>
              <w:lang w:eastAsia="en-GB"/>
            </w:rPr>
          </w:pPr>
          <w:hyperlink w:anchor="_Toc220417399" w:history="1">
            <w:r w:rsidRPr="007200C4">
              <w:rPr>
                <w:rStyle w:val="Hyperlink"/>
                <w:noProof/>
              </w:rPr>
              <w:t>8.3 Failure to consider relevant material in evaluation process</w:t>
            </w:r>
            <w:r>
              <w:rPr>
                <w:noProof/>
                <w:webHidden/>
              </w:rPr>
              <w:tab/>
            </w:r>
            <w:r>
              <w:rPr>
                <w:noProof/>
                <w:webHidden/>
              </w:rPr>
              <w:fldChar w:fldCharType="begin"/>
            </w:r>
            <w:r>
              <w:rPr>
                <w:noProof/>
                <w:webHidden/>
              </w:rPr>
              <w:instrText xml:space="preserve"> PAGEREF _Toc220417399 \h </w:instrText>
            </w:r>
            <w:r>
              <w:rPr>
                <w:noProof/>
                <w:webHidden/>
              </w:rPr>
            </w:r>
            <w:r>
              <w:rPr>
                <w:noProof/>
                <w:webHidden/>
              </w:rPr>
              <w:fldChar w:fldCharType="separate"/>
            </w:r>
            <w:r w:rsidR="00785E99">
              <w:rPr>
                <w:noProof/>
                <w:webHidden/>
              </w:rPr>
              <w:t>26</w:t>
            </w:r>
            <w:r>
              <w:rPr>
                <w:noProof/>
                <w:webHidden/>
              </w:rPr>
              <w:fldChar w:fldCharType="end"/>
            </w:r>
          </w:hyperlink>
        </w:p>
        <w:p w14:paraId="2BA0286D" w14:textId="206028A8" w:rsidR="00AA2682" w:rsidRPr="001333AE" w:rsidRDefault="00AA2682">
          <w:r w:rsidRPr="001333AE">
            <w:rPr>
              <w:rFonts w:cs="Arial"/>
            </w:rPr>
            <w:fldChar w:fldCharType="end"/>
          </w:r>
        </w:p>
      </w:sdtContent>
    </w:sdt>
    <w:p w14:paraId="6B562A7B" w14:textId="4A335908" w:rsidR="009A328C" w:rsidRPr="00395593" w:rsidRDefault="009A328C" w:rsidP="00492B51">
      <w:pPr>
        <w:rPr>
          <w:rFonts w:cs="Arial"/>
        </w:rPr>
      </w:pPr>
      <w:r w:rsidRPr="00395593">
        <w:rPr>
          <w:rFonts w:cs="Arial"/>
        </w:rPr>
        <w:br w:type="page"/>
      </w:r>
    </w:p>
    <w:p w14:paraId="57D37A97" w14:textId="7C7887B3" w:rsidR="009A328C" w:rsidRPr="00395593" w:rsidRDefault="007109E4" w:rsidP="00320065">
      <w:pPr>
        <w:pStyle w:val="Heading1"/>
      </w:pPr>
      <w:bookmarkStart w:id="0" w:name="_Toc220417382"/>
      <w:r>
        <w:lastRenderedPageBreak/>
        <w:t>Executive Summary</w:t>
      </w:r>
      <w:bookmarkEnd w:id="0"/>
    </w:p>
    <w:p w14:paraId="4D17397B" w14:textId="4B99E7CB" w:rsidR="00CE76D9" w:rsidRDefault="00CE76D9" w:rsidP="00CE76D9">
      <w:pPr>
        <w:pStyle w:val="ListParagraph"/>
        <w:ind w:left="567" w:hanging="567"/>
      </w:pPr>
      <w:r w:rsidRPr="00DA40E4">
        <w:t>On 30 October 2025, Health Transportation Group UK Limited (HTG) asked the Panel to advise on the selection of a provider by NHS Bristol, North</w:t>
      </w:r>
      <w:r>
        <w:t xml:space="preserve"> </w:t>
      </w:r>
      <w:r w:rsidRPr="00DA40E4">
        <w:t>Somerset</w:t>
      </w:r>
      <w:r>
        <w:t xml:space="preserve"> </w:t>
      </w:r>
      <w:r w:rsidRPr="00DA40E4">
        <w:t>and South Gloucestershire Integrated Care Board (BNSSG) for Planned Outpatients Non-Emergency Patient Transport Services (</w:t>
      </w:r>
      <w:r>
        <w:t>Planned NEPTS</w:t>
      </w:r>
      <w:r w:rsidRPr="00DA40E4">
        <w:t>).</w:t>
      </w:r>
      <w:r>
        <w:t xml:space="preserve"> On 31 October, the Panel received a request </w:t>
      </w:r>
      <w:r w:rsidR="00655963">
        <w:t xml:space="preserve">regarding the same provider selection process </w:t>
      </w:r>
      <w:r>
        <w:t>from Bristol Ambulance EMS Limited (BAEMS).</w:t>
      </w:r>
    </w:p>
    <w:p w14:paraId="34DA0131" w14:textId="71AA7703" w:rsidR="006F30DA" w:rsidRDefault="006F30DA" w:rsidP="006F30DA">
      <w:pPr>
        <w:pStyle w:val="ListParagraph"/>
        <w:ind w:left="567" w:hanging="567"/>
      </w:pPr>
      <w:r>
        <w:t>NEPTS</w:t>
      </w:r>
      <w:r w:rsidRPr="00F4082D">
        <w:t xml:space="preserve"> </w:t>
      </w:r>
      <w:r>
        <w:t xml:space="preserve">involves the provision of </w:t>
      </w:r>
      <w:r w:rsidRPr="00F4082D">
        <w:t xml:space="preserve">free travel to and from outpatient appointments for people whose health conditions, mobility issues or cognitive impairments prevent them from arranging their own transport. </w:t>
      </w:r>
      <w:r>
        <w:t xml:space="preserve">BNSSG aims </w:t>
      </w:r>
      <w:r w:rsidRPr="00F4082D">
        <w:t xml:space="preserve">to ensure equitable and accessible </w:t>
      </w:r>
      <w:r>
        <w:t>NEPTS for</w:t>
      </w:r>
      <w:r w:rsidRPr="00F4082D">
        <w:t xml:space="preserve"> all eligible patients </w:t>
      </w:r>
      <w:r>
        <w:t xml:space="preserve">in Bristol, North Somerset and South Gloucestershire </w:t>
      </w:r>
      <w:r w:rsidRPr="00F4082D">
        <w:t>based on their medical need.</w:t>
      </w:r>
      <w:r>
        <w:t xml:space="preserve"> Planned NEPTS</w:t>
      </w:r>
      <w:r w:rsidR="0020170A">
        <w:t>, which</w:t>
      </w:r>
      <w:r>
        <w:t xml:space="preserve"> is one of several NEPTS-related services in BNSSG</w:t>
      </w:r>
      <w:r w:rsidR="0020170A">
        <w:t>, involves the provision of pre-booked transport for patients</w:t>
      </w:r>
      <w:r>
        <w:t>.</w:t>
      </w:r>
    </w:p>
    <w:p w14:paraId="3A503C9D" w14:textId="243C7200" w:rsidR="006F30DA" w:rsidRPr="0024660F" w:rsidRDefault="003262C6" w:rsidP="006F30DA">
      <w:pPr>
        <w:pStyle w:val="ListParagraph"/>
        <w:ind w:left="567" w:hanging="567"/>
      </w:pPr>
      <w:r>
        <w:t>T</w:t>
      </w:r>
      <w:r w:rsidR="006F30DA">
        <w:t xml:space="preserve">he current provider selection process for Planned NEPTS, which was a competitive process under the PSR regulations, </w:t>
      </w:r>
      <w:r w:rsidR="006B099B">
        <w:t>opened</w:t>
      </w:r>
      <w:r>
        <w:t xml:space="preserve"> </w:t>
      </w:r>
      <w:r w:rsidR="006F30DA">
        <w:t>on 2 May 2025</w:t>
      </w:r>
      <w:r w:rsidR="006F30DA" w:rsidRPr="0024660F">
        <w:t>. The new contract</w:t>
      </w:r>
      <w:r w:rsidR="006F30DA">
        <w:t xml:space="preserve">, which is intended to start on 1 April 2026, </w:t>
      </w:r>
      <w:r w:rsidR="006F30DA" w:rsidRPr="0024660F">
        <w:t>ha</w:t>
      </w:r>
      <w:r w:rsidR="006F30DA">
        <w:t>s</w:t>
      </w:r>
      <w:r w:rsidR="006F30DA" w:rsidRPr="0024660F">
        <w:t xml:space="preserve"> a </w:t>
      </w:r>
      <w:r w:rsidR="006F30DA">
        <w:t>five</w:t>
      </w:r>
      <w:r w:rsidR="006F30DA" w:rsidRPr="0024660F">
        <w:t xml:space="preserve"> year duration with the option of a two year extension and </w:t>
      </w:r>
      <w:r w:rsidR="006F30DA">
        <w:t>a</w:t>
      </w:r>
      <w:r w:rsidR="006F30DA" w:rsidRPr="0024660F">
        <w:t xml:space="preserve"> total value of approximately £</w:t>
      </w:r>
      <w:r w:rsidR="006F30DA">
        <w:t xml:space="preserve">38.4 </w:t>
      </w:r>
      <w:r w:rsidR="006F30DA" w:rsidRPr="0024660F">
        <w:t>million (excluding VAT).</w:t>
      </w:r>
    </w:p>
    <w:p w14:paraId="333222AF" w14:textId="3B67FDAE" w:rsidR="006F30DA" w:rsidRPr="004836BB" w:rsidRDefault="006F30DA" w:rsidP="006F30DA">
      <w:pPr>
        <w:pStyle w:val="ListParagraph"/>
        <w:ind w:left="567" w:hanging="567"/>
      </w:pPr>
      <w:r>
        <w:t>Eight providers submitted proposals</w:t>
      </w:r>
      <w:r w:rsidRPr="004836BB">
        <w:t xml:space="preserve">, including </w:t>
      </w:r>
      <w:r>
        <w:t>EMED</w:t>
      </w:r>
      <w:r w:rsidR="00914C73">
        <w:t xml:space="preserve"> Group (EMED)</w:t>
      </w:r>
      <w:r>
        <w:t xml:space="preserve">, HTG and BAEMS. EMED’s proposal was </w:t>
      </w:r>
      <w:r w:rsidRPr="004836BB">
        <w:t>ranked first</w:t>
      </w:r>
      <w:r>
        <w:t xml:space="preserve"> (scoring 56.93%)</w:t>
      </w:r>
      <w:r w:rsidRPr="004836BB">
        <w:t xml:space="preserve">, HTG </w:t>
      </w:r>
      <w:r>
        <w:t xml:space="preserve">was </w:t>
      </w:r>
      <w:r w:rsidRPr="004836BB">
        <w:t xml:space="preserve">ranked </w:t>
      </w:r>
      <w:r>
        <w:t>second (scoring 55.92%)</w:t>
      </w:r>
      <w:r w:rsidRPr="004836BB">
        <w:t xml:space="preserve"> and BAEMS </w:t>
      </w:r>
      <w:r>
        <w:t xml:space="preserve">was </w:t>
      </w:r>
      <w:r w:rsidRPr="004836BB">
        <w:t xml:space="preserve">ranked </w:t>
      </w:r>
      <w:r>
        <w:t>fourth (scoring 53.11%)</w:t>
      </w:r>
      <w:r w:rsidRPr="004836BB">
        <w:t>.</w:t>
      </w:r>
    </w:p>
    <w:p w14:paraId="256970A3" w14:textId="1B04D386" w:rsidR="006F30DA" w:rsidRDefault="006F30DA" w:rsidP="006F30DA">
      <w:pPr>
        <w:pStyle w:val="ListParagraph"/>
        <w:ind w:left="567" w:hanging="567"/>
      </w:pPr>
      <w:r w:rsidRPr="00B4304F">
        <w:t xml:space="preserve">On </w:t>
      </w:r>
      <w:r w:rsidRPr="00052D6D">
        <w:t>2</w:t>
      </w:r>
      <w:r w:rsidRPr="00B4304F">
        <w:t xml:space="preserve"> September 2025, </w:t>
      </w:r>
      <w:r>
        <w:t xml:space="preserve">after bids had been evaluated but before the successful bidder was announced, </w:t>
      </w:r>
      <w:r w:rsidR="0031614F">
        <w:t>BNSSG</w:t>
      </w:r>
      <w:r w:rsidR="0031614F" w:rsidRPr="00B4304F">
        <w:t xml:space="preserve"> </w:t>
      </w:r>
      <w:r w:rsidR="0031614F">
        <w:t xml:space="preserve">received a letter from </w:t>
      </w:r>
      <w:r>
        <w:t xml:space="preserve">one of the bidders (referred to </w:t>
      </w:r>
      <w:r w:rsidR="000D3984">
        <w:t xml:space="preserve">in this report </w:t>
      </w:r>
      <w:r>
        <w:t xml:space="preserve">as ‘Bidder A’) </w:t>
      </w:r>
      <w:r w:rsidRPr="00052D6D">
        <w:t>s</w:t>
      </w:r>
      <w:r>
        <w:t xml:space="preserve">aying </w:t>
      </w:r>
      <w:r w:rsidRPr="00052D6D">
        <w:t xml:space="preserve">that it </w:t>
      </w:r>
      <w:r>
        <w:t xml:space="preserve">had been informed by a “well-placed, senior” individual at BNSSG of the identity of the successful bidder (i.e. EMED). Bidder A also said that </w:t>
      </w:r>
      <w:r w:rsidR="00A11775">
        <w:t xml:space="preserve">this individual had told </w:t>
      </w:r>
      <w:r w:rsidR="002C0DE2">
        <w:t>it</w:t>
      </w:r>
      <w:r w:rsidR="00A11775">
        <w:t xml:space="preserve"> </w:t>
      </w:r>
      <w:r>
        <w:t xml:space="preserve">that the procurement process had been conducted </w:t>
      </w:r>
      <w:proofErr w:type="gramStart"/>
      <w:r>
        <w:t>so as to</w:t>
      </w:r>
      <w:proofErr w:type="gramEnd"/>
      <w:r>
        <w:t xml:space="preserve"> favour EMED, with a view to BNSSG securing a settlement to ongoing litigation with EMED.</w:t>
      </w:r>
      <w:r w:rsidR="00DD606D">
        <w:rPr>
          <w:rStyle w:val="FootnoteReference"/>
        </w:rPr>
        <w:footnoteReference w:id="1"/>
      </w:r>
    </w:p>
    <w:p w14:paraId="458EE04C" w14:textId="00D53158" w:rsidR="001747DF" w:rsidRDefault="006F30DA" w:rsidP="006F30DA">
      <w:pPr>
        <w:pStyle w:val="ListParagraph"/>
        <w:ind w:left="567" w:hanging="567"/>
      </w:pPr>
      <w:r>
        <w:t xml:space="preserve">At a meeting of BNSSG’s Board on 4 September 2025, two days after receiving Bidder A’s letter, </w:t>
      </w:r>
      <w:r w:rsidR="00D107F9">
        <w:t xml:space="preserve">and having discussed the content of this letter, </w:t>
      </w:r>
      <w:r>
        <w:t>BNSSG decided to proceed with awarding the Planned NEPTS contract to EMED.</w:t>
      </w:r>
      <w:r w:rsidR="001747DF">
        <w:t xml:space="preserve"> </w:t>
      </w:r>
      <w:r>
        <w:t xml:space="preserve">The </w:t>
      </w:r>
      <w:r w:rsidR="001747DF">
        <w:t>next</w:t>
      </w:r>
      <w:r>
        <w:t xml:space="preserve"> day, 5 September, BNSSG announced EMED as the successful bidder</w:t>
      </w:r>
      <w:r w:rsidR="001747DF">
        <w:t>.</w:t>
      </w:r>
    </w:p>
    <w:p w14:paraId="61C2EE4E" w14:textId="08B4F252" w:rsidR="006F30DA" w:rsidRDefault="001747DF" w:rsidP="00243418">
      <w:pPr>
        <w:pStyle w:val="ListParagraph"/>
        <w:ind w:left="567" w:hanging="567"/>
      </w:pPr>
      <w:r>
        <w:t>F</w:t>
      </w:r>
      <w:r w:rsidR="006F30DA">
        <w:t xml:space="preserve">ollowing </w:t>
      </w:r>
      <w:r>
        <w:t xml:space="preserve">BNSSG’s announcement, </w:t>
      </w:r>
      <w:r w:rsidR="009D07BF">
        <w:t xml:space="preserve">BAEMS and </w:t>
      </w:r>
      <w:r w:rsidR="006F30DA">
        <w:t xml:space="preserve">HTG both made representations to BNSSG about the provider selection process. </w:t>
      </w:r>
      <w:r w:rsidR="00766D56">
        <w:t>BNSSG, h</w:t>
      </w:r>
      <w:r w:rsidR="007534C8">
        <w:t>aving reviewed these representations</w:t>
      </w:r>
      <w:r w:rsidR="00766D56">
        <w:t>,</w:t>
      </w:r>
      <w:r w:rsidR="006F30DA">
        <w:t xml:space="preserve"> told BAEMS and HTG </w:t>
      </w:r>
      <w:r w:rsidR="007534C8">
        <w:t xml:space="preserve">on 28 October 2025 </w:t>
      </w:r>
      <w:r w:rsidR="00E827F9">
        <w:t xml:space="preserve">that it had made a </w:t>
      </w:r>
      <w:r w:rsidR="006F30DA">
        <w:t xml:space="preserve">further decision to continue with </w:t>
      </w:r>
      <w:r w:rsidR="00E827F9">
        <w:t xml:space="preserve">awarding </w:t>
      </w:r>
      <w:r w:rsidR="006F30DA">
        <w:t xml:space="preserve">the contract to EMED. </w:t>
      </w:r>
      <w:r w:rsidR="009D07BF">
        <w:t>BAEMS and HTG subsequently requested the Panel’s advice</w:t>
      </w:r>
      <w:r w:rsidR="006F30DA" w:rsidRPr="009005D2">
        <w:t>.</w:t>
      </w:r>
    </w:p>
    <w:p w14:paraId="671F079F" w14:textId="4766DBC7" w:rsidR="005126F1" w:rsidRDefault="005126F1" w:rsidP="0077123E">
      <w:pPr>
        <w:pStyle w:val="ListParagraph"/>
        <w:ind w:left="567" w:hanging="567"/>
      </w:pPr>
      <w:r>
        <w:t>The Panel has assessed whether</w:t>
      </w:r>
      <w:r w:rsidR="00717D8A">
        <w:t>,</w:t>
      </w:r>
      <w:r>
        <w:t xml:space="preserve"> </w:t>
      </w:r>
      <w:r w:rsidR="00717D8A">
        <w:t xml:space="preserve">given Bidder A’s letter, </w:t>
      </w:r>
      <w:r>
        <w:t xml:space="preserve">BNSSG breached the PSR regulations </w:t>
      </w:r>
      <w:r w:rsidR="0077123E">
        <w:t xml:space="preserve">in </w:t>
      </w:r>
      <w:r w:rsidR="00140D03">
        <w:t>deci</w:t>
      </w:r>
      <w:r w:rsidR="00475B75">
        <w:t xml:space="preserve">ding </w:t>
      </w:r>
      <w:r w:rsidR="00140D03">
        <w:t xml:space="preserve">to proceed with awarding </w:t>
      </w:r>
      <w:r w:rsidR="00475B75">
        <w:t xml:space="preserve">the Planned NEPTS contract to </w:t>
      </w:r>
      <w:r w:rsidR="00475B75">
        <w:lastRenderedPageBreak/>
        <w:t>EMED</w:t>
      </w:r>
      <w:r w:rsidR="00717D8A">
        <w:t xml:space="preserve">. The Panel </w:t>
      </w:r>
      <w:r w:rsidR="001B0FC6">
        <w:t>has also reviewed several other matters raised by BAEMS and HTG concerning the provider selection process</w:t>
      </w:r>
      <w:r>
        <w:t>.</w:t>
      </w:r>
    </w:p>
    <w:p w14:paraId="6BC3B3CB" w14:textId="77777777" w:rsidR="00E46328" w:rsidRDefault="001B0FC6" w:rsidP="00E46328">
      <w:pPr>
        <w:pStyle w:val="ListParagraph"/>
        <w:ind w:left="567" w:hanging="567"/>
        <w:contextualSpacing/>
      </w:pPr>
      <w:r>
        <w:t>Regarding BNSSG’s decision</w:t>
      </w:r>
      <w:r w:rsidR="00BF7A02">
        <w:t xml:space="preserve"> </w:t>
      </w:r>
      <w:r>
        <w:t xml:space="preserve">to continue with </w:t>
      </w:r>
      <w:r w:rsidR="00870686">
        <w:t>the a</w:t>
      </w:r>
      <w:r>
        <w:t>ward</w:t>
      </w:r>
      <w:r w:rsidR="00870686">
        <w:t xml:space="preserve"> of</w:t>
      </w:r>
      <w:r>
        <w:t xml:space="preserve"> the </w:t>
      </w:r>
      <w:r w:rsidR="004E6CFE">
        <w:t xml:space="preserve">Planned NEPTS </w:t>
      </w:r>
      <w:r>
        <w:t>contract to EMED</w:t>
      </w:r>
      <w:r w:rsidR="00750FF2">
        <w:t xml:space="preserve">, </w:t>
      </w:r>
      <w:r w:rsidR="00E46328">
        <w:t>the Panel’s view is that BNSSG did not sufficiently assure itself of the integrity of the provider selection process for the Planned NEPTS contract. The Panel is particularly concerned that BNSSG, before deciding to proceed with awarding the contract to EMED, did not ensure that:</w:t>
      </w:r>
    </w:p>
    <w:p w14:paraId="4DD55F04" w14:textId="77777777" w:rsidR="00E46328" w:rsidRDefault="00E46328" w:rsidP="00E46328">
      <w:pPr>
        <w:pStyle w:val="ListParagraph"/>
        <w:numPr>
          <w:ilvl w:val="0"/>
          <w:numId w:val="52"/>
        </w:numPr>
        <w:ind w:hanging="578"/>
        <w:contextualSpacing/>
      </w:pPr>
      <w:r>
        <w:t>all of the issues raised by Bidder A’s letter were identified and considered;</w:t>
      </w:r>
    </w:p>
    <w:p w14:paraId="0DAB086E" w14:textId="1174629A" w:rsidR="00E46328" w:rsidRDefault="00E46328" w:rsidP="00E46328">
      <w:pPr>
        <w:pStyle w:val="ListParagraph"/>
        <w:numPr>
          <w:ilvl w:val="0"/>
          <w:numId w:val="52"/>
        </w:numPr>
        <w:ind w:hanging="578"/>
        <w:contextualSpacing/>
      </w:pPr>
      <w:r>
        <w:t>a sufficiently robust review of these issues was presented</w:t>
      </w:r>
      <w:r w:rsidR="0026483A">
        <w:t xml:space="preserve"> to, and/or carried out by,</w:t>
      </w:r>
      <w:r>
        <w:t xml:space="preserve"> the BNSSG Board; and</w:t>
      </w:r>
    </w:p>
    <w:p w14:paraId="756F0D9E" w14:textId="1C63084A" w:rsidR="00E46328" w:rsidRDefault="00E46328" w:rsidP="00E46328">
      <w:pPr>
        <w:pStyle w:val="ListParagraph"/>
        <w:numPr>
          <w:ilvl w:val="0"/>
          <w:numId w:val="52"/>
        </w:numPr>
        <w:ind w:hanging="578"/>
      </w:pPr>
      <w:r>
        <w:t>the review was not potentially compromised as a result of not being independent of the staff involved in the provider selection process.</w:t>
      </w:r>
    </w:p>
    <w:p w14:paraId="73CA462D" w14:textId="0A7301FF" w:rsidR="00AE6FB8" w:rsidRDefault="00AE6FB8" w:rsidP="00821F19">
      <w:pPr>
        <w:pStyle w:val="ListParagraph"/>
        <w:ind w:left="567" w:hanging="567"/>
      </w:pPr>
      <w:r>
        <w:t>As a result</w:t>
      </w:r>
      <w:r w:rsidR="00E503DB">
        <w:t xml:space="preserve">, the Panel’s view is that </w:t>
      </w:r>
      <w:r>
        <w:t xml:space="preserve">BNSSG was unable to assure itself that the PSR regulations had not been breached, and </w:t>
      </w:r>
      <w:r w:rsidR="00821F19">
        <w:t>a</w:t>
      </w:r>
      <w:r w:rsidR="00C17FE2">
        <w:t>s a consequence</w:t>
      </w:r>
      <w:r>
        <w:t>, the Panel finds that BNSSG</w:t>
      </w:r>
      <w:r w:rsidR="00BC6AC1">
        <w:t xml:space="preserve"> </w:t>
      </w:r>
      <w:r>
        <w:t>breached its obligation under Regulation 4(1)(b) of the PSR regulations to act fairly.</w:t>
      </w:r>
    </w:p>
    <w:p w14:paraId="59150E23" w14:textId="6AAEB53F" w:rsidR="00AE6FB8" w:rsidRDefault="00AE6FB8" w:rsidP="00AE6FB8">
      <w:pPr>
        <w:pStyle w:val="ListParagraph"/>
        <w:ind w:left="567" w:hanging="567"/>
        <w:contextualSpacing/>
      </w:pPr>
      <w:r>
        <w:t>Given th</w:t>
      </w:r>
      <w:r w:rsidR="004F6631">
        <w:t xml:space="preserve">is </w:t>
      </w:r>
      <w:r>
        <w:t>finding, three options are open to the Panel. The Panel may advise that:</w:t>
      </w:r>
    </w:p>
    <w:p w14:paraId="17CC458F" w14:textId="0F5A7E96" w:rsidR="00AE6FB8" w:rsidRPr="00AA1FE3" w:rsidRDefault="00AE6FB8" w:rsidP="00AE6FB8">
      <w:pPr>
        <w:pStyle w:val="ListParagraph"/>
        <w:numPr>
          <w:ilvl w:val="0"/>
          <w:numId w:val="8"/>
        </w:numPr>
        <w:contextualSpacing/>
      </w:pPr>
      <w:r>
        <w:t>t</w:t>
      </w:r>
      <w:r w:rsidRPr="00AA1FE3">
        <w:t xml:space="preserve">he breach had no material effect on </w:t>
      </w:r>
      <w:r>
        <w:t>BNSSG</w:t>
      </w:r>
      <w:r w:rsidRPr="00AA1FE3">
        <w:t>’s selection of a provider and it should proceed with awarding the contract as originally intended;</w:t>
      </w:r>
    </w:p>
    <w:p w14:paraId="1295478F" w14:textId="77777777" w:rsidR="00AE6FB8" w:rsidRPr="00AA1FE3" w:rsidRDefault="00AE6FB8" w:rsidP="00AE6FB8">
      <w:pPr>
        <w:pStyle w:val="ListParagraph"/>
        <w:numPr>
          <w:ilvl w:val="0"/>
          <w:numId w:val="8"/>
        </w:numPr>
        <w:contextualSpacing/>
      </w:pPr>
      <w:r>
        <w:t xml:space="preserve">BNSSG </w:t>
      </w:r>
      <w:r w:rsidRPr="00AA1FE3">
        <w:t>should return to an earlier step in the provider selection process to rectify the issues identified by the Panel; or</w:t>
      </w:r>
    </w:p>
    <w:p w14:paraId="03E6ECCE" w14:textId="55E92E7C" w:rsidR="00AE6FB8" w:rsidRPr="00AA1FE3" w:rsidRDefault="00AE6FB8" w:rsidP="00AE6FB8">
      <w:pPr>
        <w:pStyle w:val="ListParagraph"/>
        <w:numPr>
          <w:ilvl w:val="0"/>
          <w:numId w:val="8"/>
        </w:numPr>
        <w:ind w:left="1077" w:hanging="357"/>
      </w:pPr>
      <w:r>
        <w:t xml:space="preserve">BNSSG </w:t>
      </w:r>
      <w:r w:rsidRPr="00AA1FE3">
        <w:t>should abandon the provider selection process.</w:t>
      </w:r>
    </w:p>
    <w:p w14:paraId="4D17429F" w14:textId="240787B0" w:rsidR="00AE6FB8" w:rsidRPr="00052B1C" w:rsidRDefault="005D2C3D" w:rsidP="00AE6FB8">
      <w:pPr>
        <w:pStyle w:val="ListParagraph"/>
        <w:ind w:left="567" w:hanging="567"/>
      </w:pPr>
      <w:r w:rsidRPr="00052B1C">
        <w:t>The Panel’s view is that</w:t>
      </w:r>
      <w:r>
        <w:t>,</w:t>
      </w:r>
      <w:r w:rsidRPr="00052B1C">
        <w:t xml:space="preserve"> </w:t>
      </w:r>
      <w:r>
        <w:t>given the possibility that the integrity of the provider selection process was compromised,</w:t>
      </w:r>
      <w:r w:rsidRPr="00052B1C">
        <w:t xml:space="preserve"> the breach</w:t>
      </w:r>
      <w:r w:rsidR="005B1DD3">
        <w:t xml:space="preserve"> of the PSR regulations that</w:t>
      </w:r>
      <w:r>
        <w:t xml:space="preserve"> it has</w:t>
      </w:r>
      <w:r w:rsidRPr="00052B1C">
        <w:t xml:space="preserve"> identified ha</w:t>
      </w:r>
      <w:r>
        <w:t>s</w:t>
      </w:r>
      <w:r w:rsidRPr="00052B1C">
        <w:t xml:space="preserve"> </w:t>
      </w:r>
      <w:r>
        <w:t xml:space="preserve">potentially </w:t>
      </w:r>
      <w:r w:rsidRPr="00052B1C">
        <w:t xml:space="preserve">had a material effect on </w:t>
      </w:r>
      <w:r>
        <w:t xml:space="preserve">the outcome of BNSSG’s provider </w:t>
      </w:r>
      <w:r w:rsidRPr="00052B1C">
        <w:t xml:space="preserve">selection </w:t>
      </w:r>
      <w:r>
        <w:t>process.</w:t>
      </w:r>
    </w:p>
    <w:p w14:paraId="1063B8EA" w14:textId="098C8C94" w:rsidR="00AE6FB8" w:rsidRDefault="00AE6FB8" w:rsidP="00AE6FB8">
      <w:pPr>
        <w:pStyle w:val="ListParagraph"/>
        <w:ind w:left="567" w:hanging="567"/>
      </w:pPr>
      <w:r w:rsidRPr="00052B1C">
        <w:t>As a result, the Panel’s advice is that BNSSG should return to an earlier step in the provider selection process to rectify the issues identified by the Panel.</w:t>
      </w:r>
      <w:r>
        <w:t xml:space="preserve"> In particular, the Panel advises BNSSG to, at a minimum, return to the point at which it received Bidder A</w:t>
      </w:r>
      <w:r w:rsidR="00030C8A">
        <w:t>’s letter</w:t>
      </w:r>
      <w:r>
        <w:t xml:space="preserve"> and take further steps to comprehensively assure itself </w:t>
      </w:r>
      <w:r w:rsidR="00952C41">
        <w:t xml:space="preserve">of </w:t>
      </w:r>
      <w:r>
        <w:t>the integrity of its provider selection process</w:t>
      </w:r>
      <w:r w:rsidR="00710348">
        <w:t xml:space="preserve">. BNSSG should </w:t>
      </w:r>
      <w:r w:rsidR="00F06B98">
        <w:t>then take such further steps as are appropriate given the outcome of this assurance process.</w:t>
      </w:r>
    </w:p>
    <w:p w14:paraId="5CB992BE" w14:textId="6267E3BF" w:rsidR="00AE6FB8" w:rsidRDefault="001361F4" w:rsidP="00AE6FB8">
      <w:pPr>
        <w:pStyle w:val="ListParagraph"/>
        <w:ind w:left="567" w:hanging="567"/>
      </w:pPr>
      <w:r>
        <w:t xml:space="preserve">Regarding the other </w:t>
      </w:r>
      <w:r w:rsidR="00AE6FB8">
        <w:t xml:space="preserve">issues raised by BAEMS and HTG </w:t>
      </w:r>
      <w:r>
        <w:t xml:space="preserve">concerning </w:t>
      </w:r>
      <w:r w:rsidR="00AE6FB8">
        <w:t>the provider selection process</w:t>
      </w:r>
      <w:r>
        <w:t>, t</w:t>
      </w:r>
      <w:r w:rsidR="00AE6FB8">
        <w:t xml:space="preserve">he Panel has evaluated these issues to the extent possible given its findings on the integrity of </w:t>
      </w:r>
      <w:r w:rsidR="00030C8A">
        <w:t>the</w:t>
      </w:r>
      <w:r w:rsidR="00AE6FB8">
        <w:t xml:space="preserve"> provider selection process. The Panel recommends that BNSSG take </w:t>
      </w:r>
      <w:r w:rsidR="00143E8D">
        <w:t>the Panel’s</w:t>
      </w:r>
      <w:r w:rsidR="00AE6FB8">
        <w:t xml:space="preserve"> assessment </w:t>
      </w:r>
      <w:r w:rsidR="00185AF2">
        <w:t xml:space="preserve">of these issues </w:t>
      </w:r>
      <w:r w:rsidR="00AE6FB8">
        <w:t xml:space="preserve">into account when deciding on the step </w:t>
      </w:r>
      <w:r w:rsidR="00143E8D">
        <w:t xml:space="preserve">to which </w:t>
      </w:r>
      <w:r w:rsidR="00AE6FB8">
        <w:t>it should return</w:t>
      </w:r>
      <w:r w:rsidR="00185AF2">
        <w:t xml:space="preserve"> </w:t>
      </w:r>
      <w:r w:rsidR="00AE6FB8">
        <w:t>in the provider selection process.</w:t>
      </w:r>
    </w:p>
    <w:p w14:paraId="732964EA" w14:textId="68B62B51" w:rsidR="007A47C8" w:rsidRDefault="007A47C8" w:rsidP="00320065">
      <w:pPr>
        <w:pStyle w:val="Heading1"/>
      </w:pPr>
      <w:bookmarkStart w:id="1" w:name="_Toc220417383"/>
      <w:r>
        <w:t>Introduction</w:t>
      </w:r>
      <w:bookmarkEnd w:id="1"/>
    </w:p>
    <w:p w14:paraId="3D9419D3" w14:textId="254546CC" w:rsidR="00003BDD" w:rsidRPr="00DA40E4" w:rsidRDefault="00003BDD" w:rsidP="008A545B">
      <w:pPr>
        <w:pStyle w:val="ListParagraph"/>
        <w:ind w:left="567" w:hanging="567"/>
      </w:pPr>
      <w:r w:rsidRPr="00DA40E4">
        <w:t xml:space="preserve">On </w:t>
      </w:r>
      <w:r w:rsidR="00944854" w:rsidRPr="00DA40E4">
        <w:t>30</w:t>
      </w:r>
      <w:r w:rsidRPr="00DA40E4">
        <w:t xml:space="preserve"> October 2025, </w:t>
      </w:r>
      <w:r w:rsidR="00944854" w:rsidRPr="00DA40E4">
        <w:t>Health Transportation Group UK Limited (HTG)</w:t>
      </w:r>
      <w:r w:rsidR="007A2659" w:rsidRPr="00DA40E4">
        <w:rPr>
          <w:rStyle w:val="FootnoteReference"/>
        </w:rPr>
        <w:footnoteReference w:id="2"/>
      </w:r>
      <w:r w:rsidRPr="00DA40E4">
        <w:t xml:space="preserve"> asked the Panel to advise on the selection of a provider by NHS </w:t>
      </w:r>
      <w:r w:rsidR="00F85C31" w:rsidRPr="00DA40E4">
        <w:t>Bristol, North</w:t>
      </w:r>
      <w:r w:rsidR="003D2F39">
        <w:t xml:space="preserve"> </w:t>
      </w:r>
      <w:r w:rsidR="00F85C31" w:rsidRPr="00DA40E4">
        <w:t>Somerset</w:t>
      </w:r>
      <w:r w:rsidR="003D2F39">
        <w:t xml:space="preserve"> </w:t>
      </w:r>
      <w:r w:rsidR="00F85C31" w:rsidRPr="00DA40E4">
        <w:t xml:space="preserve">and South </w:t>
      </w:r>
      <w:r w:rsidR="00F85C31" w:rsidRPr="00DA40E4">
        <w:lastRenderedPageBreak/>
        <w:t xml:space="preserve">Gloucestershire Integrated Care Board </w:t>
      </w:r>
      <w:r w:rsidRPr="00DA40E4">
        <w:t>(</w:t>
      </w:r>
      <w:r w:rsidR="00F85C31" w:rsidRPr="00DA40E4">
        <w:t>BNSSG</w:t>
      </w:r>
      <w:r w:rsidRPr="00DA40E4">
        <w:t>)</w:t>
      </w:r>
      <w:r w:rsidR="00BB51EC">
        <w:rPr>
          <w:rStyle w:val="FootnoteReference"/>
        </w:rPr>
        <w:footnoteReference w:id="3"/>
      </w:r>
      <w:r w:rsidRPr="00DA40E4">
        <w:t xml:space="preserve"> for </w:t>
      </w:r>
      <w:r w:rsidR="00F85C31" w:rsidRPr="00DA40E4">
        <w:t>Planned Outpatients Non-Emergency Patient Transport Services (</w:t>
      </w:r>
      <w:r w:rsidR="004F6812">
        <w:t xml:space="preserve">Planned </w:t>
      </w:r>
      <w:r w:rsidR="00370A63">
        <w:t>NEPTS</w:t>
      </w:r>
      <w:r w:rsidR="00722F29" w:rsidRPr="00DA40E4">
        <w:t>)</w:t>
      </w:r>
      <w:r w:rsidRPr="00DA40E4">
        <w:t>.</w:t>
      </w:r>
      <w:r w:rsidR="00DA40E4">
        <w:t xml:space="preserve"> On 31 October,</w:t>
      </w:r>
      <w:r w:rsidR="001A3985">
        <w:t xml:space="preserve"> the Panel received</w:t>
      </w:r>
      <w:r w:rsidR="004973CE">
        <w:t xml:space="preserve"> a request </w:t>
      </w:r>
      <w:r w:rsidR="00655963">
        <w:t xml:space="preserve">regarding the same provider selection process </w:t>
      </w:r>
      <w:r w:rsidR="004973CE">
        <w:t xml:space="preserve">from </w:t>
      </w:r>
      <w:r w:rsidR="00DA40E4">
        <w:t>Bristol Ambulance EMS</w:t>
      </w:r>
      <w:r w:rsidR="00712FEF">
        <w:t xml:space="preserve"> Limited (BAEMS)</w:t>
      </w:r>
      <w:r w:rsidR="00655963">
        <w:t>.</w:t>
      </w:r>
      <w:r w:rsidR="00451257">
        <w:rPr>
          <w:rStyle w:val="FootnoteReference"/>
        </w:rPr>
        <w:footnoteReference w:id="4"/>
      </w:r>
    </w:p>
    <w:p w14:paraId="3FDA7BCC" w14:textId="7E96252C" w:rsidR="00CC0B15" w:rsidRPr="00D5185E" w:rsidRDefault="00CC0B15" w:rsidP="00AB4174">
      <w:pPr>
        <w:pStyle w:val="ListParagraph"/>
        <w:ind w:left="567" w:hanging="567"/>
      </w:pPr>
      <w:r w:rsidRPr="00D5185E">
        <w:t xml:space="preserve">The Panel accepted </w:t>
      </w:r>
      <w:r w:rsidR="003D2F39">
        <w:t>both</w:t>
      </w:r>
      <w:r w:rsidRPr="00D5185E">
        <w:t xml:space="preserve"> request</w:t>
      </w:r>
      <w:r w:rsidR="005E2492" w:rsidRPr="00D5185E">
        <w:t>s</w:t>
      </w:r>
      <w:r w:rsidRPr="00D5185E">
        <w:t xml:space="preserve"> on </w:t>
      </w:r>
      <w:r w:rsidR="005E2492" w:rsidRPr="00D5185E">
        <w:t>4</w:t>
      </w:r>
      <w:r w:rsidRPr="00D5185E">
        <w:t xml:space="preserve"> November 2025 in accordance with its case acceptance criteria. These criteria set out both eligibility requirements and the prioritisation criteria the Panel will apply when it is approaching full caseload capacity.</w:t>
      </w:r>
      <w:r w:rsidR="00D552EE" w:rsidRPr="00D5185E">
        <w:rPr>
          <w:rStyle w:val="FootnoteReference"/>
        </w:rPr>
        <w:footnoteReference w:id="5"/>
      </w:r>
      <w:r w:rsidRPr="00D5185E">
        <w:t xml:space="preserve"> </w:t>
      </w:r>
      <w:r w:rsidR="00D5185E" w:rsidRPr="00D5185E">
        <w:t>Both HTG’s and BAEMS’</w:t>
      </w:r>
      <w:r w:rsidRPr="00D5185E">
        <w:t xml:space="preserve"> request</w:t>
      </w:r>
      <w:r w:rsidR="00D5185E" w:rsidRPr="00D5185E">
        <w:t>s</w:t>
      </w:r>
      <w:r w:rsidRPr="00D5185E">
        <w:t xml:space="preserve"> met the eligibility requirements</w:t>
      </w:r>
      <w:r w:rsidR="00376830">
        <w:t>.</w:t>
      </w:r>
      <w:r w:rsidRPr="00D5185E">
        <w:t xml:space="preserve"> </w:t>
      </w:r>
      <w:r w:rsidR="00376830">
        <w:t>A</w:t>
      </w:r>
      <w:r w:rsidRPr="00D5185E">
        <w:t>s the Panel was approaching full capacity the request</w:t>
      </w:r>
      <w:r w:rsidR="00CC5137">
        <w:t>s</w:t>
      </w:r>
      <w:r w:rsidRPr="00D5185E">
        <w:t xml:space="preserve"> w</w:t>
      </w:r>
      <w:r w:rsidR="00CC5137">
        <w:t>ere</w:t>
      </w:r>
      <w:r w:rsidRPr="00D5185E">
        <w:t xml:space="preserve"> </w:t>
      </w:r>
      <w:r w:rsidR="00376830">
        <w:t xml:space="preserve">also </w:t>
      </w:r>
      <w:r w:rsidRPr="00D5185E">
        <w:t>considered against the prioritisation criteria</w:t>
      </w:r>
      <w:r w:rsidR="009F0C01">
        <w:t>,</w:t>
      </w:r>
      <w:r w:rsidR="006C7A7F">
        <w:t xml:space="preserve"> and</w:t>
      </w:r>
      <w:r w:rsidRPr="00D5185E">
        <w:t xml:space="preserve"> </w:t>
      </w:r>
      <w:r w:rsidR="009F0C01">
        <w:t xml:space="preserve">both were </w:t>
      </w:r>
      <w:r w:rsidRPr="00D5185E">
        <w:t>accepted for review.</w:t>
      </w:r>
    </w:p>
    <w:p w14:paraId="70F9733F" w14:textId="7CAD108C" w:rsidR="000D1372" w:rsidRPr="00284083" w:rsidRDefault="000D1372" w:rsidP="00AB4174">
      <w:pPr>
        <w:pStyle w:val="ListParagraph"/>
        <w:ind w:left="567" w:hanging="567"/>
        <w:contextualSpacing/>
      </w:pPr>
      <w:r w:rsidRPr="00284083">
        <w:t xml:space="preserve">The Panel’s Chair appointed three members to a Case Panel for this </w:t>
      </w:r>
      <w:r w:rsidR="00F66AC3" w:rsidRPr="00284083">
        <w:t>review, namely</w:t>
      </w:r>
      <w:r w:rsidRPr="00284083">
        <w:t>:</w:t>
      </w:r>
    </w:p>
    <w:p w14:paraId="420940C1" w14:textId="43305C9E" w:rsidR="007A47C8" w:rsidRPr="00284083" w:rsidRDefault="000D1372" w:rsidP="006F5EFB">
      <w:pPr>
        <w:pStyle w:val="ListParagraph"/>
        <w:numPr>
          <w:ilvl w:val="0"/>
          <w:numId w:val="5"/>
        </w:numPr>
        <w:ind w:left="1077" w:hanging="357"/>
        <w:contextualSpacing/>
      </w:pPr>
      <w:r w:rsidRPr="00284083">
        <w:t>Andrew Taylor, Panel Chair;</w:t>
      </w:r>
    </w:p>
    <w:p w14:paraId="7ABC8EAD" w14:textId="3C16E772" w:rsidR="000D1372" w:rsidRPr="00284083" w:rsidRDefault="00284083" w:rsidP="006F5EFB">
      <w:pPr>
        <w:pStyle w:val="ListParagraph"/>
        <w:numPr>
          <w:ilvl w:val="0"/>
          <w:numId w:val="5"/>
        </w:numPr>
        <w:ind w:left="1077" w:hanging="357"/>
        <w:contextualSpacing/>
      </w:pPr>
      <w:r w:rsidRPr="00284083">
        <w:t>Sally Collier</w:t>
      </w:r>
      <w:r w:rsidR="000D1372" w:rsidRPr="00284083">
        <w:t>, Case Panel Member; and</w:t>
      </w:r>
    </w:p>
    <w:p w14:paraId="3C46B451" w14:textId="55B9D0F6" w:rsidR="000D1372" w:rsidRPr="00284083" w:rsidRDefault="00284083" w:rsidP="006F5EFB">
      <w:pPr>
        <w:pStyle w:val="ListParagraph"/>
        <w:numPr>
          <w:ilvl w:val="0"/>
          <w:numId w:val="5"/>
        </w:numPr>
        <w:ind w:left="1077" w:hanging="357"/>
      </w:pPr>
      <w:r w:rsidRPr="00284083">
        <w:t>Albert Sanchez-Graells</w:t>
      </w:r>
      <w:r w:rsidR="00967F7B" w:rsidRPr="00284083">
        <w:t>, Case Panel Member.</w:t>
      </w:r>
      <w:r w:rsidR="009640E5" w:rsidRPr="00284083">
        <w:rPr>
          <w:rStyle w:val="FootnoteReference"/>
        </w:rPr>
        <w:footnoteReference w:id="6"/>
      </w:r>
    </w:p>
    <w:p w14:paraId="77021CEF" w14:textId="2B516F89" w:rsidR="00967F7B" w:rsidRPr="00284083" w:rsidRDefault="00967F7B" w:rsidP="00AB4174">
      <w:pPr>
        <w:pStyle w:val="ListParagraph"/>
        <w:ind w:left="567" w:hanging="567"/>
      </w:pPr>
      <w:r w:rsidRPr="00284083">
        <w:t xml:space="preserve">The Case </w:t>
      </w:r>
      <w:r w:rsidR="00C20E8A" w:rsidRPr="00284083">
        <w:t>Panel’s review has been carried out in accordance with the Panel’s Standard Operating Procedures (“procedures”).</w:t>
      </w:r>
      <w:r w:rsidR="00250A56" w:rsidRPr="00284083">
        <w:rPr>
          <w:rStyle w:val="FootnoteReference"/>
        </w:rPr>
        <w:footnoteReference w:id="7"/>
      </w:r>
    </w:p>
    <w:p w14:paraId="02EA6CD6" w14:textId="70B5DAD8" w:rsidR="00D552EE" w:rsidRPr="00284083" w:rsidRDefault="0050651B" w:rsidP="00AB4174">
      <w:pPr>
        <w:pStyle w:val="ListParagraph"/>
        <w:ind w:left="567" w:hanging="567"/>
        <w:contextualSpacing/>
      </w:pPr>
      <w:r w:rsidRPr="00284083">
        <w:t xml:space="preserve">This report provides the Panel’s assessment and advice to </w:t>
      </w:r>
      <w:r w:rsidR="00284083">
        <w:t xml:space="preserve">BNSSG </w:t>
      </w:r>
      <w:r w:rsidRPr="00284083">
        <w:t>and is set out as follows:</w:t>
      </w:r>
    </w:p>
    <w:p w14:paraId="4D62B834" w14:textId="77777777" w:rsidR="00022A45" w:rsidRPr="00284083" w:rsidRDefault="00022A45" w:rsidP="006F5EFB">
      <w:pPr>
        <w:pStyle w:val="ListParagraph"/>
        <w:numPr>
          <w:ilvl w:val="0"/>
          <w:numId w:val="6"/>
        </w:numPr>
        <w:ind w:left="1077" w:hanging="357"/>
        <w:contextualSpacing/>
      </w:pPr>
      <w:r w:rsidRPr="00284083">
        <w:t>Section 3 briefly describes the role of the Panel;</w:t>
      </w:r>
    </w:p>
    <w:p w14:paraId="5F41839F" w14:textId="733AA5DF" w:rsidR="00022A45" w:rsidRPr="00284083" w:rsidRDefault="00022A45" w:rsidP="006F5EFB">
      <w:pPr>
        <w:pStyle w:val="ListParagraph"/>
        <w:numPr>
          <w:ilvl w:val="0"/>
          <w:numId w:val="6"/>
        </w:numPr>
        <w:ind w:left="1077" w:hanging="357"/>
        <w:contextualSpacing/>
      </w:pPr>
      <w:r w:rsidRPr="00284083">
        <w:t>Section 4 sets out the background to the Panel’s review, including the events leading up to, and including, the</w:t>
      </w:r>
      <w:r w:rsidR="005E08B4">
        <w:t xml:space="preserve"> provider selection process</w:t>
      </w:r>
      <w:r w:rsidRPr="00284083">
        <w:t>;</w:t>
      </w:r>
    </w:p>
    <w:p w14:paraId="6F6357B4" w14:textId="22AFC3AE" w:rsidR="00022A45" w:rsidRPr="00284083" w:rsidRDefault="00022A45" w:rsidP="006F5EFB">
      <w:pPr>
        <w:pStyle w:val="ListParagraph"/>
        <w:numPr>
          <w:ilvl w:val="0"/>
          <w:numId w:val="6"/>
        </w:numPr>
        <w:ind w:left="1077" w:hanging="357"/>
        <w:contextualSpacing/>
      </w:pPr>
      <w:r w:rsidRPr="00284083">
        <w:t xml:space="preserve">Section 5 sets out the concerns raised by </w:t>
      </w:r>
      <w:r w:rsidR="005E08B4">
        <w:t>HTG and BAEMS</w:t>
      </w:r>
      <w:r w:rsidRPr="00284083">
        <w:t>;</w:t>
      </w:r>
    </w:p>
    <w:p w14:paraId="512898A3" w14:textId="46D4F310" w:rsidR="00022A45" w:rsidRPr="00284083" w:rsidRDefault="00022A45" w:rsidP="006F5EFB">
      <w:pPr>
        <w:pStyle w:val="ListParagraph"/>
        <w:numPr>
          <w:ilvl w:val="0"/>
          <w:numId w:val="6"/>
        </w:numPr>
        <w:ind w:left="1077" w:hanging="357"/>
        <w:contextualSpacing/>
      </w:pPr>
      <w:r w:rsidRPr="00284083">
        <w:t xml:space="preserve">Section 6 </w:t>
      </w:r>
      <w:r w:rsidR="00124169">
        <w:t>summarises</w:t>
      </w:r>
      <w:r w:rsidRPr="00284083">
        <w:t xml:space="preserve"> the provisions of the PSR regulations relevant to this review;</w:t>
      </w:r>
    </w:p>
    <w:p w14:paraId="3B55CA6A" w14:textId="13C7C8EE" w:rsidR="00C4576A" w:rsidRDefault="00C4576A" w:rsidP="006F5EFB">
      <w:pPr>
        <w:pStyle w:val="ListParagraph"/>
        <w:numPr>
          <w:ilvl w:val="0"/>
          <w:numId w:val="6"/>
        </w:numPr>
        <w:ind w:left="1077" w:hanging="357"/>
        <w:contextualSpacing/>
      </w:pPr>
      <w:r>
        <w:t xml:space="preserve">Section 7 sets out the Panel’s assessment of </w:t>
      </w:r>
      <w:r w:rsidR="005D7C29">
        <w:t xml:space="preserve">BNSSG’s </w:t>
      </w:r>
      <w:r w:rsidR="000D0418">
        <w:t xml:space="preserve">response to </w:t>
      </w:r>
      <w:r w:rsidR="007777DB">
        <w:t xml:space="preserve">Bidder A’s </w:t>
      </w:r>
      <w:r w:rsidR="00A471D0">
        <w:t>letter</w:t>
      </w:r>
      <w:r>
        <w:t>;</w:t>
      </w:r>
      <w:r w:rsidR="0082225F">
        <w:t xml:space="preserve"> and</w:t>
      </w:r>
    </w:p>
    <w:p w14:paraId="37517ADF" w14:textId="4ED1BBAE" w:rsidR="0050651B" w:rsidRPr="00284083" w:rsidRDefault="00022A45" w:rsidP="001517F1">
      <w:pPr>
        <w:pStyle w:val="ListParagraph"/>
        <w:numPr>
          <w:ilvl w:val="0"/>
          <w:numId w:val="6"/>
        </w:numPr>
        <w:ind w:left="1077" w:hanging="357"/>
      </w:pPr>
      <w:r w:rsidRPr="00284083">
        <w:t xml:space="preserve">Section </w:t>
      </w:r>
      <w:r w:rsidR="00C4576A">
        <w:t>8</w:t>
      </w:r>
      <w:r w:rsidRPr="00284083">
        <w:t xml:space="preserve"> sets out the</w:t>
      </w:r>
      <w:r w:rsidR="00124169">
        <w:t xml:space="preserve"> Panel’s assessment of </w:t>
      </w:r>
      <w:r w:rsidR="00DA16A7">
        <w:t>o</w:t>
      </w:r>
      <w:r w:rsidR="00124169">
        <w:t>the</w:t>
      </w:r>
      <w:r w:rsidR="00DA16A7">
        <w:t>r</w:t>
      </w:r>
      <w:r w:rsidR="00124169">
        <w:t xml:space="preserve"> </w:t>
      </w:r>
      <w:r w:rsidRPr="00284083">
        <w:t xml:space="preserve">issues </w:t>
      </w:r>
      <w:r w:rsidR="0082225F">
        <w:t>concerning the provider selection process.</w:t>
      </w:r>
      <w:r w:rsidR="006D226F" w:rsidRPr="00284083">
        <w:rPr>
          <w:rStyle w:val="FootnoteReference"/>
        </w:rPr>
        <w:footnoteReference w:id="8"/>
      </w:r>
    </w:p>
    <w:p w14:paraId="1677787D" w14:textId="34813820" w:rsidR="00F6120E" w:rsidRPr="00284083" w:rsidRDefault="00F6120E" w:rsidP="00AB4174">
      <w:pPr>
        <w:pStyle w:val="ListParagraph"/>
        <w:ind w:left="567" w:hanging="567"/>
      </w:pPr>
      <w:r w:rsidRPr="00284083">
        <w:t xml:space="preserve">The Panel thanks </w:t>
      </w:r>
      <w:r w:rsidR="00BE2330">
        <w:t>BNSSG, HTG and BAEMS</w:t>
      </w:r>
      <w:r w:rsidRPr="00284083">
        <w:t xml:space="preserve"> for their assistance and cooperation during this review.</w:t>
      </w:r>
    </w:p>
    <w:p w14:paraId="089261E1" w14:textId="5A5C4D4D" w:rsidR="00F6120E" w:rsidRPr="009E5254" w:rsidRDefault="00F6120E" w:rsidP="00320065">
      <w:pPr>
        <w:pStyle w:val="Heading1"/>
      </w:pPr>
      <w:bookmarkStart w:id="2" w:name="_Toc220417384"/>
      <w:r w:rsidRPr="009E5254">
        <w:t>Role of the Panel</w:t>
      </w:r>
      <w:bookmarkEnd w:id="2"/>
    </w:p>
    <w:p w14:paraId="39FA4F30" w14:textId="1AB088E5" w:rsidR="00F6120E" w:rsidRPr="00451257" w:rsidRDefault="00524AF3" w:rsidP="00AB4174">
      <w:pPr>
        <w:pStyle w:val="ListParagraph"/>
        <w:ind w:left="567" w:hanging="567"/>
      </w:pPr>
      <w:r w:rsidRPr="00451257">
        <w:t xml:space="preserve">The </w:t>
      </w:r>
      <w:r w:rsidR="00117BFB" w:rsidRPr="00451257">
        <w:t xml:space="preserve">Provider Selection Regime </w:t>
      </w:r>
      <w:r w:rsidR="00117BFB">
        <w:t>(</w:t>
      </w:r>
      <w:r w:rsidRPr="00451257">
        <w:t>PSR</w:t>
      </w:r>
      <w:r w:rsidR="00117BFB">
        <w:t>)</w:t>
      </w:r>
      <w:r w:rsidRPr="00451257">
        <w:t xml:space="preserve"> </w:t>
      </w:r>
      <w:r w:rsidR="00FD7EEB" w:rsidRPr="00451257">
        <w:t xml:space="preserve">for NHS and local authority commissioning of health care services </w:t>
      </w:r>
      <w:r w:rsidR="00B06A93" w:rsidRPr="00451257">
        <w:t>came into force on 1 January 2024</w:t>
      </w:r>
      <w:r w:rsidR="00B06A93">
        <w:t xml:space="preserve"> with the adoption of the PSR </w:t>
      </w:r>
      <w:r w:rsidRPr="00451257">
        <w:lastRenderedPageBreak/>
        <w:t>regulations</w:t>
      </w:r>
      <w:r w:rsidR="00B06A93">
        <w:t>.</w:t>
      </w:r>
      <w:r w:rsidR="006C643B">
        <w:rPr>
          <w:rStyle w:val="FootnoteReference"/>
        </w:rPr>
        <w:footnoteReference w:id="9"/>
      </w:r>
      <w:r w:rsidR="00B06A93">
        <w:t xml:space="preserve"> </w:t>
      </w:r>
      <w:r w:rsidR="008F5847">
        <w:t>The PSR provides r</w:t>
      </w:r>
      <w:r w:rsidR="004E02B5" w:rsidRPr="00451257">
        <w:t xml:space="preserve">elevant authorities (i.e. commissioners) </w:t>
      </w:r>
      <w:r w:rsidR="008F5847">
        <w:t>with</w:t>
      </w:r>
      <w:r w:rsidR="00F62ACD">
        <w:t xml:space="preserve"> </w:t>
      </w:r>
      <w:r w:rsidR="004E02B5" w:rsidRPr="00451257">
        <w:t>greater flexibility in the</w:t>
      </w:r>
      <w:r w:rsidR="008F5847">
        <w:t>ir</w:t>
      </w:r>
      <w:r w:rsidR="004E02B5" w:rsidRPr="00451257">
        <w:t xml:space="preserve"> selection of health care services</w:t>
      </w:r>
      <w:r w:rsidR="008F5847">
        <w:t xml:space="preserve"> providers</w:t>
      </w:r>
      <w:r w:rsidR="004E02B5" w:rsidRPr="00451257">
        <w:t>.</w:t>
      </w:r>
      <w:r w:rsidR="004E02B5" w:rsidRPr="00451257">
        <w:rPr>
          <w:rStyle w:val="FootnoteReference"/>
        </w:rPr>
        <w:footnoteReference w:id="10"/>
      </w:r>
    </w:p>
    <w:p w14:paraId="6C953FF0" w14:textId="77777777" w:rsidR="00253AE0" w:rsidRPr="00451257" w:rsidRDefault="00253AE0" w:rsidP="00AB4174">
      <w:pPr>
        <w:pStyle w:val="ListParagraph"/>
        <w:ind w:left="567" w:hanging="567"/>
      </w:pPr>
      <w:r w:rsidRPr="00451257">
        <w:t>The Panel’s role is to act as an independent review body where a provider has concerns about a commissioner’s provider selection decision. Panel reviews only take place following a commissioner’s review of its original decision.</w:t>
      </w:r>
    </w:p>
    <w:p w14:paraId="34C2C1BD" w14:textId="54661E47" w:rsidR="00253AE0" w:rsidRPr="00451257" w:rsidRDefault="00253AE0" w:rsidP="00AB4174">
      <w:pPr>
        <w:pStyle w:val="ListParagraph"/>
        <w:ind w:left="567" w:hanging="567"/>
      </w:pPr>
      <w:r w:rsidRPr="00451257">
        <w:t>For each review, the Panel’s assessment and advice is supplied to the commissioner and the potential provider that has requested the Panel’s review. It is also published on the Panel’s webpages. The commissioner is then responsible for reviewing its decision in light of the Panel’s advice.</w:t>
      </w:r>
    </w:p>
    <w:p w14:paraId="52B1E930" w14:textId="655D2775" w:rsidR="00BB7C58" w:rsidRPr="009E5254" w:rsidRDefault="00253AE0" w:rsidP="00320065">
      <w:pPr>
        <w:pStyle w:val="Heading1"/>
      </w:pPr>
      <w:bookmarkStart w:id="3" w:name="_Toc220417385"/>
      <w:r w:rsidRPr="009E5254">
        <w:t>Background to this review</w:t>
      </w:r>
      <w:bookmarkEnd w:id="3"/>
    </w:p>
    <w:p w14:paraId="47D2BFAB" w14:textId="1720E4F9" w:rsidR="007462C2" w:rsidRDefault="009F1B51" w:rsidP="00AB4174">
      <w:pPr>
        <w:pStyle w:val="ListParagraph"/>
        <w:ind w:left="567" w:hanging="567"/>
      </w:pPr>
      <w:r>
        <w:t>NEPTS</w:t>
      </w:r>
      <w:r w:rsidRPr="00F4082D">
        <w:t xml:space="preserve"> </w:t>
      </w:r>
      <w:r w:rsidR="003A4A65">
        <w:t xml:space="preserve">involves the provision of </w:t>
      </w:r>
      <w:r w:rsidR="007462C2" w:rsidRPr="00F4082D">
        <w:t xml:space="preserve">free travel to and from outpatient appointments for people whose health conditions, mobility issues or cognitive impairments prevent them from arranging their own transport. </w:t>
      </w:r>
      <w:r w:rsidR="00664EB4">
        <w:t>BNSSG</w:t>
      </w:r>
      <w:r w:rsidR="007462C2">
        <w:t xml:space="preserve"> aims </w:t>
      </w:r>
      <w:r w:rsidR="007462C2" w:rsidRPr="00F4082D">
        <w:t xml:space="preserve">to ensure equitable and accessible </w:t>
      </w:r>
      <w:r w:rsidR="00336703">
        <w:t>NEPTS for</w:t>
      </w:r>
      <w:r w:rsidR="007462C2" w:rsidRPr="00F4082D">
        <w:t xml:space="preserve"> all eligible patients </w:t>
      </w:r>
      <w:r w:rsidR="007462C2">
        <w:t xml:space="preserve">in Bristol, North Somerset and South Gloucestershire </w:t>
      </w:r>
      <w:r w:rsidR="007462C2" w:rsidRPr="00F4082D">
        <w:t>based on their medical need.</w:t>
      </w:r>
      <w:r w:rsidR="007462C2" w:rsidRPr="00F4082D">
        <w:rPr>
          <w:rStyle w:val="FootnoteReference"/>
        </w:rPr>
        <w:footnoteReference w:id="11"/>
      </w:r>
      <w:r w:rsidR="009C4F71">
        <w:t xml:space="preserve"> Planned NEPTS</w:t>
      </w:r>
      <w:r w:rsidR="0020170A">
        <w:t>, which</w:t>
      </w:r>
      <w:r w:rsidR="009C4F71">
        <w:t xml:space="preserve"> is </w:t>
      </w:r>
      <w:r w:rsidR="00556BD2">
        <w:t xml:space="preserve">one of several NEPTS-related services </w:t>
      </w:r>
      <w:r w:rsidR="00980C24">
        <w:t>in BNSSG</w:t>
      </w:r>
      <w:r w:rsidR="0020170A">
        <w:t>,</w:t>
      </w:r>
      <w:r w:rsidR="00556BD2">
        <w:t xml:space="preserve"> i</w:t>
      </w:r>
      <w:r w:rsidR="0048505B">
        <w:t xml:space="preserve">nvolves the provision of </w:t>
      </w:r>
      <w:r w:rsidR="00980C24">
        <w:t xml:space="preserve">pre-booked </w:t>
      </w:r>
      <w:r w:rsidR="00341AE1">
        <w:t xml:space="preserve">transport </w:t>
      </w:r>
      <w:r w:rsidR="00C8714F">
        <w:t>for</w:t>
      </w:r>
      <w:r w:rsidR="00341AE1">
        <w:t xml:space="preserve"> patients</w:t>
      </w:r>
      <w:r w:rsidR="00980C24">
        <w:t>.</w:t>
      </w:r>
    </w:p>
    <w:p w14:paraId="2E2DDF8B" w14:textId="5C3BD1C8" w:rsidR="00EC1C3C" w:rsidRDefault="00BA1774" w:rsidP="00AB4174">
      <w:pPr>
        <w:pStyle w:val="ListParagraph"/>
        <w:ind w:left="567" w:hanging="567"/>
      </w:pPr>
      <w:r>
        <w:t>This section</w:t>
      </w:r>
      <w:r w:rsidR="00A011CA">
        <w:t xml:space="preserve"> </w:t>
      </w:r>
      <w:r w:rsidR="00A003EE">
        <w:t xml:space="preserve">describes </w:t>
      </w:r>
      <w:r w:rsidR="007958CB">
        <w:t>the eve</w:t>
      </w:r>
      <w:r w:rsidDel="007958CB">
        <w:t>n</w:t>
      </w:r>
      <w:r w:rsidR="007958CB">
        <w:t xml:space="preserve">ts leading up to </w:t>
      </w:r>
      <w:r w:rsidR="00664EB4">
        <w:t>BNSSG</w:t>
      </w:r>
      <w:r w:rsidR="0024556D">
        <w:t>’s</w:t>
      </w:r>
      <w:r w:rsidR="007958CB">
        <w:t xml:space="preserve"> </w:t>
      </w:r>
      <w:r w:rsidR="00A471D0">
        <w:t xml:space="preserve">current </w:t>
      </w:r>
      <w:r w:rsidR="007958CB">
        <w:t>provider selection process</w:t>
      </w:r>
      <w:r w:rsidR="0024556D">
        <w:t xml:space="preserve"> for </w:t>
      </w:r>
      <w:r w:rsidR="00CD197C">
        <w:t xml:space="preserve">Planned </w:t>
      </w:r>
      <w:r w:rsidR="009F1B51">
        <w:t xml:space="preserve">NEPTS </w:t>
      </w:r>
      <w:r w:rsidR="00A003EE">
        <w:t>(Section 4.1)</w:t>
      </w:r>
      <w:r w:rsidR="00E33EDD">
        <w:t>,</w:t>
      </w:r>
      <w:r w:rsidR="00810871">
        <w:t xml:space="preserve"> and the key steps in</w:t>
      </w:r>
      <w:r w:rsidR="003044BD">
        <w:t xml:space="preserve"> </w:t>
      </w:r>
      <w:r w:rsidR="006414B5">
        <w:t xml:space="preserve">the current </w:t>
      </w:r>
      <w:r w:rsidR="00EC1C3C">
        <w:t>provider selection process</w:t>
      </w:r>
      <w:r w:rsidR="00C815FA">
        <w:t xml:space="preserve"> (Section 4.2).</w:t>
      </w:r>
    </w:p>
    <w:p w14:paraId="089E2C38" w14:textId="3EB7CE10" w:rsidR="00177FE0" w:rsidRDefault="00177FE0" w:rsidP="002E0827">
      <w:pPr>
        <w:pStyle w:val="Heading2"/>
        <w:spacing w:before="240" w:after="160"/>
      </w:pPr>
      <w:bookmarkStart w:id="4" w:name="_Toc220417386"/>
      <w:r>
        <w:t xml:space="preserve">4.1 </w:t>
      </w:r>
      <w:r w:rsidR="002B17F5">
        <w:t xml:space="preserve">Events leading up to the </w:t>
      </w:r>
      <w:r w:rsidR="004752A7">
        <w:t xml:space="preserve">current </w:t>
      </w:r>
      <w:r w:rsidR="002B17F5">
        <w:t>provider selection process</w:t>
      </w:r>
      <w:bookmarkEnd w:id="4"/>
    </w:p>
    <w:p w14:paraId="0205A8C8" w14:textId="35FB2EF2" w:rsidR="00943BC1" w:rsidRDefault="001240C4" w:rsidP="00640DD0">
      <w:pPr>
        <w:pStyle w:val="ListParagraph"/>
        <w:ind w:left="567" w:hanging="567"/>
      </w:pPr>
      <w:bookmarkStart w:id="5" w:name="_Ref218517561"/>
      <w:bookmarkStart w:id="6" w:name="_Ref218261966"/>
      <w:r>
        <w:t xml:space="preserve">In early 2023, </w:t>
      </w:r>
      <w:r w:rsidR="00664EB4">
        <w:t>BNSSG</w:t>
      </w:r>
      <w:r w:rsidR="007F39E9" w:rsidRPr="007F39E9">
        <w:t xml:space="preserve"> </w:t>
      </w:r>
      <w:r w:rsidR="005C6A69">
        <w:t>carried out</w:t>
      </w:r>
      <w:r w:rsidR="007F39E9" w:rsidRPr="007F39E9">
        <w:t xml:space="preserve"> </w:t>
      </w:r>
      <w:r w:rsidR="00A76E04">
        <w:t>a</w:t>
      </w:r>
      <w:r w:rsidR="000278F4">
        <w:t xml:space="preserve"> </w:t>
      </w:r>
      <w:r w:rsidR="007F39E9" w:rsidRPr="007F39E9">
        <w:t xml:space="preserve">competitive procurement for </w:t>
      </w:r>
      <w:r w:rsidR="008A369C">
        <w:t>four</w:t>
      </w:r>
      <w:r w:rsidR="0049284D">
        <w:t xml:space="preserve"> </w:t>
      </w:r>
      <w:r w:rsidR="007F39E9" w:rsidRPr="007F39E9">
        <w:t>NEPTS</w:t>
      </w:r>
      <w:r w:rsidR="00362490">
        <w:t>-related</w:t>
      </w:r>
      <w:r w:rsidR="007F39E9" w:rsidRPr="007F39E9">
        <w:t xml:space="preserve"> contract</w:t>
      </w:r>
      <w:r w:rsidR="00293E2B">
        <w:t>s</w:t>
      </w:r>
      <w:r w:rsidR="00487A39">
        <w:rPr>
          <w:rStyle w:val="FootnoteReference"/>
        </w:rPr>
        <w:footnoteReference w:id="12"/>
      </w:r>
      <w:r w:rsidR="007F39E9" w:rsidRPr="007F39E9">
        <w:t xml:space="preserve"> under the Public Contracts Regulations 2015 (PCR</w:t>
      </w:r>
      <w:r w:rsidR="00CF6287">
        <w:t xml:space="preserve"> 2015</w:t>
      </w:r>
      <w:r w:rsidR="007F39E9" w:rsidRPr="007F39E9">
        <w:t>)</w:t>
      </w:r>
      <w:r w:rsidR="00880983">
        <w:t>. The</w:t>
      </w:r>
      <w:r w:rsidR="00B6599E">
        <w:t xml:space="preserve"> </w:t>
      </w:r>
      <w:r w:rsidR="00880983">
        <w:t xml:space="preserve">contracts </w:t>
      </w:r>
      <w:r w:rsidR="008B7E42">
        <w:t xml:space="preserve">were for </w:t>
      </w:r>
      <w:r w:rsidR="00CD197C">
        <w:t>P</w:t>
      </w:r>
      <w:r w:rsidR="008B7E42">
        <w:t xml:space="preserve">lanned NEPTS, </w:t>
      </w:r>
      <w:r w:rsidR="00C74CCB">
        <w:t xml:space="preserve">Ad Hoc NEPTS, a Patient Transport Hub and </w:t>
      </w:r>
      <w:r w:rsidR="008B7E42">
        <w:t xml:space="preserve">a </w:t>
      </w:r>
      <w:r w:rsidR="00002E2F">
        <w:t>H</w:t>
      </w:r>
      <w:r w:rsidR="005D296C">
        <w:t xml:space="preserve">aemodialysis </w:t>
      </w:r>
      <w:r w:rsidR="00002E2F">
        <w:t>T</w:t>
      </w:r>
      <w:r w:rsidR="005D296C">
        <w:t xml:space="preserve">axi </w:t>
      </w:r>
      <w:r w:rsidR="00002E2F">
        <w:t>S</w:t>
      </w:r>
      <w:r w:rsidR="005D296C">
        <w:t>ervice</w:t>
      </w:r>
      <w:r w:rsidR="00DD53B6">
        <w:t>.</w:t>
      </w:r>
      <w:r w:rsidR="00034D6F">
        <w:rPr>
          <w:rStyle w:val="FootnoteReference"/>
        </w:rPr>
        <w:footnoteReference w:id="13"/>
      </w:r>
      <w:bookmarkEnd w:id="5"/>
    </w:p>
    <w:bookmarkEnd w:id="6"/>
    <w:p w14:paraId="2912E907" w14:textId="3E724D2E" w:rsidR="00021F2B" w:rsidRDefault="00B63A59" w:rsidP="004F4BD4">
      <w:pPr>
        <w:pStyle w:val="ListParagraph"/>
        <w:ind w:left="567" w:hanging="567"/>
      </w:pPr>
      <w:r>
        <w:t xml:space="preserve">Five firms bid </w:t>
      </w:r>
      <w:r w:rsidR="002D33CB">
        <w:t xml:space="preserve">for the </w:t>
      </w:r>
      <w:r w:rsidR="006054F7">
        <w:t>P</w:t>
      </w:r>
      <w:r w:rsidR="002D33CB">
        <w:t>lanned NEPTS contract</w:t>
      </w:r>
      <w:r>
        <w:t xml:space="preserve">, including </w:t>
      </w:r>
      <w:r w:rsidR="00392E8C">
        <w:t>HTG</w:t>
      </w:r>
      <w:r w:rsidR="00AF26AC">
        <w:t>, BAEMS</w:t>
      </w:r>
      <w:r w:rsidR="00E5295B">
        <w:t xml:space="preserve">, </w:t>
      </w:r>
      <w:r w:rsidR="00AF26AC">
        <w:t>EMED</w:t>
      </w:r>
      <w:r w:rsidR="003F0C2C">
        <w:t xml:space="preserve"> </w:t>
      </w:r>
      <w:r w:rsidR="00E95320">
        <w:t xml:space="preserve">Group </w:t>
      </w:r>
      <w:r w:rsidR="00696A5C">
        <w:t>(EMED)</w:t>
      </w:r>
      <w:r w:rsidR="00CD2A2C">
        <w:rPr>
          <w:rStyle w:val="FootnoteReference"/>
        </w:rPr>
        <w:footnoteReference w:id="14"/>
      </w:r>
      <w:r w:rsidR="00696A5C">
        <w:t xml:space="preserve"> </w:t>
      </w:r>
      <w:r w:rsidR="003F0C2C">
        <w:t>and Savoy Ventures Limited (SVL)</w:t>
      </w:r>
      <w:r w:rsidR="00AF26AC">
        <w:t>.</w:t>
      </w:r>
      <w:r w:rsidR="00766766" w:rsidRPr="00435648">
        <w:rPr>
          <w:rStyle w:val="FootnoteReference"/>
        </w:rPr>
        <w:footnoteReference w:id="15"/>
      </w:r>
      <w:r w:rsidR="00696A5C">
        <w:t xml:space="preserve"> SVL was the </w:t>
      </w:r>
      <w:r w:rsidR="005206C0">
        <w:t>successful</w:t>
      </w:r>
      <w:r w:rsidR="00696A5C">
        <w:t xml:space="preserve"> bidder</w:t>
      </w:r>
      <w:r w:rsidR="00B53DED">
        <w:t xml:space="preserve">, </w:t>
      </w:r>
      <w:r w:rsidR="005206C0">
        <w:t>with</w:t>
      </w:r>
      <w:r w:rsidR="00B53DED">
        <w:t xml:space="preserve"> EMED ranked second, HTG ranked third and BAEMS ranked fifth.</w:t>
      </w:r>
      <w:r w:rsidR="004F4BD4">
        <w:t xml:space="preserve"> </w:t>
      </w:r>
      <w:r w:rsidR="00242B6B">
        <w:t>BAEMS was awarded the Patient Transport Hub contract and</w:t>
      </w:r>
      <w:r w:rsidR="004F4BD4">
        <w:t xml:space="preserve"> </w:t>
      </w:r>
      <w:r w:rsidR="00A324E7">
        <w:t xml:space="preserve">University Hospitals Bristol and Weston NHS Foundation Trust (UHBW) was </w:t>
      </w:r>
      <w:r w:rsidR="00A32EB9">
        <w:t xml:space="preserve">awarded </w:t>
      </w:r>
      <w:r w:rsidR="00A324E7">
        <w:t>the Ad Hoc NEPTS contract</w:t>
      </w:r>
      <w:r w:rsidR="00AB1756">
        <w:t>.</w:t>
      </w:r>
      <w:r w:rsidR="0055013E">
        <w:rPr>
          <w:rStyle w:val="FootnoteReference"/>
        </w:rPr>
        <w:footnoteReference w:id="16"/>
      </w:r>
    </w:p>
    <w:p w14:paraId="5227B40C" w14:textId="06351820" w:rsidR="00D14150" w:rsidRDefault="00F76F36" w:rsidP="00640DD0">
      <w:pPr>
        <w:pStyle w:val="ListParagraph"/>
        <w:ind w:left="567" w:hanging="567"/>
      </w:pPr>
      <w:bookmarkStart w:id="7" w:name="_Ref216870215"/>
      <w:bookmarkStart w:id="8" w:name="_Ref219881087"/>
      <w:r>
        <w:lastRenderedPageBreak/>
        <w:t xml:space="preserve">In July 2023, </w:t>
      </w:r>
      <w:r w:rsidR="004F4BD4">
        <w:t xml:space="preserve">EMED challenged </w:t>
      </w:r>
      <w:r w:rsidR="009114F0">
        <w:t xml:space="preserve">BNSSG’s </w:t>
      </w:r>
      <w:r w:rsidR="001C1826">
        <w:t xml:space="preserve">decision to award the Planned NEPTS </w:t>
      </w:r>
      <w:r w:rsidR="009114F0">
        <w:t xml:space="preserve">contract </w:t>
      </w:r>
      <w:r w:rsidR="001C1826">
        <w:t>to SVL</w:t>
      </w:r>
      <w:r w:rsidR="002D7BAE">
        <w:t xml:space="preserve">, alleging </w:t>
      </w:r>
      <w:r w:rsidR="00CC5D06">
        <w:t>breaches of PCR 2015</w:t>
      </w:r>
      <w:bookmarkEnd w:id="7"/>
      <w:r w:rsidR="00917354">
        <w:t xml:space="preserve">, and </w:t>
      </w:r>
      <w:r w:rsidR="00105F4D">
        <w:t xml:space="preserve">as </w:t>
      </w:r>
      <w:r w:rsidR="00A87873">
        <w:t>at</w:t>
      </w:r>
      <w:r w:rsidR="00005B77">
        <w:t xml:space="preserve"> the time of this report</w:t>
      </w:r>
      <w:r w:rsidR="0016123E">
        <w:t xml:space="preserve"> </w:t>
      </w:r>
      <w:r w:rsidR="00A87873">
        <w:t xml:space="preserve">EMED’s </w:t>
      </w:r>
      <w:r w:rsidR="005D6331">
        <w:t xml:space="preserve">legal </w:t>
      </w:r>
      <w:r w:rsidR="0016123E">
        <w:t xml:space="preserve">claim </w:t>
      </w:r>
      <w:r w:rsidR="004E161A">
        <w:t>remain</w:t>
      </w:r>
      <w:r w:rsidR="00A87873">
        <w:t>s</w:t>
      </w:r>
      <w:r w:rsidR="004E161A">
        <w:t xml:space="preserve"> unresolved</w:t>
      </w:r>
      <w:r w:rsidR="0023038C">
        <w:t>.</w:t>
      </w:r>
      <w:bookmarkEnd w:id="8"/>
    </w:p>
    <w:p w14:paraId="03072AE9" w14:textId="06527785" w:rsidR="00464B9D" w:rsidRDefault="00CC5137" w:rsidP="00FA1FB0">
      <w:pPr>
        <w:pStyle w:val="ListParagraph"/>
        <w:ind w:left="567" w:hanging="567"/>
      </w:pPr>
      <w:bookmarkStart w:id="9" w:name="_Ref219915770"/>
      <w:r>
        <w:t>N</w:t>
      </w:r>
      <w:r w:rsidR="00D14150">
        <w:t xml:space="preserve">otwithstanding </w:t>
      </w:r>
      <w:r w:rsidR="00617795">
        <w:t>EMED’s claim</w:t>
      </w:r>
      <w:r w:rsidR="00D14150">
        <w:t xml:space="preserve">, </w:t>
      </w:r>
      <w:r>
        <w:t xml:space="preserve">SVL </w:t>
      </w:r>
      <w:r w:rsidR="00FA1FB0">
        <w:t xml:space="preserve">started providing </w:t>
      </w:r>
      <w:r w:rsidR="002F5278">
        <w:t xml:space="preserve">Planned NEPTS </w:t>
      </w:r>
      <w:r w:rsidR="00D57510">
        <w:t>on 1</w:t>
      </w:r>
      <w:r w:rsidR="002F5278">
        <w:t> </w:t>
      </w:r>
      <w:r w:rsidR="00D57510">
        <w:t>August 2024</w:t>
      </w:r>
      <w:r w:rsidR="00BA00BC">
        <w:t xml:space="preserve">. </w:t>
      </w:r>
      <w:r w:rsidR="004719A4" w:rsidRPr="00EA7A17">
        <w:t>BAEMS</w:t>
      </w:r>
      <w:r w:rsidR="005E7F21">
        <w:t xml:space="preserve"> </w:t>
      </w:r>
      <w:r w:rsidR="00B41716">
        <w:t>told the Panel</w:t>
      </w:r>
      <w:r w:rsidR="005E7F21">
        <w:t xml:space="preserve"> </w:t>
      </w:r>
      <w:r w:rsidR="004719A4">
        <w:t>that</w:t>
      </w:r>
      <w:r w:rsidR="002C4110">
        <w:t xml:space="preserve"> soon afterwards</w:t>
      </w:r>
      <w:r w:rsidR="00835FAE">
        <w:t xml:space="preserve">, </w:t>
      </w:r>
      <w:r w:rsidR="002C4110">
        <w:t xml:space="preserve">in response to a request </w:t>
      </w:r>
      <w:r w:rsidR="00176B87">
        <w:t>from</w:t>
      </w:r>
      <w:r w:rsidR="002C4110">
        <w:t xml:space="preserve"> </w:t>
      </w:r>
      <w:r w:rsidR="006364DD">
        <w:t>SVL</w:t>
      </w:r>
      <w:r w:rsidR="00835FAE">
        <w:t>,</w:t>
      </w:r>
      <w:r w:rsidR="006364DD">
        <w:t xml:space="preserve"> </w:t>
      </w:r>
      <w:r w:rsidR="00BA00BC">
        <w:t xml:space="preserve">it </w:t>
      </w:r>
      <w:r w:rsidR="005E7F21">
        <w:t xml:space="preserve">started </w:t>
      </w:r>
      <w:r w:rsidR="006364DD">
        <w:t>support</w:t>
      </w:r>
      <w:r w:rsidR="00835FAE">
        <w:t>ing</w:t>
      </w:r>
      <w:r w:rsidR="006364DD">
        <w:t xml:space="preserve"> </w:t>
      </w:r>
      <w:r w:rsidR="00D90C92">
        <w:t xml:space="preserve">the delivery of </w:t>
      </w:r>
      <w:r w:rsidR="005E7F21">
        <w:t>P</w:t>
      </w:r>
      <w:r w:rsidR="00835FAE">
        <w:t>lanned NEPTS</w:t>
      </w:r>
      <w:r w:rsidR="00D90C92">
        <w:t xml:space="preserve"> </w:t>
      </w:r>
      <w:r w:rsidR="00AF2818">
        <w:t xml:space="preserve">and was </w:t>
      </w:r>
      <w:r w:rsidR="00542A42">
        <w:t xml:space="preserve">soon </w:t>
      </w:r>
      <w:r w:rsidR="00AF2818">
        <w:t xml:space="preserve">supplying </w:t>
      </w:r>
      <w:r w:rsidR="006B3481">
        <w:t>50% of the crews</w:t>
      </w:r>
      <w:r w:rsidR="00AF2818">
        <w:t xml:space="preserve"> used for </w:t>
      </w:r>
      <w:r w:rsidR="00730985">
        <w:t>the service</w:t>
      </w:r>
      <w:r w:rsidR="00D90C92">
        <w:t>.</w:t>
      </w:r>
      <w:r w:rsidR="006F4A96">
        <w:rPr>
          <w:rStyle w:val="FootnoteReference"/>
        </w:rPr>
        <w:footnoteReference w:id="17"/>
      </w:r>
      <w:r w:rsidR="00D90C92">
        <w:t xml:space="preserve"> </w:t>
      </w:r>
      <w:r w:rsidR="005C02F2">
        <w:t xml:space="preserve">Less than a month after the contract started, </w:t>
      </w:r>
      <w:r w:rsidR="00FD24A1">
        <w:t xml:space="preserve">on 27 August 2024, </w:t>
      </w:r>
      <w:r w:rsidR="005C02F2">
        <w:t>SVL notified BNSSG</w:t>
      </w:r>
      <w:r w:rsidR="00464B9D">
        <w:t xml:space="preserve"> </w:t>
      </w:r>
      <w:r w:rsidR="007F39E9">
        <w:t>that it would cease trading</w:t>
      </w:r>
      <w:r w:rsidR="00730985">
        <w:t xml:space="preserve">, and </w:t>
      </w:r>
      <w:r w:rsidR="00384994">
        <w:t xml:space="preserve">went </w:t>
      </w:r>
      <w:r w:rsidR="007F39E9">
        <w:t>into administration on 30 August 2024.</w:t>
      </w:r>
      <w:bookmarkEnd w:id="9"/>
    </w:p>
    <w:p w14:paraId="46372F39" w14:textId="11A7F0F5" w:rsidR="006E781F" w:rsidRDefault="005B5F3F" w:rsidP="00AB4174">
      <w:pPr>
        <w:pStyle w:val="ListParagraph"/>
        <w:ind w:left="567" w:hanging="567"/>
      </w:pPr>
      <w:r>
        <w:t>To ensure continuity</w:t>
      </w:r>
      <w:r w:rsidR="00706B6C">
        <w:t xml:space="preserve"> in P</w:t>
      </w:r>
      <w:r w:rsidR="003B34D2">
        <w:t>l</w:t>
      </w:r>
      <w:r w:rsidR="00706B6C">
        <w:t>anned NEPTS</w:t>
      </w:r>
      <w:r w:rsidR="00FB2FC4">
        <w:t xml:space="preserve">, </w:t>
      </w:r>
      <w:r w:rsidR="00664EB4">
        <w:t>BNSSG</w:t>
      </w:r>
      <w:r w:rsidR="007F39E9">
        <w:t xml:space="preserve"> put in place </w:t>
      </w:r>
      <w:r w:rsidR="00FB2FC4">
        <w:t xml:space="preserve">a </w:t>
      </w:r>
      <w:r w:rsidR="00F64C2E">
        <w:t>temporary</w:t>
      </w:r>
      <w:r w:rsidR="007F39E9">
        <w:t xml:space="preserve"> arrangement </w:t>
      </w:r>
      <w:r w:rsidR="00550C3D">
        <w:t>with</w:t>
      </w:r>
      <w:r w:rsidR="00CE4B26">
        <w:t xml:space="preserve"> </w:t>
      </w:r>
      <w:r w:rsidR="003B34D2">
        <w:t xml:space="preserve">UHBW, the successful bidder for </w:t>
      </w:r>
      <w:r w:rsidR="00C3579A">
        <w:t xml:space="preserve">the </w:t>
      </w:r>
      <w:r w:rsidR="003B34D2">
        <w:t>A</w:t>
      </w:r>
      <w:r w:rsidR="00C3579A">
        <w:t xml:space="preserve">d </w:t>
      </w:r>
      <w:r w:rsidR="003B34D2">
        <w:t>H</w:t>
      </w:r>
      <w:r w:rsidR="00C3579A">
        <w:t>oc NEPTS contract</w:t>
      </w:r>
      <w:r w:rsidR="00550C3D">
        <w:t>.</w:t>
      </w:r>
      <w:r w:rsidR="002209BA">
        <w:rPr>
          <w:rStyle w:val="FootnoteReference"/>
        </w:rPr>
        <w:footnoteReference w:id="18"/>
      </w:r>
      <w:r w:rsidR="00BA00BC">
        <w:t xml:space="preserve"> </w:t>
      </w:r>
      <w:r w:rsidR="00E550A7">
        <w:t xml:space="preserve">BAEMS told the Panel that </w:t>
      </w:r>
      <w:r w:rsidR="00AC51EC">
        <w:t xml:space="preserve">as </w:t>
      </w:r>
      <w:r w:rsidR="00E550A7">
        <w:t>it was a sub-contractor to UHBW for Ad Hoc NEPTS</w:t>
      </w:r>
      <w:r w:rsidR="00E550A7">
        <w:rPr>
          <w:rStyle w:val="FootnoteReference"/>
        </w:rPr>
        <w:footnoteReference w:id="19"/>
      </w:r>
      <w:r w:rsidR="00E550A7">
        <w:t xml:space="preserve"> </w:t>
      </w:r>
      <w:r w:rsidR="00AC51EC">
        <w:t>it</w:t>
      </w:r>
      <w:r w:rsidR="00A4747A">
        <w:t xml:space="preserve"> </w:t>
      </w:r>
      <w:r w:rsidR="002209BA">
        <w:t>continued to be involved in deliver</w:t>
      </w:r>
      <w:r w:rsidR="00224838">
        <w:t>ing</w:t>
      </w:r>
      <w:r w:rsidR="002209BA">
        <w:t xml:space="preserve"> </w:t>
      </w:r>
      <w:r w:rsidR="00224838">
        <w:t>P</w:t>
      </w:r>
      <w:r w:rsidR="00E87BF2">
        <w:t>lanned NEPTS</w:t>
      </w:r>
      <w:r w:rsidR="00FA7339">
        <w:t>.</w:t>
      </w:r>
      <w:r w:rsidR="00E10055">
        <w:rPr>
          <w:rStyle w:val="FootnoteReference"/>
        </w:rPr>
        <w:footnoteReference w:id="20"/>
      </w:r>
      <w:bookmarkStart w:id="10" w:name="_Ref216870218"/>
      <w:r w:rsidR="00682DA9">
        <w:t xml:space="preserve"> As a result, BAEMS was central to the provision of NEPTS in BNSSG, running the Patient Transport Hub and providing both Planned and Ad Hoc NEPTS as a sub-contractor to </w:t>
      </w:r>
      <w:r w:rsidR="00682DA9" w:rsidRPr="00A15C5F">
        <w:t>UHBW</w:t>
      </w:r>
      <w:r w:rsidR="00682DA9">
        <w:t>.</w:t>
      </w:r>
    </w:p>
    <w:p w14:paraId="14FF843F" w14:textId="5E595DA1" w:rsidR="00C244C5" w:rsidRDefault="000A67E9" w:rsidP="006B25D9">
      <w:pPr>
        <w:pStyle w:val="ListParagraph"/>
        <w:ind w:left="567" w:hanging="567"/>
      </w:pPr>
      <w:bookmarkStart w:id="11" w:name="_Ref219915771"/>
      <w:bookmarkEnd w:id="10"/>
      <w:r>
        <w:t>BNSSG formalised th</w:t>
      </w:r>
      <w:r w:rsidR="003C761E">
        <w:t>e</w:t>
      </w:r>
      <w:r>
        <w:t xml:space="preserve"> </w:t>
      </w:r>
      <w:r w:rsidR="00783E22">
        <w:t xml:space="preserve">temporary arrangement </w:t>
      </w:r>
      <w:r w:rsidR="00E911A9">
        <w:t xml:space="preserve">for </w:t>
      </w:r>
      <w:r w:rsidR="00F018DF">
        <w:t>P</w:t>
      </w:r>
      <w:r w:rsidR="00E911A9">
        <w:t>lanned NEPTS</w:t>
      </w:r>
      <w:r w:rsidR="00783E22">
        <w:t xml:space="preserve"> </w:t>
      </w:r>
      <w:r w:rsidR="00A627BD">
        <w:t xml:space="preserve">by awarding UHBW an 18 month contract, commencing 1 October 2024, under the </w:t>
      </w:r>
      <w:r w:rsidR="00B5725A">
        <w:t>urgent award provisions of the PSR regulations</w:t>
      </w:r>
      <w:r w:rsidR="00AC15D7">
        <w:t>.</w:t>
      </w:r>
      <w:r w:rsidR="00DA009B" w:rsidRPr="00252D40">
        <w:rPr>
          <w:vertAlign w:val="superscript"/>
        </w:rPr>
        <w:footnoteReference w:id="21"/>
      </w:r>
      <w:r w:rsidR="00DA009B">
        <w:t xml:space="preserve"> </w:t>
      </w:r>
      <w:r w:rsidR="005648D3">
        <w:t>EMED challenge</w:t>
      </w:r>
      <w:r w:rsidR="004F59DC">
        <w:t>d</w:t>
      </w:r>
      <w:r w:rsidR="005648D3">
        <w:t xml:space="preserve"> this contract award</w:t>
      </w:r>
      <w:r w:rsidR="0098178E">
        <w:t xml:space="preserve"> decision</w:t>
      </w:r>
      <w:r w:rsidR="006E781F" w:rsidRPr="002E7E7C">
        <w:t xml:space="preserve">, but </w:t>
      </w:r>
      <w:r w:rsidR="006B25D9" w:rsidRPr="002E7E7C">
        <w:t xml:space="preserve">discontinued </w:t>
      </w:r>
      <w:r w:rsidR="006B25D9">
        <w:t xml:space="preserve">its </w:t>
      </w:r>
      <w:r w:rsidR="004F59DC">
        <w:t xml:space="preserve">challenge </w:t>
      </w:r>
      <w:r w:rsidR="00392D68">
        <w:t xml:space="preserve">in </w:t>
      </w:r>
      <w:r w:rsidR="006E781F" w:rsidRPr="002E7E7C">
        <w:t>November 2024.</w:t>
      </w:r>
      <w:bookmarkEnd w:id="11"/>
    </w:p>
    <w:p w14:paraId="067C0044" w14:textId="025F6466" w:rsidR="00615566" w:rsidRPr="007F39E9" w:rsidRDefault="00615566" w:rsidP="002E0827">
      <w:pPr>
        <w:pStyle w:val="Heading2"/>
        <w:spacing w:before="240" w:after="160"/>
      </w:pPr>
      <w:bookmarkStart w:id="12" w:name="_Toc220417387"/>
      <w:r>
        <w:t xml:space="preserve">4.2 The </w:t>
      </w:r>
      <w:r w:rsidR="00B8556B">
        <w:t xml:space="preserve">current </w:t>
      </w:r>
      <w:r>
        <w:t>provider selection process</w:t>
      </w:r>
      <w:bookmarkEnd w:id="12"/>
    </w:p>
    <w:p w14:paraId="7112FDD0" w14:textId="6D68CEEF" w:rsidR="00835070" w:rsidRPr="0024660F" w:rsidRDefault="001E2BB5" w:rsidP="00AB4174">
      <w:pPr>
        <w:pStyle w:val="ListParagraph"/>
        <w:ind w:left="567" w:hanging="567"/>
      </w:pPr>
      <w:r>
        <w:t>T</w:t>
      </w:r>
      <w:r w:rsidR="00BB01E5">
        <w:t>he current provider selection process for Planned NEPTS</w:t>
      </w:r>
      <w:r w:rsidR="00113706">
        <w:t xml:space="preserve">, </w:t>
      </w:r>
      <w:r w:rsidR="00D462C4">
        <w:t xml:space="preserve">which was </w:t>
      </w:r>
      <w:r w:rsidR="00113706">
        <w:t xml:space="preserve">a competitive process under the PSR regulations, </w:t>
      </w:r>
      <w:r w:rsidR="006A0287">
        <w:t>formally commenced</w:t>
      </w:r>
      <w:r>
        <w:t xml:space="preserve"> </w:t>
      </w:r>
      <w:r w:rsidR="002F4899">
        <w:t xml:space="preserve">on </w:t>
      </w:r>
      <w:r w:rsidR="00462383">
        <w:t>2 May 2025</w:t>
      </w:r>
      <w:r w:rsidR="001A44BB" w:rsidRPr="0024660F">
        <w:t xml:space="preserve">. </w:t>
      </w:r>
      <w:r w:rsidR="00C0224A" w:rsidRPr="0024660F">
        <w:t xml:space="preserve">The </w:t>
      </w:r>
      <w:r w:rsidR="00204A06" w:rsidRPr="0024660F">
        <w:t xml:space="preserve">new </w:t>
      </w:r>
      <w:r w:rsidR="00C0224A" w:rsidRPr="0024660F">
        <w:t>contract</w:t>
      </w:r>
      <w:r w:rsidR="00766F2E">
        <w:t>, which is intended to start on 1</w:t>
      </w:r>
      <w:r w:rsidR="00C91E94">
        <w:t> </w:t>
      </w:r>
      <w:r w:rsidR="00766F2E">
        <w:t xml:space="preserve">April 2026, </w:t>
      </w:r>
      <w:r w:rsidR="009B0062" w:rsidRPr="0024660F">
        <w:t>ha</w:t>
      </w:r>
      <w:r w:rsidR="00B84268">
        <w:t>s</w:t>
      </w:r>
      <w:r w:rsidR="009B0062" w:rsidRPr="0024660F">
        <w:t xml:space="preserve"> a </w:t>
      </w:r>
      <w:r w:rsidR="00B84268">
        <w:t>five</w:t>
      </w:r>
      <w:r w:rsidR="00D26085" w:rsidRPr="0024660F">
        <w:t xml:space="preserve"> </w:t>
      </w:r>
      <w:r w:rsidR="00C0224A" w:rsidRPr="0024660F">
        <w:t>year</w:t>
      </w:r>
      <w:r w:rsidR="009B0062" w:rsidRPr="0024660F">
        <w:t xml:space="preserve"> duration</w:t>
      </w:r>
      <w:r w:rsidR="00C0224A" w:rsidRPr="0024660F">
        <w:t xml:space="preserve"> </w:t>
      </w:r>
      <w:r w:rsidR="00D26085" w:rsidRPr="0024660F">
        <w:t xml:space="preserve">with </w:t>
      </w:r>
      <w:r w:rsidR="009B0062" w:rsidRPr="0024660F">
        <w:t xml:space="preserve">the option of </w:t>
      </w:r>
      <w:r w:rsidR="00516FCA" w:rsidRPr="0024660F">
        <w:t xml:space="preserve">a </w:t>
      </w:r>
      <w:r w:rsidR="00D26085" w:rsidRPr="0024660F">
        <w:t>two</w:t>
      </w:r>
      <w:r w:rsidR="009B0062" w:rsidRPr="0024660F">
        <w:t xml:space="preserve"> </w:t>
      </w:r>
      <w:r w:rsidR="00D26085" w:rsidRPr="0024660F">
        <w:t xml:space="preserve">year extension </w:t>
      </w:r>
      <w:r w:rsidR="004658F6" w:rsidRPr="0024660F">
        <w:t xml:space="preserve">and </w:t>
      </w:r>
      <w:r w:rsidR="00766F2E">
        <w:t>a</w:t>
      </w:r>
      <w:r w:rsidR="00A32BE0" w:rsidRPr="0024660F">
        <w:t xml:space="preserve"> </w:t>
      </w:r>
      <w:r w:rsidR="00C0224A" w:rsidRPr="0024660F">
        <w:t>total value of approximately £</w:t>
      </w:r>
      <w:r w:rsidR="009D3E7D">
        <w:t xml:space="preserve">38.4 </w:t>
      </w:r>
      <w:r w:rsidR="00FD426A" w:rsidRPr="0024660F">
        <w:t>m</w:t>
      </w:r>
      <w:r w:rsidR="00D0619C" w:rsidRPr="0024660F">
        <w:t>illion</w:t>
      </w:r>
      <w:r w:rsidR="00C0224A" w:rsidRPr="0024660F">
        <w:t xml:space="preserve"> (excluding VAT).</w:t>
      </w:r>
      <w:r w:rsidR="00D308A0" w:rsidRPr="0024660F">
        <w:rPr>
          <w:rStyle w:val="FootnoteReference"/>
        </w:rPr>
        <w:footnoteReference w:id="22"/>
      </w:r>
    </w:p>
    <w:p w14:paraId="0344E59F" w14:textId="7E648531" w:rsidR="00835070" w:rsidRPr="004836BB" w:rsidRDefault="00C91E94" w:rsidP="00AB4174">
      <w:pPr>
        <w:pStyle w:val="ListParagraph"/>
        <w:ind w:left="567" w:hanging="567"/>
      </w:pPr>
      <w:bookmarkStart w:id="13" w:name="_Ref219916731"/>
      <w:r>
        <w:t>Eight providers submitted proposals</w:t>
      </w:r>
      <w:r w:rsidR="00D320E0" w:rsidRPr="004836BB">
        <w:t>,</w:t>
      </w:r>
      <w:r w:rsidR="00E530C2" w:rsidRPr="004836BB">
        <w:t xml:space="preserve"> including </w:t>
      </w:r>
      <w:r w:rsidR="005C3987">
        <w:t xml:space="preserve">EMED, HTG and </w:t>
      </w:r>
      <w:r>
        <w:t>BAEMS</w:t>
      </w:r>
      <w:r w:rsidR="003E53AE">
        <w:t xml:space="preserve">. </w:t>
      </w:r>
      <w:r>
        <w:t xml:space="preserve">EMED’s proposal was </w:t>
      </w:r>
      <w:r w:rsidR="2F5761AC" w:rsidRPr="004836BB">
        <w:t>ranked first</w:t>
      </w:r>
      <w:r w:rsidR="00FD0543">
        <w:t xml:space="preserve"> (scoring </w:t>
      </w:r>
      <w:r w:rsidR="009F02C5">
        <w:t>56.93%)</w:t>
      </w:r>
      <w:r w:rsidR="00E61147" w:rsidRPr="004836BB">
        <w:t>, HTG</w:t>
      </w:r>
      <w:r w:rsidR="2F5761AC" w:rsidRPr="004836BB">
        <w:t xml:space="preserve"> </w:t>
      </w:r>
      <w:r w:rsidR="005C3987">
        <w:t xml:space="preserve">was </w:t>
      </w:r>
      <w:r w:rsidR="2F5761AC" w:rsidRPr="004836BB">
        <w:t>ranked</w:t>
      </w:r>
      <w:r w:rsidR="00E61147" w:rsidRPr="004836BB">
        <w:t xml:space="preserve"> </w:t>
      </w:r>
      <w:r w:rsidR="009F02C5">
        <w:t>second (scoring 55.92%)</w:t>
      </w:r>
      <w:r w:rsidR="00E61147" w:rsidRPr="004836BB">
        <w:t xml:space="preserve"> and BAEMS </w:t>
      </w:r>
      <w:r w:rsidR="005C3987">
        <w:t xml:space="preserve">was </w:t>
      </w:r>
      <w:r w:rsidR="00E61147" w:rsidRPr="004836BB">
        <w:t xml:space="preserve">ranked </w:t>
      </w:r>
      <w:r w:rsidR="00940A5C">
        <w:t>fourth (scoring 53.11%)</w:t>
      </w:r>
      <w:r w:rsidR="00E61147" w:rsidRPr="004836BB">
        <w:t>.</w:t>
      </w:r>
      <w:r w:rsidR="003E53AE" w:rsidRPr="004836BB">
        <w:rPr>
          <w:rStyle w:val="FootnoteReference"/>
        </w:rPr>
        <w:footnoteReference w:id="23"/>
      </w:r>
      <w:bookmarkEnd w:id="13"/>
    </w:p>
    <w:p w14:paraId="1A5FA7C6" w14:textId="6395597D" w:rsidR="00C63944" w:rsidRDefault="00A27E4D" w:rsidP="00AB4174">
      <w:pPr>
        <w:pStyle w:val="ListParagraph"/>
        <w:ind w:left="567" w:hanging="567"/>
      </w:pPr>
      <w:bookmarkStart w:id="14" w:name="_Ref218681947"/>
      <w:bookmarkStart w:id="15" w:name="_Ref219124347"/>
      <w:bookmarkStart w:id="16" w:name="_Ref219453181"/>
      <w:bookmarkStart w:id="17" w:name="_Ref218515164"/>
      <w:bookmarkStart w:id="18" w:name="_Ref215832710"/>
      <w:r w:rsidRPr="00B4304F">
        <w:t xml:space="preserve">On </w:t>
      </w:r>
      <w:r w:rsidR="00DC465B" w:rsidRPr="00052D6D">
        <w:t>2</w:t>
      </w:r>
      <w:r w:rsidRPr="00B4304F">
        <w:t xml:space="preserve"> September 2025, </w:t>
      </w:r>
      <w:r w:rsidR="006014CA">
        <w:t xml:space="preserve">after </w:t>
      </w:r>
      <w:r w:rsidR="00997379">
        <w:t xml:space="preserve">bids had been evaluated but before </w:t>
      </w:r>
      <w:r w:rsidR="005E4AD8">
        <w:t xml:space="preserve">the successful bidder was </w:t>
      </w:r>
      <w:r w:rsidR="00997379">
        <w:t>announce</w:t>
      </w:r>
      <w:r w:rsidR="005E4AD8">
        <w:t>d</w:t>
      </w:r>
      <w:r w:rsidR="00997379">
        <w:t xml:space="preserve">, </w:t>
      </w:r>
      <w:r w:rsidR="004B0727">
        <w:t>BNSSG</w:t>
      </w:r>
      <w:r w:rsidR="004B0727" w:rsidRPr="00B4304F">
        <w:t xml:space="preserve"> </w:t>
      </w:r>
      <w:r w:rsidR="004B0727">
        <w:t xml:space="preserve">received a letter from </w:t>
      </w:r>
      <w:r w:rsidR="004F0690">
        <w:t xml:space="preserve">one of the bidders </w:t>
      </w:r>
      <w:r w:rsidR="00421BE5">
        <w:t>[</w:t>
      </w:r>
      <w:r w:rsidR="00622649">
        <w:sym w:font="Wingdings" w:char="F022"/>
      </w:r>
      <w:r w:rsidR="004B0727">
        <w:t>]</w:t>
      </w:r>
      <w:r w:rsidR="002B28FD">
        <w:rPr>
          <w:rStyle w:val="FootnoteReference"/>
        </w:rPr>
        <w:footnoteReference w:id="24"/>
      </w:r>
      <w:r w:rsidR="004B0727">
        <w:t xml:space="preserve"> (</w:t>
      </w:r>
      <w:r w:rsidR="002B4CF9">
        <w:t xml:space="preserve">referred to </w:t>
      </w:r>
      <w:r w:rsidR="004B0727">
        <w:t xml:space="preserve">in this report </w:t>
      </w:r>
      <w:r w:rsidR="002B4CF9">
        <w:t>as ‘</w:t>
      </w:r>
      <w:r w:rsidR="003F1776">
        <w:t>Bidder A</w:t>
      </w:r>
      <w:r w:rsidR="002B4CF9">
        <w:t>’</w:t>
      </w:r>
      <w:r w:rsidR="003F1776">
        <w:t xml:space="preserve">) </w:t>
      </w:r>
      <w:r w:rsidR="00CA380E" w:rsidRPr="00052D6D">
        <w:t>s</w:t>
      </w:r>
      <w:r w:rsidR="005C7BBE">
        <w:t xml:space="preserve">aying </w:t>
      </w:r>
      <w:r w:rsidR="00CA380E" w:rsidRPr="00052D6D">
        <w:t xml:space="preserve">that it </w:t>
      </w:r>
      <w:r w:rsidR="00574741">
        <w:t>had been informed</w:t>
      </w:r>
      <w:r w:rsidR="00EA765D">
        <w:t xml:space="preserve"> by </w:t>
      </w:r>
      <w:r w:rsidR="000B2379">
        <w:t>a</w:t>
      </w:r>
      <w:r w:rsidR="00574741">
        <w:t xml:space="preserve"> </w:t>
      </w:r>
      <w:r w:rsidR="000B2379">
        <w:t xml:space="preserve">“well-placed, senior” individual at </w:t>
      </w:r>
      <w:r w:rsidR="004F0690">
        <w:t>BNSSG</w:t>
      </w:r>
      <w:r w:rsidR="000B2379">
        <w:t xml:space="preserve"> </w:t>
      </w:r>
      <w:r w:rsidR="00C63944">
        <w:t xml:space="preserve">of the identity </w:t>
      </w:r>
      <w:r w:rsidR="00574741">
        <w:t xml:space="preserve">of the successful bidder </w:t>
      </w:r>
      <w:r w:rsidR="003158F1">
        <w:t>(</w:t>
      </w:r>
      <w:r w:rsidR="00592EC8">
        <w:t xml:space="preserve">i.e. </w:t>
      </w:r>
      <w:r w:rsidR="003158F1">
        <w:t>EMED)</w:t>
      </w:r>
      <w:r w:rsidR="00FF7D94">
        <w:t xml:space="preserve">. </w:t>
      </w:r>
      <w:r w:rsidR="002B4CF9">
        <w:t>B</w:t>
      </w:r>
      <w:r w:rsidR="00FF7D94">
        <w:t xml:space="preserve">idder </w:t>
      </w:r>
      <w:r w:rsidR="002B4CF9">
        <w:t xml:space="preserve">A </w:t>
      </w:r>
      <w:r w:rsidR="00FF7D94">
        <w:t xml:space="preserve">also said </w:t>
      </w:r>
      <w:r w:rsidR="00E07C72">
        <w:t xml:space="preserve">that </w:t>
      </w:r>
      <w:r w:rsidR="004B0727">
        <w:t>this individual</w:t>
      </w:r>
      <w:r w:rsidR="00935198">
        <w:t xml:space="preserve"> had told</w:t>
      </w:r>
      <w:r w:rsidR="004B0727">
        <w:t xml:space="preserve"> </w:t>
      </w:r>
      <w:r w:rsidR="00C90295">
        <w:t>it</w:t>
      </w:r>
      <w:r w:rsidR="00935198">
        <w:t xml:space="preserve"> that </w:t>
      </w:r>
      <w:r w:rsidR="004A65DD">
        <w:t xml:space="preserve">the procurement process had been </w:t>
      </w:r>
      <w:r w:rsidR="001C0218">
        <w:t xml:space="preserve">conducted so as to favour </w:t>
      </w:r>
      <w:r w:rsidR="003158F1">
        <w:t>EMED</w:t>
      </w:r>
      <w:r w:rsidR="005A66E0">
        <w:t xml:space="preserve">, with a view to </w:t>
      </w:r>
      <w:r w:rsidR="00F50FAF">
        <w:t xml:space="preserve">BNSSG </w:t>
      </w:r>
      <w:r w:rsidR="005A66E0">
        <w:t xml:space="preserve">securing a settlement to ongoing litigation </w:t>
      </w:r>
      <w:r w:rsidR="00F50FAF">
        <w:t>with</w:t>
      </w:r>
      <w:r w:rsidR="00323B49">
        <w:t xml:space="preserve"> EMED (see paragraph</w:t>
      </w:r>
      <w:r w:rsidR="00F635A7">
        <w:t xml:space="preserve"> </w:t>
      </w:r>
      <w:r w:rsidR="00F635A7" w:rsidRPr="00BA5818">
        <w:fldChar w:fldCharType="begin"/>
      </w:r>
      <w:r w:rsidR="00F635A7" w:rsidRPr="00BA5818">
        <w:instrText xml:space="preserve"> REF _Ref219881087 \r \h </w:instrText>
      </w:r>
      <w:r w:rsidR="00FA52F9" w:rsidRPr="00BA5818">
        <w:instrText xml:space="preserve"> \* MERGEFORMAT </w:instrText>
      </w:r>
      <w:r w:rsidR="00F635A7" w:rsidRPr="00BA5818">
        <w:fldChar w:fldCharType="separate"/>
      </w:r>
      <w:r w:rsidR="00785E99">
        <w:t>28</w:t>
      </w:r>
      <w:r w:rsidR="00F635A7" w:rsidRPr="00BA5818">
        <w:fldChar w:fldCharType="end"/>
      </w:r>
      <w:r w:rsidR="00F635A7">
        <w:t>)</w:t>
      </w:r>
      <w:r w:rsidR="001C0218">
        <w:t>.</w:t>
      </w:r>
      <w:r w:rsidR="00040EC2">
        <w:rPr>
          <w:rStyle w:val="FootnoteReference"/>
        </w:rPr>
        <w:footnoteReference w:id="25"/>
      </w:r>
      <w:bookmarkEnd w:id="14"/>
      <w:bookmarkEnd w:id="15"/>
      <w:bookmarkEnd w:id="16"/>
    </w:p>
    <w:bookmarkEnd w:id="17"/>
    <w:p w14:paraId="36E518B5" w14:textId="3188590D" w:rsidR="00CC5AEA" w:rsidRDefault="00D77F40" w:rsidP="00AB4174">
      <w:pPr>
        <w:pStyle w:val="ListParagraph"/>
        <w:ind w:left="567" w:hanging="567"/>
      </w:pPr>
      <w:r>
        <w:lastRenderedPageBreak/>
        <w:t>At a meeting of BNSSG’s Board o</w:t>
      </w:r>
      <w:r w:rsidR="00CA3DC8">
        <w:t xml:space="preserve">n 4 September 2025, </w:t>
      </w:r>
      <w:r w:rsidR="00AC5F4D">
        <w:t xml:space="preserve">two days after receiving Bidder A’s letter, </w:t>
      </w:r>
      <w:r w:rsidR="00F103D2">
        <w:t xml:space="preserve">BNSSG </w:t>
      </w:r>
      <w:r w:rsidR="00AB45BA">
        <w:t>deci</w:t>
      </w:r>
      <w:r w:rsidR="00924328">
        <w:t>ded</w:t>
      </w:r>
      <w:r w:rsidR="00F43724">
        <w:t xml:space="preserve"> to proceed with </w:t>
      </w:r>
      <w:r w:rsidR="005821EB">
        <w:t>award</w:t>
      </w:r>
      <w:r w:rsidR="00E1379F">
        <w:t>ing</w:t>
      </w:r>
      <w:r w:rsidR="005821EB">
        <w:t xml:space="preserve"> the </w:t>
      </w:r>
      <w:r w:rsidR="00E1379F">
        <w:t>P</w:t>
      </w:r>
      <w:r w:rsidR="005821EB">
        <w:t xml:space="preserve">lanned NEPTS </w:t>
      </w:r>
      <w:r w:rsidR="00D50B21">
        <w:t xml:space="preserve">contract </w:t>
      </w:r>
      <w:r w:rsidR="00617F44">
        <w:t>to EMED</w:t>
      </w:r>
      <w:r w:rsidR="00463B1E">
        <w:t>.</w:t>
      </w:r>
      <w:r w:rsidR="00E0439E">
        <w:rPr>
          <w:rStyle w:val="FootnoteReference"/>
        </w:rPr>
        <w:footnoteReference w:id="26"/>
      </w:r>
    </w:p>
    <w:p w14:paraId="0D6F69A3" w14:textId="4FD59417" w:rsidR="008F014A" w:rsidRDefault="00D75358" w:rsidP="00AB4174">
      <w:pPr>
        <w:pStyle w:val="ListParagraph"/>
        <w:ind w:left="567" w:hanging="567"/>
      </w:pPr>
      <w:r>
        <w:t xml:space="preserve">The following day, 5 September 2025, </w:t>
      </w:r>
      <w:r w:rsidR="005821EB">
        <w:t>BNSSG announced EMED as the successful bidder</w:t>
      </w:r>
      <w:r w:rsidR="0611FB02" w:rsidRPr="004836BB">
        <w:t xml:space="preserve">, </w:t>
      </w:r>
      <w:bookmarkEnd w:id="18"/>
      <w:r w:rsidR="005821EB">
        <w:t xml:space="preserve">following which </w:t>
      </w:r>
      <w:r w:rsidR="00F324D3">
        <w:t>HTG and BAEMS both made representations</w:t>
      </w:r>
      <w:r w:rsidR="00F651C2">
        <w:t xml:space="preserve"> </w:t>
      </w:r>
      <w:r w:rsidR="004F5B0A">
        <w:t xml:space="preserve">to </w:t>
      </w:r>
      <w:r w:rsidR="00664EB4">
        <w:t>BNSSG</w:t>
      </w:r>
      <w:r w:rsidR="004F5B0A">
        <w:t xml:space="preserve"> about the provider selection process</w:t>
      </w:r>
      <w:r w:rsidR="00060D0B">
        <w:t>.</w:t>
      </w:r>
      <w:r w:rsidR="00203369">
        <w:t xml:space="preserve"> A chronology of events in relation to these representations is set out in the table below.</w:t>
      </w:r>
    </w:p>
    <w:tbl>
      <w:tblPr>
        <w:tblW w:w="4563" w:type="pct"/>
        <w:tblInd w:w="559"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0" w:type="dxa"/>
          <w:right w:w="0" w:type="dxa"/>
        </w:tblCellMar>
        <w:tblLook w:val="04A0" w:firstRow="1" w:lastRow="0" w:firstColumn="1" w:lastColumn="0" w:noHBand="0" w:noVBand="1"/>
      </w:tblPr>
      <w:tblGrid>
        <w:gridCol w:w="1276"/>
        <w:gridCol w:w="6947"/>
      </w:tblGrid>
      <w:tr w:rsidR="00B3524C" w:rsidRPr="00B3524C" w14:paraId="7E2E9262" w14:textId="77777777" w:rsidTr="009946C4">
        <w:trPr>
          <w:trHeight w:val="300"/>
        </w:trPr>
        <w:tc>
          <w:tcPr>
            <w:tcW w:w="776" w:type="pct"/>
            <w:shd w:val="clear" w:color="auto" w:fill="D9D9D9"/>
            <w:vAlign w:val="center"/>
            <w:hideMark/>
          </w:tcPr>
          <w:p w14:paraId="056FAA32" w14:textId="73577BA7" w:rsidR="00B3524C" w:rsidRPr="00B3524C" w:rsidRDefault="00B3524C" w:rsidP="009A3647">
            <w:pPr>
              <w:spacing w:before="60" w:after="60" w:line="240" w:lineRule="auto"/>
              <w:jc w:val="center"/>
              <w:rPr>
                <w:b/>
                <w:bCs/>
                <w:sz w:val="18"/>
                <w:szCs w:val="18"/>
              </w:rPr>
            </w:pPr>
            <w:r w:rsidRPr="00B3524C">
              <w:rPr>
                <w:b/>
                <w:bCs/>
                <w:sz w:val="18"/>
                <w:szCs w:val="18"/>
              </w:rPr>
              <w:t>Date</w:t>
            </w:r>
          </w:p>
        </w:tc>
        <w:tc>
          <w:tcPr>
            <w:tcW w:w="4224" w:type="pct"/>
            <w:shd w:val="clear" w:color="auto" w:fill="D9D9D9"/>
            <w:vAlign w:val="center"/>
            <w:hideMark/>
          </w:tcPr>
          <w:p w14:paraId="27E102A1" w14:textId="7E2FA5AF" w:rsidR="00B3524C" w:rsidRPr="00B3524C" w:rsidRDefault="00B3524C" w:rsidP="009A3647">
            <w:pPr>
              <w:spacing w:before="60" w:after="60" w:line="240" w:lineRule="auto"/>
              <w:jc w:val="center"/>
              <w:rPr>
                <w:b/>
                <w:bCs/>
                <w:sz w:val="18"/>
                <w:szCs w:val="18"/>
              </w:rPr>
            </w:pPr>
            <w:r w:rsidRPr="00B3524C">
              <w:rPr>
                <w:b/>
                <w:bCs/>
                <w:sz w:val="18"/>
                <w:szCs w:val="18"/>
              </w:rPr>
              <w:t>Event</w:t>
            </w:r>
          </w:p>
        </w:tc>
      </w:tr>
      <w:tr w:rsidR="00D41F71" w:rsidRPr="00B3524C" w14:paraId="3C97A18F" w14:textId="77777777" w:rsidTr="009946C4">
        <w:trPr>
          <w:trHeight w:val="300"/>
        </w:trPr>
        <w:tc>
          <w:tcPr>
            <w:tcW w:w="776" w:type="pct"/>
            <w:hideMark/>
          </w:tcPr>
          <w:p w14:paraId="6B35DD5B" w14:textId="756A9249" w:rsidR="00D41F71" w:rsidRPr="00B3524C" w:rsidRDefault="00D41F71" w:rsidP="00D41F71">
            <w:pPr>
              <w:spacing w:before="60" w:after="60" w:line="240" w:lineRule="auto"/>
              <w:jc w:val="center"/>
              <w:rPr>
                <w:sz w:val="18"/>
                <w:szCs w:val="18"/>
              </w:rPr>
            </w:pPr>
            <w:r w:rsidRPr="00B3524C">
              <w:rPr>
                <w:sz w:val="18"/>
                <w:szCs w:val="18"/>
              </w:rPr>
              <w:t xml:space="preserve">12 </w:t>
            </w:r>
            <w:r w:rsidR="00F651C2">
              <w:rPr>
                <w:sz w:val="18"/>
                <w:szCs w:val="18"/>
              </w:rPr>
              <w:t>Sep</w:t>
            </w:r>
            <w:r w:rsidRPr="00B3524C">
              <w:rPr>
                <w:sz w:val="18"/>
                <w:szCs w:val="18"/>
              </w:rPr>
              <w:t xml:space="preserve"> 2025</w:t>
            </w:r>
          </w:p>
        </w:tc>
        <w:tc>
          <w:tcPr>
            <w:tcW w:w="4224" w:type="pct"/>
            <w:hideMark/>
          </w:tcPr>
          <w:p w14:paraId="0C79ED77" w14:textId="783903EE" w:rsidR="00D41F71" w:rsidRPr="00B3524C" w:rsidRDefault="00AD1F6D" w:rsidP="00AD1F6D">
            <w:pPr>
              <w:spacing w:before="60" w:after="60" w:line="240" w:lineRule="auto"/>
              <w:ind w:left="121"/>
              <w:rPr>
                <w:sz w:val="18"/>
                <w:szCs w:val="18"/>
              </w:rPr>
            </w:pPr>
            <w:r w:rsidRPr="00AD1F6D">
              <w:rPr>
                <w:sz w:val="18"/>
                <w:szCs w:val="18"/>
              </w:rPr>
              <w:t xml:space="preserve">BAEMS wrote to </w:t>
            </w:r>
            <w:r w:rsidR="00664EB4">
              <w:rPr>
                <w:sz w:val="18"/>
                <w:szCs w:val="18"/>
              </w:rPr>
              <w:t>BNSSG</w:t>
            </w:r>
            <w:r w:rsidRPr="00AD1F6D">
              <w:rPr>
                <w:sz w:val="18"/>
                <w:szCs w:val="18"/>
              </w:rPr>
              <w:t xml:space="preserve"> requesting disclosure of scoring material, as well as the names of individuals involved in ongoing litigation with EMED</w:t>
            </w:r>
            <w:r w:rsidR="00030FC2">
              <w:rPr>
                <w:sz w:val="18"/>
                <w:szCs w:val="18"/>
              </w:rPr>
              <w:t>.</w:t>
            </w:r>
          </w:p>
        </w:tc>
      </w:tr>
      <w:tr w:rsidR="00823F5B" w:rsidRPr="00B3524C" w14:paraId="0DA53389" w14:textId="77777777" w:rsidTr="009946C4">
        <w:trPr>
          <w:trHeight w:val="300"/>
        </w:trPr>
        <w:tc>
          <w:tcPr>
            <w:tcW w:w="776" w:type="pct"/>
          </w:tcPr>
          <w:p w14:paraId="36346C6A" w14:textId="4E60519A" w:rsidR="00823F5B" w:rsidRPr="00B3524C" w:rsidRDefault="00823F5B" w:rsidP="00D41F71">
            <w:pPr>
              <w:spacing w:before="60" w:after="60" w:line="240" w:lineRule="auto"/>
              <w:jc w:val="center"/>
              <w:rPr>
                <w:sz w:val="18"/>
                <w:szCs w:val="18"/>
              </w:rPr>
            </w:pPr>
            <w:r>
              <w:rPr>
                <w:sz w:val="18"/>
                <w:szCs w:val="18"/>
              </w:rPr>
              <w:t>15 Sep 2025</w:t>
            </w:r>
          </w:p>
        </w:tc>
        <w:tc>
          <w:tcPr>
            <w:tcW w:w="4224" w:type="pct"/>
          </w:tcPr>
          <w:p w14:paraId="142FED09" w14:textId="1102DF26" w:rsidR="00823F5B" w:rsidRPr="00B3524C" w:rsidRDefault="00823F5B" w:rsidP="00AD1F6D">
            <w:pPr>
              <w:spacing w:before="60" w:after="60" w:line="240" w:lineRule="auto"/>
              <w:ind w:left="121"/>
              <w:rPr>
                <w:sz w:val="18"/>
                <w:szCs w:val="18"/>
              </w:rPr>
            </w:pPr>
            <w:r>
              <w:rPr>
                <w:sz w:val="18"/>
                <w:szCs w:val="18"/>
              </w:rPr>
              <w:t>BNSSG provided further information to BAEMS in response to its information request.</w:t>
            </w:r>
          </w:p>
        </w:tc>
      </w:tr>
      <w:tr w:rsidR="00D41F71" w:rsidRPr="00B3524C" w14:paraId="390F2BBB" w14:textId="77777777" w:rsidTr="009946C4">
        <w:trPr>
          <w:trHeight w:val="300"/>
        </w:trPr>
        <w:tc>
          <w:tcPr>
            <w:tcW w:w="776" w:type="pct"/>
            <w:hideMark/>
          </w:tcPr>
          <w:p w14:paraId="201DAEB0" w14:textId="20AC5937" w:rsidR="00D41F71" w:rsidRPr="00B3524C" w:rsidRDefault="00D41F71" w:rsidP="00D41F71">
            <w:pPr>
              <w:spacing w:before="60" w:after="60" w:line="240" w:lineRule="auto"/>
              <w:jc w:val="center"/>
              <w:rPr>
                <w:sz w:val="18"/>
                <w:szCs w:val="18"/>
              </w:rPr>
            </w:pPr>
            <w:r w:rsidRPr="00B3524C">
              <w:rPr>
                <w:sz w:val="18"/>
                <w:szCs w:val="18"/>
              </w:rPr>
              <w:t xml:space="preserve">15 </w:t>
            </w:r>
            <w:r w:rsidR="00F651C2">
              <w:rPr>
                <w:sz w:val="18"/>
                <w:szCs w:val="18"/>
              </w:rPr>
              <w:t xml:space="preserve">Sep </w:t>
            </w:r>
            <w:r w:rsidRPr="00B3524C">
              <w:rPr>
                <w:sz w:val="18"/>
                <w:szCs w:val="18"/>
              </w:rPr>
              <w:t>2025</w:t>
            </w:r>
          </w:p>
        </w:tc>
        <w:tc>
          <w:tcPr>
            <w:tcW w:w="4224" w:type="pct"/>
            <w:hideMark/>
          </w:tcPr>
          <w:p w14:paraId="2DC35135" w14:textId="544F78AB" w:rsidR="00D41F71" w:rsidRPr="00B3524C" w:rsidRDefault="00D41F71" w:rsidP="00AD1F6D">
            <w:pPr>
              <w:spacing w:before="60" w:after="60" w:line="240" w:lineRule="auto"/>
              <w:ind w:left="121"/>
              <w:rPr>
                <w:sz w:val="18"/>
                <w:szCs w:val="18"/>
              </w:rPr>
            </w:pPr>
            <w:r w:rsidRPr="00B3524C">
              <w:rPr>
                <w:sz w:val="18"/>
                <w:szCs w:val="18"/>
              </w:rPr>
              <w:t>HTG</w:t>
            </w:r>
            <w:r w:rsidR="00342045">
              <w:rPr>
                <w:sz w:val="18"/>
                <w:szCs w:val="18"/>
              </w:rPr>
              <w:t xml:space="preserve"> </w:t>
            </w:r>
            <w:r w:rsidRPr="00B3524C">
              <w:rPr>
                <w:sz w:val="18"/>
                <w:szCs w:val="18"/>
              </w:rPr>
              <w:t>submitted</w:t>
            </w:r>
            <w:r w:rsidR="00342045">
              <w:rPr>
                <w:sz w:val="18"/>
                <w:szCs w:val="18"/>
              </w:rPr>
              <w:t xml:space="preserve"> </w:t>
            </w:r>
            <w:r w:rsidRPr="00B3524C">
              <w:rPr>
                <w:sz w:val="18"/>
                <w:szCs w:val="18"/>
              </w:rPr>
              <w:t xml:space="preserve">representations to </w:t>
            </w:r>
            <w:r w:rsidR="00664EB4">
              <w:rPr>
                <w:sz w:val="18"/>
                <w:szCs w:val="18"/>
              </w:rPr>
              <w:t>BNSSG</w:t>
            </w:r>
            <w:r w:rsidRPr="00B3524C">
              <w:rPr>
                <w:sz w:val="18"/>
                <w:szCs w:val="18"/>
              </w:rPr>
              <w:t> setting out its concerns</w:t>
            </w:r>
            <w:r w:rsidR="00342045">
              <w:rPr>
                <w:sz w:val="18"/>
                <w:szCs w:val="18"/>
              </w:rPr>
              <w:t xml:space="preserve"> </w:t>
            </w:r>
            <w:r w:rsidRPr="00B3524C">
              <w:rPr>
                <w:sz w:val="18"/>
                <w:szCs w:val="18"/>
              </w:rPr>
              <w:t>regarding</w:t>
            </w:r>
            <w:r w:rsidR="00342045">
              <w:rPr>
                <w:sz w:val="18"/>
                <w:szCs w:val="18"/>
              </w:rPr>
              <w:t xml:space="preserve"> </w:t>
            </w:r>
            <w:r w:rsidRPr="00B3524C">
              <w:rPr>
                <w:sz w:val="18"/>
                <w:szCs w:val="18"/>
              </w:rPr>
              <w:t>the provider selection process</w:t>
            </w:r>
            <w:r w:rsidR="00342045">
              <w:rPr>
                <w:sz w:val="18"/>
                <w:szCs w:val="18"/>
              </w:rPr>
              <w:t xml:space="preserve"> </w:t>
            </w:r>
            <w:r w:rsidRPr="00B3524C">
              <w:rPr>
                <w:sz w:val="18"/>
                <w:szCs w:val="18"/>
              </w:rPr>
              <w:t>and requesting information</w:t>
            </w:r>
            <w:r w:rsidR="00030FC2">
              <w:rPr>
                <w:sz w:val="18"/>
                <w:szCs w:val="18"/>
              </w:rPr>
              <w:t>.</w:t>
            </w:r>
          </w:p>
        </w:tc>
      </w:tr>
      <w:tr w:rsidR="00D41F71" w:rsidRPr="00B3524C" w14:paraId="12E4629E" w14:textId="77777777" w:rsidTr="009946C4">
        <w:trPr>
          <w:trHeight w:val="300"/>
        </w:trPr>
        <w:tc>
          <w:tcPr>
            <w:tcW w:w="776" w:type="pct"/>
            <w:hideMark/>
          </w:tcPr>
          <w:p w14:paraId="160D77BB" w14:textId="23435F7B" w:rsidR="00D41F71" w:rsidRPr="00B3524C" w:rsidRDefault="00D41F71" w:rsidP="00D41F71">
            <w:pPr>
              <w:spacing w:before="60" w:after="60" w:line="240" w:lineRule="auto"/>
              <w:jc w:val="center"/>
              <w:rPr>
                <w:sz w:val="18"/>
                <w:szCs w:val="18"/>
              </w:rPr>
            </w:pPr>
            <w:r w:rsidRPr="00B3524C">
              <w:rPr>
                <w:sz w:val="18"/>
                <w:szCs w:val="18"/>
              </w:rPr>
              <w:t xml:space="preserve">17 </w:t>
            </w:r>
            <w:r w:rsidR="00F651C2">
              <w:rPr>
                <w:sz w:val="18"/>
                <w:szCs w:val="18"/>
              </w:rPr>
              <w:t>Sep</w:t>
            </w:r>
            <w:r w:rsidRPr="00B3524C">
              <w:rPr>
                <w:sz w:val="18"/>
                <w:szCs w:val="18"/>
              </w:rPr>
              <w:t xml:space="preserve"> 2025</w:t>
            </w:r>
          </w:p>
        </w:tc>
        <w:tc>
          <w:tcPr>
            <w:tcW w:w="4224" w:type="pct"/>
            <w:hideMark/>
          </w:tcPr>
          <w:p w14:paraId="1DB70FC3" w14:textId="5F90B426" w:rsidR="00D41F71" w:rsidRPr="00B3524C" w:rsidRDefault="00D41F71" w:rsidP="00AD1F6D">
            <w:pPr>
              <w:spacing w:before="60" w:after="60" w:line="240" w:lineRule="auto"/>
              <w:ind w:left="121"/>
              <w:rPr>
                <w:sz w:val="18"/>
                <w:szCs w:val="18"/>
              </w:rPr>
            </w:pPr>
            <w:r w:rsidRPr="00B3524C">
              <w:rPr>
                <w:sz w:val="18"/>
                <w:szCs w:val="18"/>
              </w:rPr>
              <w:t xml:space="preserve">BAEMS submitted representations to </w:t>
            </w:r>
            <w:r w:rsidR="00664EB4">
              <w:rPr>
                <w:sz w:val="18"/>
                <w:szCs w:val="18"/>
              </w:rPr>
              <w:t>BNSSG</w:t>
            </w:r>
            <w:r w:rsidRPr="00B3524C">
              <w:rPr>
                <w:sz w:val="18"/>
                <w:szCs w:val="18"/>
              </w:rPr>
              <w:t xml:space="preserve"> setting out its concerns</w:t>
            </w:r>
            <w:r w:rsidR="00342045">
              <w:rPr>
                <w:sz w:val="18"/>
                <w:szCs w:val="18"/>
              </w:rPr>
              <w:t xml:space="preserve"> </w:t>
            </w:r>
            <w:r w:rsidRPr="00B3524C">
              <w:rPr>
                <w:sz w:val="18"/>
                <w:szCs w:val="18"/>
              </w:rPr>
              <w:t>regarding</w:t>
            </w:r>
            <w:r w:rsidR="00342045">
              <w:rPr>
                <w:sz w:val="18"/>
                <w:szCs w:val="18"/>
              </w:rPr>
              <w:t xml:space="preserve"> </w:t>
            </w:r>
            <w:r w:rsidRPr="00B3524C">
              <w:rPr>
                <w:sz w:val="18"/>
                <w:szCs w:val="18"/>
              </w:rPr>
              <w:t>the provider selection process</w:t>
            </w:r>
            <w:r w:rsidR="00030FC2">
              <w:rPr>
                <w:sz w:val="18"/>
                <w:szCs w:val="18"/>
              </w:rPr>
              <w:t>.</w:t>
            </w:r>
          </w:p>
        </w:tc>
      </w:tr>
      <w:tr w:rsidR="00B3524C" w:rsidRPr="00B3524C" w14:paraId="0BFB291B" w14:textId="77777777" w:rsidTr="009946C4">
        <w:trPr>
          <w:trHeight w:val="300"/>
        </w:trPr>
        <w:tc>
          <w:tcPr>
            <w:tcW w:w="776" w:type="pct"/>
            <w:hideMark/>
          </w:tcPr>
          <w:p w14:paraId="5EA7F268" w14:textId="73514A78" w:rsidR="00B3524C" w:rsidRPr="00B3524C" w:rsidRDefault="00B3524C" w:rsidP="00F651C2">
            <w:pPr>
              <w:spacing w:before="60" w:after="60" w:line="240" w:lineRule="auto"/>
              <w:jc w:val="center"/>
              <w:rPr>
                <w:sz w:val="18"/>
                <w:szCs w:val="18"/>
              </w:rPr>
            </w:pPr>
            <w:r w:rsidRPr="00B3524C">
              <w:rPr>
                <w:sz w:val="18"/>
                <w:szCs w:val="18"/>
              </w:rPr>
              <w:t xml:space="preserve">25 </w:t>
            </w:r>
            <w:r w:rsidR="00F651C2">
              <w:rPr>
                <w:sz w:val="18"/>
                <w:szCs w:val="18"/>
              </w:rPr>
              <w:t>Sep</w:t>
            </w:r>
            <w:r w:rsidRPr="00B3524C">
              <w:rPr>
                <w:sz w:val="18"/>
                <w:szCs w:val="18"/>
              </w:rPr>
              <w:t xml:space="preserve"> 2025</w:t>
            </w:r>
          </w:p>
        </w:tc>
        <w:tc>
          <w:tcPr>
            <w:tcW w:w="4224" w:type="pct"/>
            <w:hideMark/>
          </w:tcPr>
          <w:p w14:paraId="6C0B63A9" w14:textId="05373326" w:rsidR="00B3524C" w:rsidRPr="00B3524C" w:rsidRDefault="00664EB4" w:rsidP="00AD1F6D">
            <w:pPr>
              <w:spacing w:before="60" w:after="60" w:line="240" w:lineRule="auto"/>
              <w:ind w:left="121"/>
              <w:rPr>
                <w:sz w:val="18"/>
                <w:szCs w:val="18"/>
              </w:rPr>
            </w:pPr>
            <w:r>
              <w:rPr>
                <w:sz w:val="18"/>
                <w:szCs w:val="18"/>
              </w:rPr>
              <w:t>BNSSG</w:t>
            </w:r>
            <w:r w:rsidR="00B3524C" w:rsidRPr="00B3524C">
              <w:rPr>
                <w:sz w:val="18"/>
                <w:szCs w:val="18"/>
              </w:rPr>
              <w:t xml:space="preserve"> </w:t>
            </w:r>
            <w:r w:rsidR="00701C17">
              <w:rPr>
                <w:sz w:val="18"/>
                <w:szCs w:val="18"/>
              </w:rPr>
              <w:t>provided</w:t>
            </w:r>
            <w:r w:rsidR="00B3524C" w:rsidRPr="00B3524C">
              <w:rPr>
                <w:sz w:val="18"/>
                <w:szCs w:val="18"/>
              </w:rPr>
              <w:t xml:space="preserve"> further information to HTG in response to its</w:t>
            </w:r>
            <w:r w:rsidR="00701C17">
              <w:rPr>
                <w:sz w:val="18"/>
                <w:szCs w:val="18"/>
              </w:rPr>
              <w:t xml:space="preserve"> </w:t>
            </w:r>
            <w:r w:rsidR="00B3524C" w:rsidRPr="00B3524C">
              <w:rPr>
                <w:sz w:val="18"/>
                <w:szCs w:val="18"/>
              </w:rPr>
              <w:t>information</w:t>
            </w:r>
            <w:r w:rsidR="00701C17">
              <w:rPr>
                <w:sz w:val="18"/>
                <w:szCs w:val="18"/>
              </w:rPr>
              <w:t xml:space="preserve"> </w:t>
            </w:r>
            <w:r w:rsidR="00B3524C" w:rsidRPr="00B3524C">
              <w:rPr>
                <w:sz w:val="18"/>
                <w:szCs w:val="18"/>
              </w:rPr>
              <w:t>request</w:t>
            </w:r>
            <w:r w:rsidR="00030FC2">
              <w:rPr>
                <w:sz w:val="18"/>
                <w:szCs w:val="18"/>
              </w:rPr>
              <w:t>.</w:t>
            </w:r>
          </w:p>
        </w:tc>
      </w:tr>
      <w:tr w:rsidR="00B3524C" w:rsidRPr="00B3524C" w14:paraId="4A382DF4" w14:textId="77777777" w:rsidTr="009946C4">
        <w:trPr>
          <w:trHeight w:val="300"/>
        </w:trPr>
        <w:tc>
          <w:tcPr>
            <w:tcW w:w="776" w:type="pct"/>
            <w:hideMark/>
          </w:tcPr>
          <w:p w14:paraId="3D64BB10" w14:textId="52B74041" w:rsidR="00B3524C" w:rsidRPr="00B3524C" w:rsidRDefault="00B3524C" w:rsidP="00F651C2">
            <w:pPr>
              <w:spacing w:before="60" w:after="60" w:line="240" w:lineRule="auto"/>
              <w:jc w:val="center"/>
              <w:rPr>
                <w:sz w:val="18"/>
                <w:szCs w:val="18"/>
              </w:rPr>
            </w:pPr>
            <w:r w:rsidRPr="00B3524C">
              <w:rPr>
                <w:sz w:val="18"/>
                <w:szCs w:val="18"/>
              </w:rPr>
              <w:t xml:space="preserve">2 </w:t>
            </w:r>
            <w:r w:rsidR="00F651C2">
              <w:rPr>
                <w:sz w:val="18"/>
                <w:szCs w:val="18"/>
              </w:rPr>
              <w:t>Oct</w:t>
            </w:r>
            <w:r w:rsidRPr="00B3524C">
              <w:rPr>
                <w:sz w:val="18"/>
                <w:szCs w:val="18"/>
              </w:rPr>
              <w:t xml:space="preserve"> 2025</w:t>
            </w:r>
          </w:p>
        </w:tc>
        <w:tc>
          <w:tcPr>
            <w:tcW w:w="4224" w:type="pct"/>
            <w:hideMark/>
          </w:tcPr>
          <w:p w14:paraId="5C692EE0" w14:textId="72B75B7C" w:rsidR="00B3524C" w:rsidRPr="00B3524C" w:rsidRDefault="00B3524C" w:rsidP="00AD1F6D">
            <w:pPr>
              <w:spacing w:before="60" w:after="60" w:line="240" w:lineRule="auto"/>
              <w:ind w:left="121"/>
              <w:rPr>
                <w:sz w:val="18"/>
                <w:szCs w:val="18"/>
              </w:rPr>
            </w:pPr>
            <w:r w:rsidRPr="00B3524C">
              <w:rPr>
                <w:sz w:val="18"/>
                <w:szCs w:val="18"/>
              </w:rPr>
              <w:t>HTG,</w:t>
            </w:r>
            <w:r w:rsidR="00701C17">
              <w:rPr>
                <w:sz w:val="18"/>
                <w:szCs w:val="18"/>
              </w:rPr>
              <w:t xml:space="preserve"> </w:t>
            </w:r>
            <w:r w:rsidRPr="00B3524C">
              <w:rPr>
                <w:sz w:val="18"/>
                <w:szCs w:val="18"/>
              </w:rPr>
              <w:t>having reviewed the information</w:t>
            </w:r>
            <w:r w:rsidR="00701C17">
              <w:rPr>
                <w:sz w:val="18"/>
                <w:szCs w:val="18"/>
              </w:rPr>
              <w:t xml:space="preserve"> supplied </w:t>
            </w:r>
            <w:r w:rsidRPr="00B3524C">
              <w:rPr>
                <w:sz w:val="18"/>
                <w:szCs w:val="18"/>
              </w:rPr>
              <w:t xml:space="preserve">by </w:t>
            </w:r>
            <w:r w:rsidR="00664EB4">
              <w:rPr>
                <w:sz w:val="18"/>
                <w:szCs w:val="18"/>
              </w:rPr>
              <w:t>BNSSG</w:t>
            </w:r>
            <w:r w:rsidRPr="00B3524C">
              <w:rPr>
                <w:sz w:val="18"/>
                <w:szCs w:val="18"/>
              </w:rPr>
              <w:t>,</w:t>
            </w:r>
            <w:r w:rsidR="00701C17">
              <w:rPr>
                <w:sz w:val="18"/>
                <w:szCs w:val="18"/>
              </w:rPr>
              <w:t xml:space="preserve"> </w:t>
            </w:r>
            <w:r w:rsidRPr="00B3524C">
              <w:rPr>
                <w:sz w:val="18"/>
                <w:szCs w:val="18"/>
              </w:rPr>
              <w:t>submitted</w:t>
            </w:r>
            <w:r w:rsidR="00701C17">
              <w:rPr>
                <w:sz w:val="18"/>
                <w:szCs w:val="18"/>
              </w:rPr>
              <w:t xml:space="preserve"> </w:t>
            </w:r>
            <w:r w:rsidRPr="00B3524C">
              <w:rPr>
                <w:sz w:val="18"/>
                <w:szCs w:val="18"/>
              </w:rPr>
              <w:t>further representations</w:t>
            </w:r>
            <w:r w:rsidR="00701E00">
              <w:rPr>
                <w:sz w:val="18"/>
                <w:szCs w:val="18"/>
              </w:rPr>
              <w:t xml:space="preserve"> </w:t>
            </w:r>
            <w:r w:rsidRPr="00B3524C">
              <w:rPr>
                <w:sz w:val="18"/>
                <w:szCs w:val="18"/>
              </w:rPr>
              <w:t>and</w:t>
            </w:r>
            <w:r w:rsidR="00701E00">
              <w:rPr>
                <w:sz w:val="18"/>
                <w:szCs w:val="18"/>
              </w:rPr>
              <w:t xml:space="preserve"> </w:t>
            </w:r>
            <w:r w:rsidRPr="00B3524C">
              <w:rPr>
                <w:sz w:val="18"/>
                <w:szCs w:val="18"/>
              </w:rPr>
              <w:t>requested</w:t>
            </w:r>
            <w:r w:rsidR="00701E00">
              <w:rPr>
                <w:sz w:val="18"/>
                <w:szCs w:val="18"/>
              </w:rPr>
              <w:t xml:space="preserve"> </w:t>
            </w:r>
            <w:r w:rsidRPr="00B3524C">
              <w:rPr>
                <w:sz w:val="18"/>
                <w:szCs w:val="18"/>
              </w:rPr>
              <w:t>additional</w:t>
            </w:r>
            <w:r w:rsidR="00701E00">
              <w:rPr>
                <w:sz w:val="18"/>
                <w:szCs w:val="18"/>
              </w:rPr>
              <w:t xml:space="preserve"> </w:t>
            </w:r>
            <w:r w:rsidRPr="00B3524C">
              <w:rPr>
                <w:sz w:val="18"/>
                <w:szCs w:val="18"/>
              </w:rPr>
              <w:t>information.</w:t>
            </w:r>
          </w:p>
        </w:tc>
      </w:tr>
      <w:tr w:rsidR="00B3524C" w:rsidRPr="00B3524C" w14:paraId="1EB39255" w14:textId="77777777" w:rsidTr="009946C4">
        <w:trPr>
          <w:trHeight w:val="300"/>
        </w:trPr>
        <w:tc>
          <w:tcPr>
            <w:tcW w:w="776" w:type="pct"/>
            <w:hideMark/>
          </w:tcPr>
          <w:p w14:paraId="6847B6AA" w14:textId="272B3A37" w:rsidR="00B3524C" w:rsidRPr="00B3524C" w:rsidRDefault="00B3524C" w:rsidP="00F651C2">
            <w:pPr>
              <w:spacing w:before="60" w:after="60" w:line="240" w:lineRule="auto"/>
              <w:jc w:val="center"/>
              <w:rPr>
                <w:sz w:val="18"/>
                <w:szCs w:val="18"/>
              </w:rPr>
            </w:pPr>
            <w:r w:rsidRPr="00B3524C">
              <w:rPr>
                <w:sz w:val="18"/>
                <w:szCs w:val="18"/>
              </w:rPr>
              <w:t xml:space="preserve">7 </w:t>
            </w:r>
            <w:r w:rsidR="00F651C2">
              <w:rPr>
                <w:sz w:val="18"/>
                <w:szCs w:val="18"/>
              </w:rPr>
              <w:t>Oct</w:t>
            </w:r>
            <w:r w:rsidRPr="00B3524C">
              <w:rPr>
                <w:sz w:val="18"/>
                <w:szCs w:val="18"/>
              </w:rPr>
              <w:t xml:space="preserve"> 2025</w:t>
            </w:r>
          </w:p>
        </w:tc>
        <w:tc>
          <w:tcPr>
            <w:tcW w:w="4224" w:type="pct"/>
            <w:hideMark/>
          </w:tcPr>
          <w:p w14:paraId="483B1C25" w14:textId="589502DB" w:rsidR="00B3524C" w:rsidRPr="00B3524C" w:rsidRDefault="00664EB4" w:rsidP="00030FC2">
            <w:pPr>
              <w:spacing w:before="60" w:after="60" w:line="240" w:lineRule="auto"/>
              <w:ind w:left="121"/>
              <w:rPr>
                <w:sz w:val="18"/>
                <w:szCs w:val="18"/>
              </w:rPr>
            </w:pPr>
            <w:r>
              <w:rPr>
                <w:sz w:val="18"/>
                <w:szCs w:val="18"/>
              </w:rPr>
              <w:t>BNSSG</w:t>
            </w:r>
            <w:r w:rsidR="00B3524C" w:rsidRPr="00B3524C">
              <w:rPr>
                <w:sz w:val="18"/>
                <w:szCs w:val="18"/>
              </w:rPr>
              <w:t xml:space="preserve"> responded to HTG’s request for</w:t>
            </w:r>
            <w:r w:rsidR="00701E00">
              <w:rPr>
                <w:sz w:val="18"/>
                <w:szCs w:val="18"/>
              </w:rPr>
              <w:t xml:space="preserve"> </w:t>
            </w:r>
            <w:r w:rsidR="00B3524C" w:rsidRPr="00B3524C">
              <w:rPr>
                <w:sz w:val="18"/>
                <w:szCs w:val="18"/>
              </w:rPr>
              <w:t>additional</w:t>
            </w:r>
            <w:r w:rsidR="00701E00">
              <w:rPr>
                <w:sz w:val="18"/>
                <w:szCs w:val="18"/>
              </w:rPr>
              <w:t xml:space="preserve"> </w:t>
            </w:r>
            <w:r w:rsidR="00B3524C" w:rsidRPr="00B3524C">
              <w:rPr>
                <w:sz w:val="18"/>
                <w:szCs w:val="18"/>
              </w:rPr>
              <w:t>information, sharing</w:t>
            </w:r>
            <w:r w:rsidR="00701E00">
              <w:rPr>
                <w:sz w:val="18"/>
                <w:szCs w:val="18"/>
              </w:rPr>
              <w:t xml:space="preserve"> </w:t>
            </w:r>
            <w:r w:rsidR="00B3524C" w:rsidRPr="00B3524C">
              <w:rPr>
                <w:sz w:val="18"/>
                <w:szCs w:val="18"/>
              </w:rPr>
              <w:t>further documents</w:t>
            </w:r>
            <w:r w:rsidR="00701E00">
              <w:rPr>
                <w:sz w:val="18"/>
                <w:szCs w:val="18"/>
              </w:rPr>
              <w:t xml:space="preserve"> </w:t>
            </w:r>
            <w:r w:rsidR="00B3524C" w:rsidRPr="00B3524C">
              <w:rPr>
                <w:sz w:val="18"/>
                <w:szCs w:val="18"/>
              </w:rPr>
              <w:t>and</w:t>
            </w:r>
            <w:r w:rsidR="00701E00">
              <w:rPr>
                <w:sz w:val="18"/>
                <w:szCs w:val="18"/>
              </w:rPr>
              <w:t xml:space="preserve"> </w:t>
            </w:r>
            <w:r w:rsidR="00B3524C" w:rsidRPr="00B3524C">
              <w:rPr>
                <w:sz w:val="18"/>
                <w:szCs w:val="18"/>
              </w:rPr>
              <w:t>inviting</w:t>
            </w:r>
            <w:r w:rsidR="00701E00">
              <w:rPr>
                <w:sz w:val="18"/>
                <w:szCs w:val="18"/>
              </w:rPr>
              <w:t xml:space="preserve"> </w:t>
            </w:r>
            <w:r w:rsidR="00B3524C" w:rsidRPr="00B3524C">
              <w:rPr>
                <w:sz w:val="18"/>
                <w:szCs w:val="18"/>
              </w:rPr>
              <w:t xml:space="preserve">HTG to provide any further </w:t>
            </w:r>
            <w:r w:rsidR="00701E00">
              <w:rPr>
                <w:sz w:val="18"/>
                <w:szCs w:val="18"/>
              </w:rPr>
              <w:t xml:space="preserve">representations </w:t>
            </w:r>
            <w:r w:rsidR="00B3524C" w:rsidRPr="00B3524C">
              <w:rPr>
                <w:sz w:val="18"/>
                <w:szCs w:val="18"/>
              </w:rPr>
              <w:t>by midnight on 10</w:t>
            </w:r>
            <w:r w:rsidR="00701E00">
              <w:rPr>
                <w:sz w:val="18"/>
                <w:szCs w:val="18"/>
              </w:rPr>
              <w:t> </w:t>
            </w:r>
            <w:r w:rsidR="00B3524C" w:rsidRPr="00B3524C">
              <w:rPr>
                <w:sz w:val="18"/>
                <w:szCs w:val="18"/>
              </w:rPr>
              <w:t>October 2025.</w:t>
            </w:r>
          </w:p>
        </w:tc>
      </w:tr>
      <w:tr w:rsidR="00B3524C" w:rsidRPr="00B3524C" w14:paraId="05B3B4D9" w14:textId="77777777" w:rsidTr="009946C4">
        <w:trPr>
          <w:trHeight w:val="300"/>
        </w:trPr>
        <w:tc>
          <w:tcPr>
            <w:tcW w:w="776" w:type="pct"/>
            <w:hideMark/>
          </w:tcPr>
          <w:p w14:paraId="6A018704" w14:textId="66BA6596" w:rsidR="00B3524C" w:rsidRPr="00B3524C" w:rsidRDefault="00B3524C" w:rsidP="00F651C2">
            <w:pPr>
              <w:spacing w:before="60" w:after="60" w:line="240" w:lineRule="auto"/>
              <w:jc w:val="center"/>
              <w:rPr>
                <w:sz w:val="18"/>
                <w:szCs w:val="18"/>
              </w:rPr>
            </w:pPr>
            <w:r w:rsidRPr="00B3524C">
              <w:rPr>
                <w:sz w:val="18"/>
                <w:szCs w:val="18"/>
              </w:rPr>
              <w:t>9 Oct 2025</w:t>
            </w:r>
          </w:p>
        </w:tc>
        <w:tc>
          <w:tcPr>
            <w:tcW w:w="4224" w:type="pct"/>
            <w:hideMark/>
          </w:tcPr>
          <w:p w14:paraId="57A590E0" w14:textId="2B9F5E12" w:rsidR="00B3524C" w:rsidRPr="00B3524C" w:rsidRDefault="00B3524C" w:rsidP="00AD1F6D">
            <w:pPr>
              <w:spacing w:before="60" w:after="60" w:line="240" w:lineRule="auto"/>
              <w:ind w:left="121"/>
              <w:rPr>
                <w:sz w:val="18"/>
                <w:szCs w:val="18"/>
              </w:rPr>
            </w:pPr>
            <w:r w:rsidRPr="00B3524C">
              <w:rPr>
                <w:sz w:val="18"/>
                <w:szCs w:val="18"/>
              </w:rPr>
              <w:t>HTG,</w:t>
            </w:r>
            <w:r w:rsidR="00484800">
              <w:rPr>
                <w:sz w:val="18"/>
                <w:szCs w:val="18"/>
              </w:rPr>
              <w:t xml:space="preserve"> </w:t>
            </w:r>
            <w:r w:rsidRPr="00B3524C">
              <w:rPr>
                <w:sz w:val="18"/>
                <w:szCs w:val="18"/>
              </w:rPr>
              <w:t>having reviewed</w:t>
            </w:r>
            <w:r w:rsidR="00484800">
              <w:rPr>
                <w:sz w:val="18"/>
                <w:szCs w:val="18"/>
              </w:rPr>
              <w:t xml:space="preserve"> </w:t>
            </w:r>
            <w:r w:rsidR="00664EB4">
              <w:rPr>
                <w:sz w:val="18"/>
                <w:szCs w:val="18"/>
              </w:rPr>
              <w:t>BNSSG</w:t>
            </w:r>
            <w:r w:rsidRPr="00B3524C">
              <w:rPr>
                <w:sz w:val="18"/>
                <w:szCs w:val="18"/>
              </w:rPr>
              <w:t>’s response to its</w:t>
            </w:r>
            <w:r w:rsidR="00484800">
              <w:rPr>
                <w:sz w:val="18"/>
                <w:szCs w:val="18"/>
              </w:rPr>
              <w:t xml:space="preserve"> </w:t>
            </w:r>
            <w:r w:rsidRPr="00B3524C">
              <w:rPr>
                <w:sz w:val="18"/>
                <w:szCs w:val="18"/>
              </w:rPr>
              <w:t>additional</w:t>
            </w:r>
            <w:r w:rsidR="00484800">
              <w:rPr>
                <w:sz w:val="18"/>
                <w:szCs w:val="18"/>
              </w:rPr>
              <w:t xml:space="preserve"> </w:t>
            </w:r>
            <w:r w:rsidRPr="00B3524C">
              <w:rPr>
                <w:sz w:val="18"/>
                <w:szCs w:val="18"/>
              </w:rPr>
              <w:t>information requests,</w:t>
            </w:r>
            <w:r w:rsidR="00484800">
              <w:rPr>
                <w:sz w:val="18"/>
                <w:szCs w:val="18"/>
              </w:rPr>
              <w:t xml:space="preserve"> </w:t>
            </w:r>
            <w:r w:rsidRPr="00B3524C">
              <w:rPr>
                <w:sz w:val="18"/>
                <w:szCs w:val="18"/>
              </w:rPr>
              <w:t>submitted</w:t>
            </w:r>
            <w:r w:rsidR="00484800">
              <w:rPr>
                <w:sz w:val="18"/>
                <w:szCs w:val="18"/>
              </w:rPr>
              <w:t xml:space="preserve"> </w:t>
            </w:r>
            <w:r w:rsidRPr="00B3524C">
              <w:rPr>
                <w:sz w:val="18"/>
                <w:szCs w:val="18"/>
              </w:rPr>
              <w:t>further</w:t>
            </w:r>
            <w:r w:rsidR="00484800">
              <w:rPr>
                <w:sz w:val="18"/>
                <w:szCs w:val="18"/>
              </w:rPr>
              <w:t xml:space="preserve"> </w:t>
            </w:r>
            <w:r w:rsidRPr="00B3524C">
              <w:rPr>
                <w:sz w:val="18"/>
                <w:szCs w:val="18"/>
              </w:rPr>
              <w:t xml:space="preserve">representations to </w:t>
            </w:r>
            <w:r w:rsidR="00664EB4">
              <w:rPr>
                <w:sz w:val="18"/>
                <w:szCs w:val="18"/>
              </w:rPr>
              <w:t>BNSSG</w:t>
            </w:r>
            <w:r w:rsidRPr="00B3524C">
              <w:rPr>
                <w:sz w:val="18"/>
                <w:szCs w:val="18"/>
              </w:rPr>
              <w:t>.</w:t>
            </w:r>
          </w:p>
        </w:tc>
      </w:tr>
      <w:tr w:rsidR="00B3524C" w:rsidRPr="00B3524C" w14:paraId="26F13A71" w14:textId="77777777" w:rsidTr="009946C4">
        <w:trPr>
          <w:trHeight w:val="300"/>
        </w:trPr>
        <w:tc>
          <w:tcPr>
            <w:tcW w:w="776" w:type="pct"/>
            <w:hideMark/>
          </w:tcPr>
          <w:p w14:paraId="5A2DA9A5" w14:textId="5770CC11" w:rsidR="00B3524C" w:rsidRPr="00B3524C" w:rsidRDefault="00B3524C" w:rsidP="00F651C2">
            <w:pPr>
              <w:spacing w:before="60" w:after="60" w:line="240" w:lineRule="auto"/>
              <w:jc w:val="center"/>
              <w:rPr>
                <w:sz w:val="18"/>
                <w:szCs w:val="18"/>
              </w:rPr>
            </w:pPr>
            <w:r w:rsidRPr="00B3524C">
              <w:rPr>
                <w:sz w:val="18"/>
                <w:szCs w:val="18"/>
              </w:rPr>
              <w:t>28 Oct 2025</w:t>
            </w:r>
          </w:p>
        </w:tc>
        <w:tc>
          <w:tcPr>
            <w:tcW w:w="4224" w:type="pct"/>
            <w:hideMark/>
          </w:tcPr>
          <w:p w14:paraId="24D1FD5A" w14:textId="4F9F0BA0" w:rsidR="00B3524C" w:rsidRPr="00B3524C" w:rsidRDefault="00664EB4" w:rsidP="00AD1F6D">
            <w:pPr>
              <w:spacing w:before="60" w:after="60" w:line="240" w:lineRule="auto"/>
              <w:ind w:left="121"/>
              <w:rPr>
                <w:sz w:val="18"/>
                <w:szCs w:val="18"/>
              </w:rPr>
            </w:pPr>
            <w:r>
              <w:rPr>
                <w:sz w:val="18"/>
                <w:szCs w:val="18"/>
              </w:rPr>
              <w:t>BNSSG</w:t>
            </w:r>
            <w:r w:rsidR="00484800">
              <w:rPr>
                <w:sz w:val="18"/>
                <w:szCs w:val="18"/>
              </w:rPr>
              <w:t xml:space="preserve"> </w:t>
            </w:r>
            <w:r w:rsidR="00B3524C" w:rsidRPr="00B3524C">
              <w:rPr>
                <w:sz w:val="18"/>
                <w:szCs w:val="18"/>
              </w:rPr>
              <w:t>responded</w:t>
            </w:r>
            <w:r w:rsidR="00484800">
              <w:rPr>
                <w:sz w:val="18"/>
                <w:szCs w:val="18"/>
              </w:rPr>
              <w:t xml:space="preserve"> </w:t>
            </w:r>
            <w:r w:rsidR="00B3524C" w:rsidRPr="00B3524C">
              <w:rPr>
                <w:sz w:val="18"/>
                <w:szCs w:val="18"/>
              </w:rPr>
              <w:t>to HTG’s</w:t>
            </w:r>
            <w:r w:rsidR="00484800">
              <w:rPr>
                <w:sz w:val="18"/>
                <w:szCs w:val="18"/>
              </w:rPr>
              <w:t xml:space="preserve"> </w:t>
            </w:r>
            <w:r w:rsidR="00B3524C" w:rsidRPr="00B3524C">
              <w:rPr>
                <w:sz w:val="18"/>
                <w:szCs w:val="18"/>
              </w:rPr>
              <w:t>and BAEMS’</w:t>
            </w:r>
            <w:r w:rsidR="00484800">
              <w:rPr>
                <w:sz w:val="18"/>
                <w:szCs w:val="18"/>
              </w:rPr>
              <w:t xml:space="preserve"> </w:t>
            </w:r>
            <w:r w:rsidR="00B3524C" w:rsidRPr="00B3524C">
              <w:rPr>
                <w:sz w:val="18"/>
                <w:szCs w:val="18"/>
              </w:rPr>
              <w:t>representations and communicated its further decision to continue with the contract award to EMED, as originally intended.</w:t>
            </w:r>
          </w:p>
        </w:tc>
      </w:tr>
    </w:tbl>
    <w:p w14:paraId="06764730" w14:textId="77777777" w:rsidR="00827EC4" w:rsidRPr="00F21EFD" w:rsidRDefault="00827EC4" w:rsidP="00F21EFD">
      <w:pPr>
        <w:pStyle w:val="ListParagraph"/>
        <w:numPr>
          <w:ilvl w:val="0"/>
          <w:numId w:val="0"/>
        </w:numPr>
        <w:spacing w:before="60" w:after="360"/>
        <w:ind w:left="567"/>
        <w:rPr>
          <w:sz w:val="16"/>
          <w:szCs w:val="16"/>
        </w:rPr>
      </w:pPr>
    </w:p>
    <w:p w14:paraId="1D82125B" w14:textId="64E37E6F" w:rsidR="00C0224A" w:rsidRPr="009005D2" w:rsidRDefault="00373A09" w:rsidP="007143B9">
      <w:pPr>
        <w:pStyle w:val="ListParagraph"/>
        <w:ind w:left="567" w:hanging="567"/>
      </w:pPr>
      <w:r>
        <w:t xml:space="preserve">On 28 October 2025, BNSSG </w:t>
      </w:r>
      <w:r w:rsidR="00732748">
        <w:t xml:space="preserve">told BAEMS and HTG of </w:t>
      </w:r>
      <w:r w:rsidR="007143B9">
        <w:t xml:space="preserve">its further decision to continue with the contract award to EMED. </w:t>
      </w:r>
      <w:r w:rsidR="00F7121D" w:rsidRPr="009005D2">
        <w:t xml:space="preserve">On 30 October 2025, HTG asked the Panel </w:t>
      </w:r>
      <w:r w:rsidR="00C0224A" w:rsidRPr="009005D2">
        <w:t xml:space="preserve">to review </w:t>
      </w:r>
      <w:r w:rsidR="00664EB4">
        <w:t>BNSSG</w:t>
      </w:r>
      <w:r w:rsidR="00F7121D" w:rsidRPr="009005D2">
        <w:t>’s</w:t>
      </w:r>
      <w:r w:rsidR="00C0224A" w:rsidRPr="009005D2">
        <w:t xml:space="preserve"> provider selection</w:t>
      </w:r>
      <w:r w:rsidR="002F58BE" w:rsidRPr="009005D2">
        <w:t xml:space="preserve"> process</w:t>
      </w:r>
      <w:r w:rsidR="009005D2" w:rsidRPr="009005D2">
        <w:t>, and on 31 October</w:t>
      </w:r>
      <w:r w:rsidR="009005D2">
        <w:t xml:space="preserve"> 2025</w:t>
      </w:r>
      <w:r w:rsidR="009005D2" w:rsidRPr="009005D2">
        <w:t xml:space="preserve"> BAEMS requested the same. </w:t>
      </w:r>
      <w:r w:rsidR="00C0224A" w:rsidRPr="009005D2">
        <w:t xml:space="preserve">The Panel accepted </w:t>
      </w:r>
      <w:r w:rsidR="009005D2" w:rsidRPr="009005D2">
        <w:t>both</w:t>
      </w:r>
      <w:r w:rsidR="00C0224A" w:rsidRPr="009005D2">
        <w:t xml:space="preserve"> request</w:t>
      </w:r>
      <w:r w:rsidR="009005D2" w:rsidRPr="009005D2">
        <w:t xml:space="preserve">s </w:t>
      </w:r>
      <w:r w:rsidR="00C0224A" w:rsidRPr="009005D2">
        <w:t>on</w:t>
      </w:r>
      <w:r w:rsidR="00232970" w:rsidRPr="009005D2">
        <w:t xml:space="preserve"> </w:t>
      </w:r>
      <w:r w:rsidR="009005D2" w:rsidRPr="009005D2">
        <w:t>4</w:t>
      </w:r>
      <w:r w:rsidR="00387D42" w:rsidRPr="009005D2">
        <w:t> </w:t>
      </w:r>
      <w:r w:rsidR="00232970" w:rsidRPr="009005D2">
        <w:t>November 2025</w:t>
      </w:r>
      <w:r w:rsidR="00C0224A" w:rsidRPr="009005D2">
        <w:t xml:space="preserve">. On being made aware of the Panel’s acceptance decision, </w:t>
      </w:r>
      <w:r w:rsidR="00664EB4">
        <w:t>BNSSG</w:t>
      </w:r>
      <w:r w:rsidR="00C0224A" w:rsidRPr="009005D2">
        <w:t xml:space="preserve"> confirmed that it would hold the standstill period open for the duration of the Panel’s review</w:t>
      </w:r>
      <w:r w:rsidR="002F58BE" w:rsidRPr="009005D2">
        <w:t>.</w:t>
      </w:r>
    </w:p>
    <w:p w14:paraId="22D57282" w14:textId="70C59C39" w:rsidR="00E71303" w:rsidRPr="0038372A" w:rsidRDefault="00C0224A" w:rsidP="00320065">
      <w:pPr>
        <w:pStyle w:val="Heading1"/>
      </w:pPr>
      <w:bookmarkStart w:id="19" w:name="_Toc220417388"/>
      <w:r w:rsidRPr="0038372A">
        <w:t xml:space="preserve">Representations by </w:t>
      </w:r>
      <w:r w:rsidR="00AD6B7D" w:rsidRPr="0038372A">
        <w:t>HTG and BAEMS</w:t>
      </w:r>
      <w:bookmarkEnd w:id="19"/>
    </w:p>
    <w:p w14:paraId="0FD3D7C8" w14:textId="10F68036" w:rsidR="00F114AC" w:rsidRPr="0038372A" w:rsidRDefault="00F114AC" w:rsidP="00AB4174">
      <w:pPr>
        <w:pStyle w:val="ListParagraph"/>
        <w:ind w:left="567" w:hanging="567"/>
      </w:pPr>
      <w:bookmarkStart w:id="20" w:name="_Ref215576957"/>
      <w:r w:rsidRPr="0038372A">
        <w:t xml:space="preserve">This section sets out HTG’s and BAEMS’ concerns about </w:t>
      </w:r>
      <w:r w:rsidR="00664EB4">
        <w:t>BNSSG</w:t>
      </w:r>
      <w:r w:rsidRPr="0038372A">
        <w:t xml:space="preserve">’s provider selection process for </w:t>
      </w:r>
      <w:r w:rsidR="008604DE">
        <w:t>P</w:t>
      </w:r>
      <w:r w:rsidR="002E57E9">
        <w:t>lanned</w:t>
      </w:r>
      <w:r w:rsidR="00736C8E" w:rsidRPr="0038372A">
        <w:t xml:space="preserve"> NEPTS in Bristol, North Somerset and South Gloucestershire, as summarised in their representations to the Panel.</w:t>
      </w:r>
    </w:p>
    <w:p w14:paraId="6064BA19" w14:textId="660D15C9" w:rsidR="00736C8E" w:rsidRPr="00736C8E" w:rsidRDefault="00736C8E" w:rsidP="00100C40">
      <w:pPr>
        <w:pStyle w:val="Heading2"/>
        <w:spacing w:before="240" w:after="160"/>
      </w:pPr>
      <w:bookmarkStart w:id="21" w:name="_Toc220417389"/>
      <w:r>
        <w:t xml:space="preserve">5.1 </w:t>
      </w:r>
      <w:r w:rsidR="0038372A">
        <w:t>Representations by HTG</w:t>
      </w:r>
      <w:bookmarkEnd w:id="21"/>
    </w:p>
    <w:p w14:paraId="71CCF0B7" w14:textId="1CC51B0A" w:rsidR="00C661C3" w:rsidRDefault="0038372A" w:rsidP="00AB4174">
      <w:pPr>
        <w:pStyle w:val="ListParagraph"/>
        <w:ind w:left="567" w:hanging="567"/>
      </w:pPr>
      <w:bookmarkStart w:id="22" w:name="_Ref216872950"/>
      <w:r w:rsidRPr="0038372A">
        <w:t>HTG’s</w:t>
      </w:r>
      <w:r w:rsidR="00C661C3" w:rsidRPr="0038372A">
        <w:t xml:space="preserve"> concerns, as </w:t>
      </w:r>
      <w:r w:rsidR="002E57E9">
        <w:t>set out</w:t>
      </w:r>
      <w:r w:rsidR="00C661C3" w:rsidRPr="0038372A">
        <w:t xml:space="preserve"> in its representations to the Panel, were as follows:</w:t>
      </w:r>
      <w:bookmarkEnd w:id="20"/>
      <w:bookmarkEnd w:id="22"/>
    </w:p>
    <w:p w14:paraId="1DEC7E07" w14:textId="2EA39DBB" w:rsidR="00906C48" w:rsidRDefault="00906C48" w:rsidP="008C7D0C">
      <w:pPr>
        <w:pStyle w:val="ListParagraph"/>
        <w:numPr>
          <w:ilvl w:val="0"/>
          <w:numId w:val="0"/>
        </w:numPr>
        <w:spacing w:after="120" w:line="259" w:lineRule="auto"/>
        <w:ind w:left="851"/>
        <w:rPr>
          <w:sz w:val="21"/>
          <w:szCs w:val="21"/>
        </w:rPr>
      </w:pPr>
      <w:r w:rsidRPr="00906C48">
        <w:rPr>
          <w:sz w:val="21"/>
          <w:szCs w:val="21"/>
        </w:rPr>
        <w:t xml:space="preserve">“This procurement arises in the context of a considerable dispute concerning a previous procurement for these services. EMED, the alleged successful bidder in the current </w:t>
      </w:r>
      <w:r w:rsidRPr="00906C48">
        <w:rPr>
          <w:sz w:val="21"/>
          <w:szCs w:val="21"/>
        </w:rPr>
        <w:lastRenderedPageBreak/>
        <w:t xml:space="preserve">procurement, previously operated this same service over seven years to 2024 and HTG understands that their performance was sub-standard. The ICB undertook a </w:t>
      </w:r>
      <w:r>
        <w:rPr>
          <w:sz w:val="21"/>
          <w:szCs w:val="21"/>
        </w:rPr>
        <w:t>p</w:t>
      </w:r>
      <w:r w:rsidRPr="00906C48">
        <w:rPr>
          <w:sz w:val="21"/>
          <w:szCs w:val="21"/>
        </w:rPr>
        <w:t>rocurement for the service that ended in 2023 with a contract award to SVL to commence in the summer of 2024. EMED issued Court proceedings against the authority in relation to this decision. Upon commencing the service in the summer of 2024, SVL entered insolvency within a month, and the authority awarded a step-in contract to a third party. EMED duly brought further legal proceedings in relation to this decision.</w:t>
      </w:r>
    </w:p>
    <w:p w14:paraId="170FB3A6" w14:textId="2850AE97" w:rsidR="00906C48" w:rsidRDefault="002E57E9" w:rsidP="008C7D0C">
      <w:pPr>
        <w:pStyle w:val="ListParagraph"/>
        <w:numPr>
          <w:ilvl w:val="0"/>
          <w:numId w:val="0"/>
        </w:numPr>
        <w:spacing w:after="120" w:line="259" w:lineRule="auto"/>
        <w:ind w:left="851"/>
        <w:rPr>
          <w:sz w:val="21"/>
          <w:szCs w:val="21"/>
        </w:rPr>
      </w:pPr>
      <w:r>
        <w:rPr>
          <w:sz w:val="21"/>
          <w:szCs w:val="21"/>
        </w:rPr>
        <w:t>“</w:t>
      </w:r>
      <w:r w:rsidR="00906C48" w:rsidRPr="00906C48">
        <w:rPr>
          <w:sz w:val="21"/>
          <w:szCs w:val="21"/>
        </w:rPr>
        <w:t>This current procurement therefore arises against a backdrop of EMED having pursued substantial litigation against the ICB. The subsequent manner in which the current procurement has been conducted and scored leads HTG to conclude that the procurement has not been a fair or well-managed process and that it has seemingly been infected by manifest unfairness and a desire to award a contract to EMED, perhaps fuelled by a wish to avoid further litigation.</w:t>
      </w:r>
    </w:p>
    <w:p w14:paraId="4E67F66F" w14:textId="55E6D8BD" w:rsidR="00906C48" w:rsidRDefault="002E57E9" w:rsidP="008C7D0C">
      <w:pPr>
        <w:pStyle w:val="ListParagraph"/>
        <w:numPr>
          <w:ilvl w:val="0"/>
          <w:numId w:val="0"/>
        </w:numPr>
        <w:spacing w:after="120" w:line="259" w:lineRule="auto"/>
        <w:ind w:left="851"/>
        <w:rPr>
          <w:sz w:val="21"/>
          <w:szCs w:val="21"/>
        </w:rPr>
      </w:pPr>
      <w:r>
        <w:rPr>
          <w:sz w:val="21"/>
          <w:szCs w:val="21"/>
        </w:rPr>
        <w:t>“</w:t>
      </w:r>
      <w:r w:rsidR="00906C48" w:rsidRPr="00906C48">
        <w:rPr>
          <w:sz w:val="21"/>
          <w:szCs w:val="21"/>
        </w:rPr>
        <w:t>A somewhat novel way in which the procurement has been infected is the use by the ICB of abnormally low character limits for responses to scored quality questions. Broadly speaking, the ICB has halved the number of characters available for bidders to use to respond to such questions when compared to the procurement process run in 2023 meaning that character limits of between only 4,200 and 8,400 were available to bidders when answering scored quality questions that were often complex and multi-faceted. Whilst such character limits applied equally to all bidders, any incumbent provider (which in this case is EMED, given it operated the service to 2024) is at an obvious advantage to all other bidders as it has intimate knowledge of the key issues facing the service.</w:t>
      </w:r>
    </w:p>
    <w:p w14:paraId="32634CEB" w14:textId="1415A148" w:rsidR="00906C48" w:rsidRDefault="002E57E9" w:rsidP="008C7D0C">
      <w:pPr>
        <w:pStyle w:val="ListParagraph"/>
        <w:numPr>
          <w:ilvl w:val="0"/>
          <w:numId w:val="0"/>
        </w:numPr>
        <w:spacing w:after="120" w:line="259" w:lineRule="auto"/>
        <w:ind w:left="851"/>
        <w:rPr>
          <w:sz w:val="21"/>
          <w:szCs w:val="21"/>
        </w:rPr>
      </w:pPr>
      <w:r>
        <w:rPr>
          <w:sz w:val="21"/>
          <w:szCs w:val="21"/>
        </w:rPr>
        <w:t>“</w:t>
      </w:r>
      <w:r w:rsidR="00906C48" w:rsidRPr="00906C48">
        <w:rPr>
          <w:sz w:val="21"/>
          <w:szCs w:val="21"/>
        </w:rPr>
        <w:t>In addition, having imposed abnormally low character limits for the scored quality questions, the ICB has exhibited manifest unfairness by seeking to criticise HTG (and, it is assumed, other bidders) for a lack of detail in relation to responses to certain, complex questions.</w:t>
      </w:r>
    </w:p>
    <w:p w14:paraId="2F9FB3C0" w14:textId="1CD8F9BC" w:rsidR="00906C48" w:rsidRDefault="002E57E9" w:rsidP="008C7D0C">
      <w:pPr>
        <w:pStyle w:val="ListParagraph"/>
        <w:numPr>
          <w:ilvl w:val="0"/>
          <w:numId w:val="0"/>
        </w:numPr>
        <w:spacing w:after="120" w:line="259" w:lineRule="auto"/>
        <w:ind w:left="851"/>
        <w:rPr>
          <w:sz w:val="21"/>
          <w:szCs w:val="21"/>
        </w:rPr>
      </w:pPr>
      <w:r>
        <w:rPr>
          <w:sz w:val="21"/>
          <w:szCs w:val="21"/>
        </w:rPr>
        <w:t>“</w:t>
      </w:r>
      <w:r w:rsidR="00906C48" w:rsidRPr="00906C48">
        <w:rPr>
          <w:sz w:val="21"/>
          <w:szCs w:val="21"/>
        </w:rPr>
        <w:t>HTG also maintains that irrational decisions and/or manifest errors have been made by the ICB over and above the issue of abnormally low character limits in the scoring of HTG's response to specific scored quality questions. HTG also avers that the ICB has committed breaches of the Invitation to Tender and the Regulations by unlawfully allowing EMED to modify its response to questions and/or amend its bid. This resulted in EMED being awarded a higher score in the procurement than it should have.</w:t>
      </w:r>
    </w:p>
    <w:p w14:paraId="55D79B8A" w14:textId="0D7581C3" w:rsidR="00906C48" w:rsidRPr="00906C48" w:rsidRDefault="002E57E9" w:rsidP="008C7D0C">
      <w:pPr>
        <w:pStyle w:val="ListParagraph"/>
        <w:numPr>
          <w:ilvl w:val="0"/>
          <w:numId w:val="0"/>
        </w:numPr>
        <w:spacing w:line="259" w:lineRule="auto"/>
        <w:ind w:left="851"/>
        <w:rPr>
          <w:sz w:val="21"/>
          <w:szCs w:val="21"/>
        </w:rPr>
      </w:pPr>
      <w:r>
        <w:rPr>
          <w:sz w:val="21"/>
          <w:szCs w:val="21"/>
        </w:rPr>
        <w:t>“</w:t>
      </w:r>
      <w:r w:rsidR="00906C48" w:rsidRPr="00906C48">
        <w:rPr>
          <w:sz w:val="21"/>
          <w:szCs w:val="21"/>
        </w:rPr>
        <w:t>Ultimately, HTG avers that the ICB has breached Regulation 4(b)</w:t>
      </w:r>
      <w:r w:rsidR="004D24FD">
        <w:rPr>
          <w:rStyle w:val="FootnoteReference"/>
          <w:sz w:val="21"/>
          <w:szCs w:val="21"/>
        </w:rPr>
        <w:footnoteReference w:id="27"/>
      </w:r>
      <w:r w:rsidR="00906C48" w:rsidRPr="00906C48">
        <w:rPr>
          <w:sz w:val="21"/>
          <w:szCs w:val="21"/>
        </w:rPr>
        <w:t>, because the procurement has not been undertaken fairly, and Regulation 11(5), because the ICB has not assessed offers received in accordance with the contract or framework award criteria.</w:t>
      </w:r>
      <w:r w:rsidR="00906C48">
        <w:rPr>
          <w:sz w:val="21"/>
          <w:szCs w:val="21"/>
        </w:rPr>
        <w:t>”</w:t>
      </w:r>
    </w:p>
    <w:p w14:paraId="65ED0AA8" w14:textId="260443DF" w:rsidR="0038372A" w:rsidRPr="00736C8E" w:rsidRDefault="0038372A" w:rsidP="00100C40">
      <w:pPr>
        <w:pStyle w:val="Heading2"/>
        <w:spacing w:before="240" w:after="160"/>
      </w:pPr>
      <w:bookmarkStart w:id="23" w:name="_Toc220417390"/>
      <w:r>
        <w:t>5.2. Representations by BAEMS</w:t>
      </w:r>
      <w:bookmarkEnd w:id="23"/>
    </w:p>
    <w:p w14:paraId="51BEB981" w14:textId="547D4D6F" w:rsidR="0038372A" w:rsidRDefault="0038372A" w:rsidP="00AB4174">
      <w:pPr>
        <w:pStyle w:val="ListParagraph"/>
        <w:ind w:left="567" w:hanging="567"/>
      </w:pPr>
      <w:bookmarkStart w:id="24" w:name="_Ref216869970"/>
      <w:r>
        <w:t>BAEMS’</w:t>
      </w:r>
      <w:r w:rsidRPr="0038372A">
        <w:t xml:space="preserve"> concerns, as </w:t>
      </w:r>
      <w:r w:rsidR="002E57E9">
        <w:t>set out</w:t>
      </w:r>
      <w:r w:rsidRPr="0038372A">
        <w:t xml:space="preserve"> in its representations to the Panel, were as follows:</w:t>
      </w:r>
      <w:bookmarkEnd w:id="24"/>
    </w:p>
    <w:p w14:paraId="135CAB2D" w14:textId="4BFF2147" w:rsidR="00CB7C52" w:rsidRDefault="00906C48" w:rsidP="008C7D0C">
      <w:pPr>
        <w:pStyle w:val="ListParagraph"/>
        <w:numPr>
          <w:ilvl w:val="0"/>
          <w:numId w:val="0"/>
        </w:numPr>
        <w:spacing w:after="120" w:line="259" w:lineRule="auto"/>
        <w:ind w:left="851"/>
        <w:rPr>
          <w:sz w:val="21"/>
          <w:szCs w:val="21"/>
        </w:rPr>
      </w:pPr>
      <w:r w:rsidRPr="00CB7C52">
        <w:rPr>
          <w:sz w:val="21"/>
          <w:szCs w:val="21"/>
        </w:rPr>
        <w:t>“</w:t>
      </w:r>
      <w:r w:rsidR="00CB7C52" w:rsidRPr="00CB7C52">
        <w:rPr>
          <w:sz w:val="21"/>
          <w:szCs w:val="21"/>
        </w:rPr>
        <w:t>The allegation of conflict of interest</w:t>
      </w:r>
    </w:p>
    <w:p w14:paraId="07AA78D4" w14:textId="242A66FB" w:rsidR="00CB7C52"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 xml:space="preserve">The ICB itself faced a potential conflict (because it was involved in litigation with the successful tenderer, EMED Group) but did not manage that conflict appropriately as in order to do so the decision makers should have been independent of the ICB itself. To compound that issue, the decision to reject the allegation of conflict should itself have </w:t>
      </w:r>
      <w:r w:rsidR="00CB7C52" w:rsidRPr="00CB7C52">
        <w:rPr>
          <w:sz w:val="21"/>
          <w:szCs w:val="21"/>
        </w:rPr>
        <w:lastRenderedPageBreak/>
        <w:t>been made by individuals who were independent of the ICB, but it was not. The ICB's responses on this point are wrong in law.</w:t>
      </w:r>
    </w:p>
    <w:p w14:paraId="7A23137A" w14:textId="20FD5D7A" w:rsidR="00CB7C52"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The allegation of bias</w:t>
      </w:r>
    </w:p>
    <w:p w14:paraId="65975B5A" w14:textId="2E6A0C74"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This is a separate allegation, arising not under the 2023 Regulations but under the common law. A public body has a duty to avoid bias or the appearance of bias in its decision making. The test for apparent bias is set out in Magill vs Porter [2001] UKHR 67, which provides: "The question is whether the fair-minded and informed observer, having considered the facts, will conclude that there was a real possibility that the Tribunal was biased". For the reasons set out above there was a real possibility that the ICB will have been biased in its decision making, and therefore the decision to award the contract should have been made by individuals other than the ICB. Otherwise, the appearance of bias was not avoided, and the decision making was unfair.</w:t>
      </w:r>
    </w:p>
    <w:p w14:paraId="46590977" w14:textId="70B1EFEF"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Exclusion of relevant material</w:t>
      </w:r>
    </w:p>
    <w:p w14:paraId="2F6C02DA" w14:textId="22436B29"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Regulation 11 of the 2023 Regulations provides that the Authority should determine the contract or framework award criteria taking into account the key criteria and applying the basic criteria. The 2023 regulations do not provide that relevant material should be excluded from consideration by the assessors. In spite of this the ITT at C.5.1 provides that no prior information or knowledge of bidders will be used, unless the information provided by a bidder is known to be false or inaccurate, and the Guidance for a</w:t>
      </w:r>
      <w:r w:rsidR="000E54DE">
        <w:rPr>
          <w:sz w:val="21"/>
          <w:szCs w:val="21"/>
        </w:rPr>
        <w:t>ss</w:t>
      </w:r>
      <w:r w:rsidR="00CB7C52" w:rsidRPr="00CB7C52">
        <w:rPr>
          <w:sz w:val="21"/>
          <w:szCs w:val="21"/>
        </w:rPr>
        <w:t>essors prohibits them from using previous experience of dealing with the bidder. Excluding relevant material or previous experience in this manner is not consistent where the requirement to improve the quality and efficiency of the services, and to act transparently, fairly and proportionately.</w:t>
      </w:r>
    </w:p>
    <w:p w14:paraId="3449862F" w14:textId="28B7A7CF"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Unfair advantage</w:t>
      </w:r>
    </w:p>
    <w:p w14:paraId="32494AF1" w14:textId="6B3EED81"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It is alleged that during the Disclosure process in the litigation referred to above EMED will have obtained material that gave them an unfair advantage in the Procurement. In response the ICB say that (i) any such material is irrelevant as it does not relate to the current Procurement and (ii) any such material would not prove a material advantage to EMED in any event. Point (i) is incorrect; the material disclosed is directly relevant to the current Procurement process, as it gave EMED a "behind the scenes" insight into the way in which all such bids are assessed. Point (ii) is in effect the same as point (i), as the ICB considers the material disclosed did not give an unfair advantage as the current procurement is "entirely independent of any previous PTS procurement". This does not properly address the point being made.</w:t>
      </w:r>
    </w:p>
    <w:p w14:paraId="0E749ABA" w14:textId="42F57194" w:rsidR="00D0673F" w:rsidRDefault="002E57E9" w:rsidP="008C7D0C">
      <w:pPr>
        <w:pStyle w:val="ListParagraph"/>
        <w:numPr>
          <w:ilvl w:val="0"/>
          <w:numId w:val="0"/>
        </w:numPr>
        <w:spacing w:after="120" w:line="259" w:lineRule="auto"/>
        <w:ind w:left="851"/>
        <w:rPr>
          <w:sz w:val="21"/>
          <w:szCs w:val="21"/>
        </w:rPr>
      </w:pPr>
      <w:r>
        <w:rPr>
          <w:sz w:val="21"/>
          <w:szCs w:val="21"/>
        </w:rPr>
        <w:t>“</w:t>
      </w:r>
      <w:r w:rsidR="00CB7C52" w:rsidRPr="00CB7C52">
        <w:rPr>
          <w:sz w:val="21"/>
          <w:szCs w:val="21"/>
        </w:rPr>
        <w:t>Errors in scoring</w:t>
      </w:r>
    </w:p>
    <w:p w14:paraId="32117F44" w14:textId="3BDAA750" w:rsidR="00906C48" w:rsidRPr="00CB7C52" w:rsidRDefault="002E57E9" w:rsidP="008C7D0C">
      <w:pPr>
        <w:pStyle w:val="ListParagraph"/>
        <w:numPr>
          <w:ilvl w:val="0"/>
          <w:numId w:val="0"/>
        </w:numPr>
        <w:spacing w:line="259" w:lineRule="auto"/>
        <w:ind w:left="851"/>
        <w:rPr>
          <w:sz w:val="21"/>
          <w:szCs w:val="21"/>
        </w:rPr>
      </w:pPr>
      <w:r>
        <w:rPr>
          <w:sz w:val="21"/>
          <w:szCs w:val="21"/>
        </w:rPr>
        <w:t>“</w:t>
      </w:r>
      <w:r w:rsidR="00CB7C52" w:rsidRPr="00CB7C52">
        <w:rPr>
          <w:sz w:val="21"/>
          <w:szCs w:val="21"/>
        </w:rPr>
        <w:t>The second example given was that it was factually incorrect to say that BAEMs did not include "Whole Time Equivalent Numbers" in their organisational chart. The ICB has addressed a different issue – that BAEM's response was limited and could only be given a score of 1. That does not address the allegation properly.</w:t>
      </w:r>
      <w:r w:rsidR="00D0673F">
        <w:rPr>
          <w:sz w:val="21"/>
          <w:szCs w:val="21"/>
        </w:rPr>
        <w:t>”</w:t>
      </w:r>
    </w:p>
    <w:p w14:paraId="48F78A56" w14:textId="23790B0D" w:rsidR="00025674" w:rsidRPr="009E5254" w:rsidRDefault="00025674" w:rsidP="00320065">
      <w:pPr>
        <w:pStyle w:val="Heading1"/>
      </w:pPr>
      <w:bookmarkStart w:id="25" w:name="_Toc220417391"/>
      <w:r w:rsidRPr="009E5254">
        <w:t>PSR regulations relevant to this review</w:t>
      </w:r>
      <w:bookmarkEnd w:id="25"/>
    </w:p>
    <w:p w14:paraId="1120318E" w14:textId="34E398DF" w:rsidR="00402D52" w:rsidRPr="00CA5ADF" w:rsidRDefault="00B34EF2" w:rsidP="00AB4174">
      <w:pPr>
        <w:pStyle w:val="ListParagraph"/>
        <w:ind w:left="567" w:hanging="567"/>
      </w:pPr>
      <w:r w:rsidRPr="00CA5ADF">
        <w:t xml:space="preserve">In its representations to the Panel, </w:t>
      </w:r>
      <w:r w:rsidR="0038372A" w:rsidRPr="00CA5ADF">
        <w:t>HTG</w:t>
      </w:r>
      <w:r w:rsidRPr="00CA5ADF">
        <w:t xml:space="preserve"> suggested that </w:t>
      </w:r>
      <w:r w:rsidR="00664EB4">
        <w:t>BNSSG</w:t>
      </w:r>
      <w:r w:rsidRPr="00CA5ADF">
        <w:t xml:space="preserve"> breached the PSR regulations in relation to the </w:t>
      </w:r>
      <w:r w:rsidR="000F0A46" w:rsidRPr="00CA5ADF">
        <w:t xml:space="preserve">general </w:t>
      </w:r>
      <w:r w:rsidRPr="00CA5ADF">
        <w:t xml:space="preserve">requirements </w:t>
      </w:r>
      <w:r w:rsidR="00891517" w:rsidRPr="00CA5ADF">
        <w:t xml:space="preserve">on commissioners </w:t>
      </w:r>
      <w:r w:rsidR="004E633A" w:rsidRPr="00CA5ADF">
        <w:t>(as set out in Regulation 4),</w:t>
      </w:r>
      <w:r w:rsidR="00891517" w:rsidRPr="00CA5ADF">
        <w:t xml:space="preserve"> the</w:t>
      </w:r>
      <w:r w:rsidR="001C2AE7" w:rsidRPr="00CA5ADF">
        <w:t xml:space="preserve"> process</w:t>
      </w:r>
      <w:r w:rsidR="00CA5ADF" w:rsidRPr="00CA5ADF">
        <w:t>es</w:t>
      </w:r>
      <w:r w:rsidR="001C2AE7" w:rsidRPr="00CA5ADF">
        <w:t xml:space="preserve"> to be followed</w:t>
      </w:r>
      <w:r w:rsidR="004E633A" w:rsidRPr="00CA5ADF">
        <w:t xml:space="preserve"> </w:t>
      </w:r>
      <w:r w:rsidR="005D7238" w:rsidRPr="00CA5ADF">
        <w:t xml:space="preserve">(as set out in Regulation 6), </w:t>
      </w:r>
      <w:r w:rsidR="00B073AC" w:rsidRPr="00CA5ADF">
        <w:t>and the steps</w:t>
      </w:r>
      <w:r w:rsidR="00CA5ADF" w:rsidRPr="00CA5ADF">
        <w:t xml:space="preserve"> that commissioners must follow when using the competitive process</w:t>
      </w:r>
      <w:r w:rsidR="005D7238" w:rsidRPr="00CA5ADF">
        <w:t xml:space="preserve"> (as set out in Regulation 11</w:t>
      </w:r>
      <w:r w:rsidR="007E1EC1" w:rsidRPr="00CA5ADF">
        <w:t>).</w:t>
      </w:r>
    </w:p>
    <w:p w14:paraId="04F74C5F" w14:textId="219F54DF" w:rsidR="00B34EF2" w:rsidRPr="0047630B" w:rsidRDefault="007E1EC1" w:rsidP="00AB4174">
      <w:pPr>
        <w:pStyle w:val="ListParagraph"/>
        <w:ind w:left="567" w:hanging="567"/>
      </w:pPr>
      <w:r w:rsidRPr="0047630B">
        <w:lastRenderedPageBreak/>
        <w:t>BAEMS</w:t>
      </w:r>
      <w:r w:rsidR="00402D52" w:rsidRPr="0047630B">
        <w:t>’</w:t>
      </w:r>
      <w:r w:rsidRPr="0047630B">
        <w:t xml:space="preserve"> </w:t>
      </w:r>
      <w:r w:rsidR="00402D52" w:rsidRPr="0047630B">
        <w:t>representations additionally suggested tha</w:t>
      </w:r>
      <w:r w:rsidR="00B869F6" w:rsidRPr="0047630B">
        <w:t xml:space="preserve">t BNSSG </w:t>
      </w:r>
      <w:r w:rsidR="007B4B93" w:rsidRPr="0047630B">
        <w:t>breached</w:t>
      </w:r>
      <w:r w:rsidR="00B869F6" w:rsidRPr="0047630B">
        <w:t xml:space="preserve"> the PSR regulations in</w:t>
      </w:r>
      <w:r w:rsidR="00D54FCF" w:rsidRPr="0047630B">
        <w:t xml:space="preserve"> relation to </w:t>
      </w:r>
      <w:r w:rsidR="00766F60">
        <w:t>the requirements</w:t>
      </w:r>
      <w:r w:rsidR="00850CEE">
        <w:t xml:space="preserve"> regarding the management of </w:t>
      </w:r>
      <w:r w:rsidR="00D54FCF" w:rsidRPr="0047630B">
        <w:t>conflict of interests (as set out in Regulation 21)</w:t>
      </w:r>
      <w:r w:rsidR="00B34EF2" w:rsidRPr="0047630B">
        <w:t>.</w:t>
      </w:r>
    </w:p>
    <w:p w14:paraId="62716473" w14:textId="77777777" w:rsidR="00D24586" w:rsidRPr="0047630B" w:rsidRDefault="00D24586" w:rsidP="00AB4174">
      <w:pPr>
        <w:pStyle w:val="ListParagraph"/>
        <w:ind w:left="567" w:hanging="567"/>
      </w:pPr>
      <w:r w:rsidRPr="0047630B">
        <w:t>Those parts of the PSR regulations most relevant to this review are set out below:</w:t>
      </w:r>
    </w:p>
    <w:p w14:paraId="1319F727" w14:textId="5E5E25B5" w:rsidR="00A82355" w:rsidRDefault="00A82355" w:rsidP="006F5EFB">
      <w:pPr>
        <w:pStyle w:val="ListParagraph"/>
        <w:numPr>
          <w:ilvl w:val="0"/>
          <w:numId w:val="7"/>
        </w:numPr>
      </w:pPr>
      <w:r w:rsidRPr="00A82355">
        <w:t>Regulation 4 sets out the general requirements on commissioners</w:t>
      </w:r>
      <w:r w:rsidR="00E82692">
        <w:t xml:space="preserve"> </w:t>
      </w:r>
      <w:r w:rsidRPr="00A82355">
        <w:t>when selecting a provider of health care services. This states that “</w:t>
      </w:r>
      <w:r w:rsidR="00B71C1E" w:rsidRPr="00B71C1E">
        <w:t xml:space="preserve">(1) When procuring relevant health care services, a relevant authority </w:t>
      </w:r>
      <w:r w:rsidRPr="00A82355">
        <w:t>must act – (a) with a view to (i) securing the needs of the people who use the services; (ii) improving the quality of the services; and; (iii) improving the efficiency in the provision of the services; and (b) transparently, fairly and proportionately.”</w:t>
      </w:r>
    </w:p>
    <w:p w14:paraId="57062C35" w14:textId="79324E2E" w:rsidR="0037594F" w:rsidRDefault="00A76EF8" w:rsidP="006F5EFB">
      <w:pPr>
        <w:pStyle w:val="ListParagraph"/>
        <w:numPr>
          <w:ilvl w:val="0"/>
          <w:numId w:val="7"/>
        </w:numPr>
      </w:pPr>
      <w:r w:rsidRPr="00A76EF8">
        <w:t xml:space="preserve">Regulation 6 sets out the appropriate process </w:t>
      </w:r>
      <w:r w:rsidR="00E82692">
        <w:t>commissioners</w:t>
      </w:r>
      <w:r w:rsidRPr="00A76EF8">
        <w:t xml:space="preserve"> must follow when procuring a relevant health care service to which the PSR regulations apply. This states that “(7) Where (a) the relevant authority is not required to follow Direct Award Process A or Direct Award Process B, and (b) neither paragraph (5) nor (6) applies,</w:t>
      </w:r>
      <w:r w:rsidR="00D7010B">
        <w:rPr>
          <w:rStyle w:val="FootnoteReference"/>
        </w:rPr>
        <w:footnoteReference w:id="28"/>
      </w:r>
      <w:r w:rsidR="00A11120">
        <w:t xml:space="preserve"> </w:t>
      </w:r>
      <w:r w:rsidRPr="00A76EF8">
        <w:t>the relevant authority must follow the Competitive Process</w:t>
      </w:r>
      <w:r w:rsidR="00850CEE">
        <w:t>”.</w:t>
      </w:r>
    </w:p>
    <w:p w14:paraId="2A09FE92" w14:textId="1270F44A" w:rsidR="00C0248A" w:rsidRDefault="00C0248A" w:rsidP="006F5EFB">
      <w:pPr>
        <w:pStyle w:val="ListParagraph"/>
        <w:numPr>
          <w:ilvl w:val="0"/>
          <w:numId w:val="7"/>
        </w:numPr>
      </w:pPr>
      <w:r w:rsidRPr="00C0248A">
        <w:t>Regulation 11 sets out the obligations that apply to commissioners when following the competitive process. It states that “(1) Where the relevant authority follows the Competitive Process, the process is that the relevant authority follows the steps set out in this regulation</w:t>
      </w:r>
      <w:r w:rsidR="00855EA7">
        <w:t xml:space="preserve">; </w:t>
      </w:r>
      <w:r w:rsidR="00855EA7" w:rsidRPr="00855EA7">
        <w:t>(2) Step 1 is that the relevant authority determines the contract or framework award criteria, taking into account the key criteria and applying the basic selection criteria</w:t>
      </w:r>
      <w:r w:rsidR="00855EA7">
        <w:t xml:space="preserve">; </w:t>
      </w:r>
      <w:r w:rsidRPr="00C0248A">
        <w:t>... (5) Step 3 is that the relevant authority assesses any offers received in accordance with the contract or framework award criteria ...”</w:t>
      </w:r>
    </w:p>
    <w:p w14:paraId="47167673" w14:textId="1E75FCE4" w:rsidR="00A11120" w:rsidRPr="00A82355" w:rsidRDefault="00A11120" w:rsidP="006F5EFB">
      <w:pPr>
        <w:pStyle w:val="ListParagraph"/>
        <w:numPr>
          <w:ilvl w:val="0"/>
          <w:numId w:val="7"/>
        </w:numPr>
      </w:pPr>
      <w:r w:rsidRPr="00A11120">
        <w:t xml:space="preserve">Regulation 21 sets out the requirements on relevant authorities in relation to the management of conflicts of interest. This states that “(1) </w:t>
      </w:r>
      <w:r w:rsidR="0013748C">
        <w:t>A</w:t>
      </w:r>
      <w:r w:rsidRPr="00A11120">
        <w:t xml:space="preserve"> relevant authority must take appropriate measures to effectively prevent, identify and remedy conflicts of interest arising in the conduct of procurement process</w:t>
      </w:r>
      <w:r w:rsidR="00D6354E">
        <w:t>es</w:t>
      </w:r>
      <w:r w:rsidRPr="00A11120">
        <w:t xml:space="preserve"> under these Regulations</w:t>
      </w:r>
      <w:r w:rsidR="00101BB2">
        <w:t xml:space="preserve">. </w:t>
      </w:r>
      <w:r w:rsidR="00101BB2" w:rsidRPr="00101BB2">
        <w:t>(2) For the purposes of paragraph (1)</w:t>
      </w:r>
      <w:r w:rsidR="005C52AB">
        <w:t xml:space="preserve"> </w:t>
      </w:r>
      <w:r w:rsidR="005C52AB" w:rsidRPr="00A82355">
        <w:t xml:space="preserve">– </w:t>
      </w:r>
      <w:r w:rsidR="00101BB2" w:rsidRPr="00101BB2">
        <w:t>(a)</w:t>
      </w:r>
      <w:r w:rsidR="00025504">
        <w:t xml:space="preserve"> </w:t>
      </w:r>
      <w:r w:rsidR="00101BB2" w:rsidRPr="00101BB2">
        <w:t>the concept of conflicts of interest includes any situation where an individual has, directly or indirectly, a financial, economic or other personal interest which might be perceived to compromise their impartiality and independence in the context of the procurement process, and</w:t>
      </w:r>
      <w:r w:rsidR="004D1F4C">
        <w:t xml:space="preserve"> </w:t>
      </w:r>
      <w:r w:rsidR="00101BB2" w:rsidRPr="00101BB2">
        <w:t>(b)</w:t>
      </w:r>
      <w:r w:rsidR="00743E50">
        <w:t xml:space="preserve"> </w:t>
      </w:r>
      <w:r w:rsidR="00101BB2" w:rsidRPr="00101BB2">
        <w:t>in particular, any such individual is required to recuse themselves from the decision-making process of that procurement process</w:t>
      </w:r>
      <w:r w:rsidRPr="00A11120">
        <w:t xml:space="preserve"> ...”</w:t>
      </w:r>
    </w:p>
    <w:p w14:paraId="5869951C" w14:textId="12D82AB3" w:rsidR="008E6E11" w:rsidRPr="00EC4323" w:rsidRDefault="0063168B" w:rsidP="00AB4174">
      <w:pPr>
        <w:pStyle w:val="ListParagraph"/>
        <w:ind w:left="567" w:hanging="567"/>
      </w:pPr>
      <w:r w:rsidRPr="0063168B">
        <w:t>Commissioners must also have regard to the Provider Selection Regime Statutory Guidance when arranging services in scope of the PSR regulations (as per s12ZB(5) of the National Health Service Act 2006).</w:t>
      </w:r>
      <w:r w:rsidR="00926E49" w:rsidRPr="00EC4323">
        <w:rPr>
          <w:rStyle w:val="FootnoteReference"/>
        </w:rPr>
        <w:footnoteReference w:id="29"/>
      </w:r>
      <w:r w:rsidR="008E6E11" w:rsidRPr="00EC4323">
        <w:t xml:space="preserve"> Reference is made to relevant provisions of the Statutory Guidance in the Panel’s assessment of the issues in Section</w:t>
      </w:r>
      <w:r w:rsidR="009623DB">
        <w:t>s</w:t>
      </w:r>
      <w:r w:rsidR="008E6E11" w:rsidRPr="00EC4323">
        <w:t xml:space="preserve"> 7</w:t>
      </w:r>
      <w:r w:rsidR="009623DB">
        <w:t xml:space="preserve"> and 8</w:t>
      </w:r>
      <w:r w:rsidR="00C74951" w:rsidRPr="00EC4323">
        <w:t>.</w:t>
      </w:r>
    </w:p>
    <w:p w14:paraId="15367A21" w14:textId="7C3B37C0" w:rsidR="00EB3938" w:rsidRDefault="00D63AF5" w:rsidP="00320065">
      <w:pPr>
        <w:pStyle w:val="Heading1"/>
      </w:pPr>
      <w:bookmarkStart w:id="26" w:name="_Toc220417392"/>
      <w:r>
        <w:lastRenderedPageBreak/>
        <w:t>I</w:t>
      </w:r>
      <w:r w:rsidR="007A5260">
        <w:t xml:space="preserve">ntegrity </w:t>
      </w:r>
      <w:r w:rsidR="002D4083">
        <w:t>of the provider selection process</w:t>
      </w:r>
      <w:bookmarkEnd w:id="26"/>
    </w:p>
    <w:p w14:paraId="2CDD7956" w14:textId="0E79E568" w:rsidR="002D4083" w:rsidRDefault="002D4083" w:rsidP="00AB4174">
      <w:pPr>
        <w:pStyle w:val="ListParagraph"/>
        <w:ind w:left="567" w:hanging="567"/>
      </w:pPr>
      <w:r>
        <w:t xml:space="preserve">This section sets out the Panel’s assessment of </w:t>
      </w:r>
      <w:r w:rsidR="00292B3F">
        <w:t xml:space="preserve">whether </w:t>
      </w:r>
      <w:r>
        <w:t>BNSSG</w:t>
      </w:r>
      <w:r w:rsidR="00292B3F">
        <w:t xml:space="preserve"> breached the PSR regulations </w:t>
      </w:r>
      <w:r w:rsidR="00A159EC">
        <w:t xml:space="preserve">when responding to </w:t>
      </w:r>
      <w:r w:rsidR="00B52C42">
        <w:t>B</w:t>
      </w:r>
      <w:r w:rsidR="00A159EC">
        <w:t>idder</w:t>
      </w:r>
      <w:r w:rsidR="00B52C42">
        <w:t xml:space="preserve"> A</w:t>
      </w:r>
      <w:r w:rsidR="00A159EC">
        <w:t xml:space="preserve">’s </w:t>
      </w:r>
      <w:r w:rsidR="00FA2595">
        <w:t xml:space="preserve">letter </w:t>
      </w:r>
      <w:r w:rsidR="00FC6056">
        <w:t>about the provider selection process</w:t>
      </w:r>
      <w:r w:rsidR="00C765DF">
        <w:t>.</w:t>
      </w:r>
    </w:p>
    <w:p w14:paraId="45102B13" w14:textId="5356BE9E" w:rsidR="002D4083" w:rsidRDefault="00B52C42" w:rsidP="00AB4174">
      <w:pPr>
        <w:pStyle w:val="ListParagraph"/>
        <w:spacing w:after="120"/>
        <w:ind w:left="567" w:hanging="567"/>
      </w:pPr>
      <w:bookmarkStart w:id="27" w:name="_Ref219314158"/>
      <w:r>
        <w:t>B</w:t>
      </w:r>
      <w:r w:rsidR="002D4083">
        <w:t>idder</w:t>
      </w:r>
      <w:r w:rsidR="000853E4">
        <w:t xml:space="preserve"> </w:t>
      </w:r>
      <w:r>
        <w:t>A</w:t>
      </w:r>
      <w:r w:rsidR="00BA0E16">
        <w:t xml:space="preserve">’s letter said </w:t>
      </w:r>
      <w:r w:rsidR="009A50C2">
        <w:t>that</w:t>
      </w:r>
      <w:r w:rsidR="00BA0E16">
        <w:t xml:space="preserve"> </w:t>
      </w:r>
      <w:r w:rsidR="003F317D">
        <w:t xml:space="preserve">a </w:t>
      </w:r>
      <w:r w:rsidR="000853E4">
        <w:t xml:space="preserve">“well-placed, senior” </w:t>
      </w:r>
      <w:r w:rsidR="002D4083">
        <w:t xml:space="preserve">individual at </w:t>
      </w:r>
      <w:r w:rsidR="00BA0E16">
        <w:t>BNSSG</w:t>
      </w:r>
      <w:r w:rsidR="009A50C2">
        <w:t xml:space="preserve"> had alleged</w:t>
      </w:r>
      <w:r w:rsidR="002D4083">
        <w:t xml:space="preserve"> that:</w:t>
      </w:r>
      <w:bookmarkEnd w:id="27"/>
    </w:p>
    <w:p w14:paraId="185145AE" w14:textId="77777777" w:rsidR="002D4083" w:rsidRPr="00052D6D" w:rsidRDefault="002D4083" w:rsidP="002D4083">
      <w:pPr>
        <w:spacing w:after="120"/>
        <w:ind w:left="851"/>
        <w:rPr>
          <w:sz w:val="21"/>
          <w:szCs w:val="21"/>
        </w:rPr>
      </w:pPr>
      <w:r w:rsidRPr="00052D6D">
        <w:rPr>
          <w:sz w:val="21"/>
          <w:szCs w:val="21"/>
        </w:rPr>
        <w:t>“1. The contract will be awarded to a tender</w:t>
      </w:r>
      <w:r>
        <w:rPr>
          <w:sz w:val="21"/>
          <w:szCs w:val="21"/>
        </w:rPr>
        <w:t>er</w:t>
      </w:r>
      <w:r w:rsidRPr="00052D6D">
        <w:rPr>
          <w:sz w:val="21"/>
          <w:szCs w:val="21"/>
        </w:rPr>
        <w:t xml:space="preserve"> (EMED Group) not because of the merits of its tender response, but solely in order to settle ongoing litigation between the ICB and that tenderer; and</w:t>
      </w:r>
    </w:p>
    <w:p w14:paraId="00EAEC85" w14:textId="7F6EF769" w:rsidR="002D4083" w:rsidRPr="00052D6D" w:rsidRDefault="002D4083" w:rsidP="002D4083">
      <w:pPr>
        <w:ind w:left="851"/>
        <w:rPr>
          <w:sz w:val="21"/>
          <w:szCs w:val="21"/>
        </w:rPr>
      </w:pPr>
      <w:r w:rsidRPr="00052D6D">
        <w:rPr>
          <w:sz w:val="21"/>
          <w:szCs w:val="21"/>
        </w:rPr>
        <w:t>2. aspects of our client’s tender have been deliberately marked down to adversely affect their overall score, in order to achieve the outcome in (1) above.”</w:t>
      </w:r>
      <w:r w:rsidR="0097619B">
        <w:rPr>
          <w:rStyle w:val="FootnoteReference"/>
          <w:sz w:val="21"/>
          <w:szCs w:val="21"/>
        </w:rPr>
        <w:footnoteReference w:id="30"/>
      </w:r>
    </w:p>
    <w:p w14:paraId="275F0936" w14:textId="4F886450" w:rsidR="004A5F15" w:rsidRDefault="002D4083" w:rsidP="00747A6A">
      <w:pPr>
        <w:pStyle w:val="ListParagraph"/>
        <w:ind w:left="567" w:hanging="720"/>
      </w:pPr>
      <w:bookmarkStart w:id="28" w:name="_Ref221466392"/>
      <w:bookmarkStart w:id="29" w:name="_Ref219198283"/>
      <w:r>
        <w:t xml:space="preserve">The Panel </w:t>
      </w:r>
      <w:r w:rsidR="00792C38">
        <w:t xml:space="preserve">regards </w:t>
      </w:r>
      <w:r w:rsidR="00C71835">
        <w:t>B</w:t>
      </w:r>
      <w:r>
        <w:t>idder</w:t>
      </w:r>
      <w:r w:rsidR="00C71835">
        <w:t xml:space="preserve"> A</w:t>
      </w:r>
      <w:r>
        <w:t xml:space="preserve">’s letter </w:t>
      </w:r>
      <w:r w:rsidR="00792C38">
        <w:t xml:space="preserve">as </w:t>
      </w:r>
      <w:r>
        <w:t>giv</w:t>
      </w:r>
      <w:r w:rsidR="00792C38">
        <w:t xml:space="preserve">ing </w:t>
      </w:r>
      <w:r>
        <w:t>rise to</w:t>
      </w:r>
      <w:r w:rsidR="007E0504">
        <w:t xml:space="preserve"> </w:t>
      </w:r>
      <w:r w:rsidR="001D4ECA">
        <w:t xml:space="preserve">serious </w:t>
      </w:r>
      <w:r w:rsidR="0048010A">
        <w:t>concerns about the integrity of the provider selection process</w:t>
      </w:r>
      <w:r w:rsidR="001D4ECA">
        <w:t xml:space="preserve"> </w:t>
      </w:r>
      <w:r w:rsidR="001D4ECA" w:rsidDel="00EE5E8D">
        <w:t xml:space="preserve">not only </w:t>
      </w:r>
      <w:r w:rsidR="001D4ECA">
        <w:t xml:space="preserve">because </w:t>
      </w:r>
      <w:r w:rsidR="001D4ECA" w:rsidDel="00EE5E8D">
        <w:t xml:space="preserve">of </w:t>
      </w:r>
      <w:r w:rsidR="001D4ECA">
        <w:t>the</w:t>
      </w:r>
      <w:r w:rsidR="00182D10">
        <w:t xml:space="preserve"> </w:t>
      </w:r>
      <w:r w:rsidR="001D4ECA">
        <w:t xml:space="preserve">allegations </w:t>
      </w:r>
      <w:r w:rsidR="00BD375A">
        <w:t xml:space="preserve">set out </w:t>
      </w:r>
      <w:r w:rsidR="001D4ECA">
        <w:t xml:space="preserve">in the letter, </w:t>
      </w:r>
      <w:r w:rsidR="001D4ECA" w:rsidDel="00182D10">
        <w:t xml:space="preserve">but also because </w:t>
      </w:r>
      <w:r w:rsidR="002F66B4">
        <w:t xml:space="preserve">it </w:t>
      </w:r>
      <w:r w:rsidR="0012739A">
        <w:t xml:space="preserve">shows that a BNSSG staff member shared </w:t>
      </w:r>
      <w:r w:rsidR="009370B6">
        <w:t xml:space="preserve">confidential commercial information with </w:t>
      </w:r>
      <w:r w:rsidR="001D4ECA">
        <w:t>Bidder A</w:t>
      </w:r>
      <w:r w:rsidR="005C13ED">
        <w:t>.</w:t>
      </w:r>
      <w:r w:rsidR="001D4ECA">
        <w:t xml:space="preserve"> </w:t>
      </w:r>
      <w:r w:rsidR="00747A6A">
        <w:t>Th</w:t>
      </w:r>
      <w:r w:rsidR="0091507B">
        <w:t>is</w:t>
      </w:r>
      <w:r w:rsidR="007F6D9B">
        <w:t xml:space="preserve"> sharing of confidential information </w:t>
      </w:r>
      <w:r w:rsidR="006218CB">
        <w:t>suggests</w:t>
      </w:r>
      <w:r w:rsidR="00747A6A">
        <w:t xml:space="preserve"> </w:t>
      </w:r>
      <w:r w:rsidR="0091507B">
        <w:t xml:space="preserve">that a BNSSG staff member </w:t>
      </w:r>
      <w:r w:rsidR="00C51204">
        <w:t xml:space="preserve">may have </w:t>
      </w:r>
      <w:r w:rsidR="0091507B">
        <w:t xml:space="preserve">had </w:t>
      </w:r>
      <w:r w:rsidR="00747A6A">
        <w:t>a</w:t>
      </w:r>
      <w:r w:rsidR="006A571E">
        <w:t>n actual or</w:t>
      </w:r>
      <w:r w:rsidR="00747A6A">
        <w:t xml:space="preserve"> potential conflict of interest </w:t>
      </w:r>
      <w:r w:rsidR="0091507B">
        <w:t>that</w:t>
      </w:r>
      <w:r w:rsidR="00747A6A">
        <w:t xml:space="preserve"> was not revealed when conflicts of interest were declared.</w:t>
      </w:r>
      <w:bookmarkEnd w:id="28"/>
    </w:p>
    <w:bookmarkEnd w:id="29"/>
    <w:p w14:paraId="4F8068A8" w14:textId="52DEBCD7" w:rsidR="002D4083" w:rsidRDefault="004C70FE" w:rsidP="00AB4174">
      <w:pPr>
        <w:pStyle w:val="ListParagraph"/>
        <w:ind w:left="567" w:hanging="720"/>
        <w:contextualSpacing/>
      </w:pPr>
      <w:r>
        <w:t xml:space="preserve">Potential breaches of the PSR regulations </w:t>
      </w:r>
      <w:r w:rsidR="00891295">
        <w:t xml:space="preserve">arising from both </w:t>
      </w:r>
      <w:r w:rsidR="006A571E">
        <w:t xml:space="preserve">the allegations in Bidder A’s letter and </w:t>
      </w:r>
      <w:r w:rsidR="00891295">
        <w:t xml:space="preserve">the sharing of confidential information with Bidder A </w:t>
      </w:r>
      <w:r w:rsidR="002D4083">
        <w:t>includ</w:t>
      </w:r>
      <w:r w:rsidR="00891295">
        <w:t>e</w:t>
      </w:r>
      <w:r w:rsidR="002D4083">
        <w:t>:</w:t>
      </w:r>
    </w:p>
    <w:p w14:paraId="0C3BD3AC" w14:textId="15D9DEDA" w:rsidR="002D4083" w:rsidRDefault="00A113B1" w:rsidP="006F5EFB">
      <w:pPr>
        <w:pStyle w:val="ListParagraph"/>
        <w:numPr>
          <w:ilvl w:val="0"/>
          <w:numId w:val="7"/>
        </w:numPr>
        <w:ind w:left="1276"/>
        <w:contextualSpacing/>
      </w:pPr>
      <w:r>
        <w:t>the obligation on BNSSG to conduct</w:t>
      </w:r>
      <w:r w:rsidR="002D4083">
        <w:t xml:space="preserve"> the provider selection process</w:t>
      </w:r>
      <w:r w:rsidR="005E3B49">
        <w:t xml:space="preserve"> </w:t>
      </w:r>
      <w:r w:rsidR="002D4083">
        <w:t>fairly (Regulation</w:t>
      </w:r>
      <w:r w:rsidR="007703F7">
        <w:t> </w:t>
      </w:r>
      <w:r w:rsidR="002D4083">
        <w:t>4</w:t>
      </w:r>
      <w:r w:rsidR="00DD67E4">
        <w:t>(1)(b)</w:t>
      </w:r>
      <w:r w:rsidR="002D4083">
        <w:t>);</w:t>
      </w:r>
    </w:p>
    <w:p w14:paraId="6E3415DE" w14:textId="624705DE" w:rsidR="002D4083" w:rsidRDefault="00E21E38" w:rsidP="006F5EFB">
      <w:pPr>
        <w:pStyle w:val="ListParagraph"/>
        <w:numPr>
          <w:ilvl w:val="0"/>
          <w:numId w:val="7"/>
        </w:numPr>
        <w:ind w:left="1276"/>
        <w:contextualSpacing/>
      </w:pPr>
      <w:r>
        <w:t>the obligation on BNSSG to assess</w:t>
      </w:r>
      <w:r w:rsidR="002D4083">
        <w:t xml:space="preserve"> </w:t>
      </w:r>
      <w:r w:rsidR="009D6AD7">
        <w:t>bidders’</w:t>
      </w:r>
      <w:r w:rsidR="002D4083">
        <w:t xml:space="preserve"> offers in accordance with the contract award criteria (Regulation 11(5)); and</w:t>
      </w:r>
    </w:p>
    <w:p w14:paraId="31D06B50" w14:textId="59B90A16" w:rsidR="007703F7" w:rsidRDefault="00BB6CC5" w:rsidP="006F5EFB">
      <w:pPr>
        <w:pStyle w:val="ListParagraph"/>
        <w:numPr>
          <w:ilvl w:val="0"/>
          <w:numId w:val="7"/>
        </w:numPr>
        <w:ind w:left="1276"/>
      </w:pPr>
      <w:r>
        <w:t>the obligation on</w:t>
      </w:r>
      <w:r w:rsidR="002D4083">
        <w:t xml:space="preserve"> BNSSG </w:t>
      </w:r>
      <w:r>
        <w:t>to take</w:t>
      </w:r>
      <w:r w:rsidR="002D4083">
        <w:t xml:space="preserve"> appropriate measures to effectively prevent, identify and remedy conflicts of interest (Regulation 21(1)</w:t>
      </w:r>
      <w:r w:rsidR="007703F7">
        <w:t>).</w:t>
      </w:r>
    </w:p>
    <w:p w14:paraId="14FDAC71" w14:textId="274CF121" w:rsidR="00CE51C0" w:rsidRDefault="002D4083" w:rsidP="00CE51C0">
      <w:pPr>
        <w:pStyle w:val="ListParagraph"/>
        <w:ind w:left="567" w:hanging="567"/>
      </w:pPr>
      <w:r>
        <w:t xml:space="preserve">The Panel notes that </w:t>
      </w:r>
      <w:r w:rsidR="00862149">
        <w:t>B</w:t>
      </w:r>
      <w:r>
        <w:t>idder</w:t>
      </w:r>
      <w:r w:rsidR="00862149">
        <w:t xml:space="preserve"> A</w:t>
      </w:r>
      <w:r>
        <w:t xml:space="preserve">’s letter </w:t>
      </w:r>
      <w:r w:rsidR="00DF742B">
        <w:t xml:space="preserve">may </w:t>
      </w:r>
      <w:r w:rsidR="00983D4A">
        <w:t xml:space="preserve">also </w:t>
      </w:r>
      <w:r w:rsidR="00CE51C0">
        <w:t xml:space="preserve">give rise to concerns about </w:t>
      </w:r>
      <w:r w:rsidR="00983D4A">
        <w:t xml:space="preserve">potential breaches of </w:t>
      </w:r>
      <w:r w:rsidR="00CE51C0">
        <w:t xml:space="preserve">other </w:t>
      </w:r>
      <w:r w:rsidR="00F67472">
        <w:t xml:space="preserve">legal, regulatory or contractual </w:t>
      </w:r>
      <w:r w:rsidR="00676C7F" w:rsidRPr="00676C7F">
        <w:t>obligations</w:t>
      </w:r>
      <w:r w:rsidR="00934042">
        <w:t xml:space="preserve">. </w:t>
      </w:r>
      <w:r w:rsidR="00416A04">
        <w:t>The Panel’s remit</w:t>
      </w:r>
      <w:r w:rsidR="00C256DD">
        <w:t>, however,</w:t>
      </w:r>
      <w:r w:rsidR="00416A04">
        <w:t xml:space="preserve"> </w:t>
      </w:r>
      <w:r w:rsidR="008945AA">
        <w:t xml:space="preserve">is limited to </w:t>
      </w:r>
      <w:r w:rsidR="00416A04">
        <w:t>the PSR regulations</w:t>
      </w:r>
      <w:r w:rsidR="00452DFB">
        <w:t>, and a</w:t>
      </w:r>
      <w:r w:rsidR="00416A04">
        <w:t xml:space="preserve">s a result, </w:t>
      </w:r>
      <w:r w:rsidR="009364AC" w:rsidDel="0080464C">
        <w:t>these</w:t>
      </w:r>
      <w:r w:rsidR="00C256DD" w:rsidDel="0080464C">
        <w:t xml:space="preserve"> </w:t>
      </w:r>
      <w:r w:rsidR="00FB6BB9">
        <w:t xml:space="preserve">other </w:t>
      </w:r>
      <w:r w:rsidR="009364AC">
        <w:t>matters</w:t>
      </w:r>
      <w:r w:rsidR="00FB6BB9">
        <w:t xml:space="preserve"> are not discussed further in this report.</w:t>
      </w:r>
    </w:p>
    <w:p w14:paraId="019B7224" w14:textId="34E88065" w:rsidR="002D4083" w:rsidRPr="00C326E9" w:rsidRDefault="002D4083" w:rsidP="00A63D14">
      <w:pPr>
        <w:pStyle w:val="Heading2"/>
        <w:spacing w:before="240" w:after="160"/>
      </w:pPr>
      <w:bookmarkStart w:id="30" w:name="_Toc220417393"/>
      <w:r w:rsidRPr="00C326E9">
        <w:t xml:space="preserve">7.1 BNSSG’s response to </w:t>
      </w:r>
      <w:r w:rsidR="00F42FFB">
        <w:t>B</w:t>
      </w:r>
      <w:r>
        <w:t>idder</w:t>
      </w:r>
      <w:r w:rsidR="00F42FFB">
        <w:t xml:space="preserve"> A</w:t>
      </w:r>
      <w:r>
        <w:t>’s letter</w:t>
      </w:r>
      <w:bookmarkEnd w:id="30"/>
    </w:p>
    <w:p w14:paraId="4E293F16" w14:textId="28891E45" w:rsidR="00B31329" w:rsidRDefault="007F3C0E" w:rsidP="0073662C">
      <w:pPr>
        <w:pStyle w:val="ListParagraph"/>
        <w:ind w:left="567" w:hanging="567"/>
        <w:contextualSpacing/>
        <w:rPr>
          <w:bCs/>
        </w:rPr>
      </w:pPr>
      <w:bookmarkStart w:id="31" w:name="_Ref219314245"/>
      <w:r>
        <w:t>BNSSG</w:t>
      </w:r>
      <w:r w:rsidR="00F13F28">
        <w:rPr>
          <w:bCs/>
        </w:rPr>
        <w:t>, in explaining</w:t>
      </w:r>
      <w:r w:rsidR="00117224">
        <w:rPr>
          <w:bCs/>
        </w:rPr>
        <w:t xml:space="preserve"> to</w:t>
      </w:r>
      <w:r w:rsidR="006B3541">
        <w:t xml:space="preserve"> the Panel </w:t>
      </w:r>
      <w:r>
        <w:t xml:space="preserve">its response to </w:t>
      </w:r>
      <w:r w:rsidR="00F42FFB">
        <w:t>B</w:t>
      </w:r>
      <w:r w:rsidR="009E7150">
        <w:t>idder</w:t>
      </w:r>
      <w:r w:rsidR="00F42FFB">
        <w:t xml:space="preserve"> A</w:t>
      </w:r>
      <w:r w:rsidR="009E7150">
        <w:t>’s letter</w:t>
      </w:r>
      <w:r w:rsidR="00117224">
        <w:rPr>
          <w:bCs/>
        </w:rPr>
        <w:t>,</w:t>
      </w:r>
      <w:r w:rsidR="001F454F">
        <w:rPr>
          <w:bCs/>
        </w:rPr>
        <w:t xml:space="preserve"> drew the Panel’s attention to</w:t>
      </w:r>
      <w:r w:rsidR="004300F8">
        <w:rPr>
          <w:bCs/>
        </w:rPr>
        <w:t xml:space="preserve"> three main points</w:t>
      </w:r>
      <w:r w:rsidR="00687C4F">
        <w:rPr>
          <w:bCs/>
        </w:rPr>
        <w:t>:</w:t>
      </w:r>
    </w:p>
    <w:p w14:paraId="71330DAD" w14:textId="259CC88E" w:rsidR="00B31329" w:rsidRDefault="001F454F" w:rsidP="0073662C">
      <w:pPr>
        <w:pStyle w:val="ListParagraph"/>
        <w:numPr>
          <w:ilvl w:val="0"/>
          <w:numId w:val="50"/>
        </w:numPr>
        <w:ind w:hanging="436"/>
        <w:contextualSpacing/>
        <w:rPr>
          <w:bCs/>
        </w:rPr>
      </w:pPr>
      <w:r>
        <w:rPr>
          <w:bCs/>
        </w:rPr>
        <w:t xml:space="preserve">the scope of the </w:t>
      </w:r>
      <w:r w:rsidR="00F45C13">
        <w:rPr>
          <w:bCs/>
        </w:rPr>
        <w:t xml:space="preserve">allegations made </w:t>
      </w:r>
      <w:r w:rsidR="00BA49DA">
        <w:rPr>
          <w:bCs/>
        </w:rPr>
        <w:t>in</w:t>
      </w:r>
      <w:r w:rsidR="00F45C13">
        <w:rPr>
          <w:bCs/>
        </w:rPr>
        <w:t xml:space="preserve"> </w:t>
      </w:r>
      <w:r w:rsidR="00BA49DA">
        <w:rPr>
          <w:bCs/>
        </w:rPr>
        <w:t>B</w:t>
      </w:r>
      <w:r w:rsidR="00F45C13">
        <w:rPr>
          <w:bCs/>
        </w:rPr>
        <w:t>idder</w:t>
      </w:r>
      <w:r w:rsidR="00BA49DA">
        <w:rPr>
          <w:bCs/>
        </w:rPr>
        <w:t xml:space="preserve"> A’s letter</w:t>
      </w:r>
      <w:r w:rsidR="00B975DB">
        <w:rPr>
          <w:bCs/>
        </w:rPr>
        <w:t xml:space="preserve"> (see Section 7.1.1)</w:t>
      </w:r>
      <w:r w:rsidR="00687C4F">
        <w:rPr>
          <w:bCs/>
        </w:rPr>
        <w:t>;</w:t>
      </w:r>
    </w:p>
    <w:p w14:paraId="448798E9" w14:textId="699AC1A8" w:rsidR="00B31329" w:rsidRDefault="00B31329" w:rsidP="0073662C">
      <w:pPr>
        <w:pStyle w:val="ListParagraph"/>
        <w:numPr>
          <w:ilvl w:val="0"/>
          <w:numId w:val="50"/>
        </w:numPr>
        <w:ind w:hanging="436"/>
        <w:contextualSpacing/>
        <w:rPr>
          <w:bCs/>
        </w:rPr>
      </w:pPr>
      <w:r>
        <w:rPr>
          <w:bCs/>
        </w:rPr>
        <w:t>that the identify of the “well-placed, senior” individual at BNSSG who had shared information with Bidder A was unknown (see Section 7.1.2); and</w:t>
      </w:r>
    </w:p>
    <w:p w14:paraId="38BFE84A" w14:textId="1A2AD4CB" w:rsidR="00B31329" w:rsidRDefault="00B31329" w:rsidP="0073662C">
      <w:pPr>
        <w:pStyle w:val="ListParagraph"/>
        <w:numPr>
          <w:ilvl w:val="0"/>
          <w:numId w:val="50"/>
        </w:numPr>
        <w:ind w:hanging="436"/>
        <w:rPr>
          <w:bCs/>
        </w:rPr>
      </w:pPr>
      <w:r>
        <w:rPr>
          <w:bCs/>
        </w:rPr>
        <w:t xml:space="preserve">the </w:t>
      </w:r>
      <w:r w:rsidR="00195FBA">
        <w:rPr>
          <w:bCs/>
        </w:rPr>
        <w:t>actions taken</w:t>
      </w:r>
      <w:r>
        <w:rPr>
          <w:bCs/>
        </w:rPr>
        <w:t xml:space="preserve"> by the BNSSG Board before deciding to award the contract to EMED (see Section 7.1.3).</w:t>
      </w:r>
    </w:p>
    <w:p w14:paraId="3DC9CF90" w14:textId="6B8B933A" w:rsidR="00F923FE" w:rsidRPr="00F923FE" w:rsidRDefault="00F923FE" w:rsidP="00F923FE">
      <w:pPr>
        <w:keepNext/>
        <w:spacing w:before="240"/>
        <w:rPr>
          <w:b/>
        </w:rPr>
      </w:pPr>
      <w:r w:rsidRPr="00F923FE">
        <w:rPr>
          <w:b/>
        </w:rPr>
        <w:t xml:space="preserve">7.1.1 Scope of </w:t>
      </w:r>
      <w:r w:rsidR="005D014C">
        <w:rPr>
          <w:b/>
        </w:rPr>
        <w:t>B</w:t>
      </w:r>
      <w:r w:rsidRPr="00F923FE">
        <w:rPr>
          <w:b/>
        </w:rPr>
        <w:t>idder</w:t>
      </w:r>
      <w:r w:rsidR="005D014C">
        <w:rPr>
          <w:b/>
        </w:rPr>
        <w:t xml:space="preserve"> A</w:t>
      </w:r>
      <w:r w:rsidRPr="00F923FE">
        <w:rPr>
          <w:b/>
        </w:rPr>
        <w:t>’s allegations</w:t>
      </w:r>
    </w:p>
    <w:p w14:paraId="119BE385" w14:textId="4B400BA7" w:rsidR="00BD12AE" w:rsidRDefault="002D4083" w:rsidP="00BD12AE">
      <w:pPr>
        <w:pStyle w:val="ListParagraph"/>
        <w:ind w:left="567" w:hanging="567"/>
      </w:pPr>
      <w:r>
        <w:t>BNSSG</w:t>
      </w:r>
      <w:r w:rsidRPr="002C0104">
        <w:t xml:space="preserve"> </w:t>
      </w:r>
      <w:r>
        <w:t xml:space="preserve">told the Panel </w:t>
      </w:r>
      <w:r w:rsidRPr="002C0104">
        <w:t xml:space="preserve">that </w:t>
      </w:r>
      <w:r w:rsidR="006D71D3">
        <w:t>B</w:t>
      </w:r>
      <w:r>
        <w:t>idder</w:t>
      </w:r>
      <w:r w:rsidR="006D71D3">
        <w:t xml:space="preserve"> A</w:t>
      </w:r>
      <w:r>
        <w:t xml:space="preserve">’s </w:t>
      </w:r>
      <w:r w:rsidRPr="002C0104">
        <w:t xml:space="preserve">letter made </w:t>
      </w:r>
      <w:r>
        <w:t>“</w:t>
      </w:r>
      <w:r w:rsidRPr="002C0104">
        <w:t>two specific allegations of impropriety</w:t>
      </w:r>
      <w:r>
        <w:t>”</w:t>
      </w:r>
      <w:r w:rsidRPr="002C0104">
        <w:t xml:space="preserve"> (see paragraph</w:t>
      </w:r>
      <w:r w:rsidR="00BD3736">
        <w:t xml:space="preserve"> </w:t>
      </w:r>
      <w:r w:rsidR="00BD3736">
        <w:fldChar w:fldCharType="begin"/>
      </w:r>
      <w:r w:rsidR="00BD3736">
        <w:instrText xml:space="preserve"> REF _Ref219314158 \r \h </w:instrText>
      </w:r>
      <w:r w:rsidR="00BD3736">
        <w:fldChar w:fldCharType="separate"/>
      </w:r>
      <w:r w:rsidR="00785E99">
        <w:t>46</w:t>
      </w:r>
      <w:r w:rsidR="00BD3736">
        <w:fldChar w:fldCharType="end"/>
      </w:r>
      <w:r w:rsidRPr="002C0104">
        <w:t xml:space="preserve">) and </w:t>
      </w:r>
      <w:r w:rsidR="00931492">
        <w:t xml:space="preserve">that </w:t>
      </w:r>
      <w:r w:rsidR="006D71D3">
        <w:t>B</w:t>
      </w:r>
      <w:r w:rsidR="00931492">
        <w:t xml:space="preserve">idder </w:t>
      </w:r>
      <w:r w:rsidR="006D71D3">
        <w:t xml:space="preserve">A </w:t>
      </w:r>
      <w:r w:rsidR="00931492">
        <w:t xml:space="preserve">did not allege wider disclosures of </w:t>
      </w:r>
      <w:r w:rsidR="00931492">
        <w:lastRenderedPageBreak/>
        <w:t xml:space="preserve">confidential information or </w:t>
      </w:r>
      <w:r w:rsidR="00BD12AE">
        <w:t xml:space="preserve">that the </w:t>
      </w:r>
      <w:r w:rsidR="006E112A">
        <w:t>provider selection process</w:t>
      </w:r>
      <w:r w:rsidR="00BD12AE">
        <w:t xml:space="preserve"> had been undermined in other respects.</w:t>
      </w:r>
    </w:p>
    <w:p w14:paraId="4E7CD529" w14:textId="1CD33083" w:rsidR="00CE5210" w:rsidRDefault="00BD12AE" w:rsidP="00CE5210">
      <w:pPr>
        <w:pStyle w:val="ListParagraph"/>
        <w:spacing w:after="120"/>
        <w:ind w:left="567" w:hanging="567"/>
      </w:pPr>
      <w:r>
        <w:t>More specifically, BN</w:t>
      </w:r>
      <w:r w:rsidR="00723F21">
        <w:t>S</w:t>
      </w:r>
      <w:r>
        <w:t xml:space="preserve">SG told the Panel that </w:t>
      </w:r>
      <w:r w:rsidR="005D014C">
        <w:t>B</w:t>
      </w:r>
      <w:r>
        <w:t>idder</w:t>
      </w:r>
      <w:r w:rsidR="005D014C">
        <w:t xml:space="preserve"> A</w:t>
      </w:r>
      <w:r>
        <w:t xml:space="preserve">’s letter </w:t>
      </w:r>
      <w:r w:rsidR="003E63FC">
        <w:t>gave</w:t>
      </w:r>
      <w:r w:rsidR="00CE5210">
        <w:t>:</w:t>
      </w:r>
    </w:p>
    <w:p w14:paraId="437682DB" w14:textId="4F5C0F8C" w:rsidR="002D4083" w:rsidRDefault="002D4083" w:rsidP="00CE5210">
      <w:pPr>
        <w:pStyle w:val="ListParagraph"/>
        <w:numPr>
          <w:ilvl w:val="0"/>
          <w:numId w:val="0"/>
        </w:numPr>
        <w:spacing w:line="259" w:lineRule="auto"/>
        <w:ind w:left="851"/>
        <w:rPr>
          <w:sz w:val="21"/>
          <w:szCs w:val="21"/>
        </w:rPr>
      </w:pPr>
      <w:r w:rsidRPr="00CE5210">
        <w:rPr>
          <w:sz w:val="21"/>
          <w:szCs w:val="21"/>
        </w:rPr>
        <w:t>“eight examples of how this alleged impropriety breached the PSR. For the avoidance of doubt, the letter did not contain any further allegations of impropriety, i.e. it did not allege that there had been any wider disclosures of confidential information to [</w:t>
      </w:r>
      <w:r w:rsidR="00A6070C">
        <w:rPr>
          <w:sz w:val="21"/>
          <w:szCs w:val="21"/>
        </w:rPr>
        <w:t>B</w:t>
      </w:r>
      <w:r w:rsidRPr="00CE5210">
        <w:rPr>
          <w:sz w:val="21"/>
          <w:szCs w:val="21"/>
        </w:rPr>
        <w:t>idder</w:t>
      </w:r>
      <w:r w:rsidR="00A6070C">
        <w:rPr>
          <w:sz w:val="21"/>
          <w:szCs w:val="21"/>
        </w:rPr>
        <w:t xml:space="preserve"> A</w:t>
      </w:r>
      <w:r w:rsidRPr="00CE5210">
        <w:rPr>
          <w:sz w:val="21"/>
          <w:szCs w:val="21"/>
        </w:rPr>
        <w:t>] or any other provider, or that the procurement had been undermined in any way other than as set out above”.</w:t>
      </w:r>
      <w:r w:rsidRPr="00CE5210">
        <w:rPr>
          <w:rStyle w:val="FootnoteReference"/>
          <w:sz w:val="21"/>
          <w:szCs w:val="21"/>
        </w:rPr>
        <w:footnoteReference w:id="31"/>
      </w:r>
      <w:bookmarkEnd w:id="31"/>
    </w:p>
    <w:p w14:paraId="58DB2760" w14:textId="324F3A6E" w:rsidR="00C31F53" w:rsidRDefault="00CA326F" w:rsidP="00E97C51">
      <w:pPr>
        <w:pStyle w:val="ListParagraph"/>
        <w:spacing w:after="120"/>
        <w:ind w:left="567" w:hanging="567"/>
      </w:pPr>
      <w:bookmarkStart w:id="32" w:name="_Ref221467174"/>
      <w:r>
        <w:t>T</w:t>
      </w:r>
      <w:r w:rsidRPr="0073662C">
        <w:t xml:space="preserve">he Panel notes </w:t>
      </w:r>
      <w:r>
        <w:t xml:space="preserve">that </w:t>
      </w:r>
      <w:r w:rsidR="007A114A">
        <w:t xml:space="preserve">BNSSG appears to imply </w:t>
      </w:r>
      <w:r w:rsidR="007941B5">
        <w:t xml:space="preserve">that </w:t>
      </w:r>
      <w:r w:rsidR="001D3D80">
        <w:t>Bidder A’s</w:t>
      </w:r>
      <w:r w:rsidR="00522893">
        <w:t xml:space="preserve"> letter </w:t>
      </w:r>
      <w:r w:rsidR="007603CC">
        <w:t xml:space="preserve">only </w:t>
      </w:r>
      <w:r w:rsidR="00906DF9">
        <w:t xml:space="preserve">raises concerns in </w:t>
      </w:r>
      <w:r w:rsidR="00522893">
        <w:t>relat</w:t>
      </w:r>
      <w:r w:rsidR="00906DF9">
        <w:t>ion</w:t>
      </w:r>
      <w:r w:rsidR="00522893">
        <w:t xml:space="preserve"> to the allegations set out in the letter</w:t>
      </w:r>
      <w:r w:rsidR="001D3D80">
        <w:t xml:space="preserve">. However, as set out </w:t>
      </w:r>
      <w:r w:rsidR="00C31F53">
        <w:t xml:space="preserve">in paragraph </w:t>
      </w:r>
      <w:r w:rsidR="00C31F53">
        <w:fldChar w:fldCharType="begin"/>
      </w:r>
      <w:r w:rsidR="00C31F53">
        <w:instrText xml:space="preserve"> REF _Ref221466392 \r \h </w:instrText>
      </w:r>
      <w:r w:rsidR="00C31F53">
        <w:fldChar w:fldCharType="separate"/>
      </w:r>
      <w:r w:rsidR="00785E99">
        <w:t>47</w:t>
      </w:r>
      <w:r w:rsidR="00C31F53">
        <w:fldChar w:fldCharType="end"/>
      </w:r>
      <w:r w:rsidR="00C31F53">
        <w:t xml:space="preserve">, </w:t>
      </w:r>
      <w:r w:rsidR="00085A93">
        <w:t xml:space="preserve">the Panel’s view is that Bidder A’s letter gives rise to concerns that go beyond </w:t>
      </w:r>
      <w:r w:rsidR="006461EA">
        <w:t>the letter’s allegations</w:t>
      </w:r>
      <w:r w:rsidR="00B63A2D">
        <w:t>, and in particular the implications of confidential information being shared with Bidder A.</w:t>
      </w:r>
      <w:bookmarkEnd w:id="32"/>
    </w:p>
    <w:p w14:paraId="2BF73F7F" w14:textId="452BBD43" w:rsidR="00363AB8" w:rsidRPr="007707F2" w:rsidRDefault="00363AB8" w:rsidP="007707F2">
      <w:pPr>
        <w:keepNext/>
        <w:spacing w:before="240"/>
        <w:rPr>
          <w:b/>
          <w:bCs/>
        </w:rPr>
      </w:pPr>
      <w:r w:rsidRPr="007707F2">
        <w:rPr>
          <w:b/>
          <w:bCs/>
        </w:rPr>
        <w:t xml:space="preserve">7.1.2 Identity of the </w:t>
      </w:r>
      <w:r w:rsidR="007707F2" w:rsidRPr="007707F2">
        <w:rPr>
          <w:b/>
          <w:bCs/>
        </w:rPr>
        <w:t>“</w:t>
      </w:r>
      <w:r w:rsidR="00705325">
        <w:rPr>
          <w:b/>
          <w:bCs/>
        </w:rPr>
        <w:t>well-placed, senior</w:t>
      </w:r>
      <w:r w:rsidR="007707F2" w:rsidRPr="007707F2">
        <w:rPr>
          <w:b/>
          <w:bCs/>
        </w:rPr>
        <w:t>” individual at BNSSG</w:t>
      </w:r>
    </w:p>
    <w:p w14:paraId="1762E040" w14:textId="42E476D5" w:rsidR="009A7E2D" w:rsidRDefault="004A7CCE" w:rsidP="004A7CCE">
      <w:pPr>
        <w:pStyle w:val="ListParagraph"/>
        <w:ind w:left="567" w:hanging="567"/>
      </w:pPr>
      <w:r>
        <w:t xml:space="preserve">BNSSG told the Panel that it </w:t>
      </w:r>
      <w:r w:rsidR="003221DE">
        <w:t xml:space="preserve">recognised the seriousness of the allegations in </w:t>
      </w:r>
      <w:r w:rsidR="00CC762E">
        <w:t xml:space="preserve">Bidder A’s </w:t>
      </w:r>
      <w:r w:rsidR="003221DE">
        <w:t>letter</w:t>
      </w:r>
      <w:r w:rsidR="006409EA">
        <w:t>. However</w:t>
      </w:r>
      <w:r w:rsidR="003221DE">
        <w:t xml:space="preserve">, </w:t>
      </w:r>
      <w:r w:rsidR="006409EA">
        <w:t xml:space="preserve">it </w:t>
      </w:r>
      <w:r>
        <w:t xml:space="preserve">did not know </w:t>
      </w:r>
      <w:r w:rsidR="00C53CC3">
        <w:t xml:space="preserve">which </w:t>
      </w:r>
      <w:r w:rsidR="003221DE">
        <w:t xml:space="preserve">BNSSG </w:t>
      </w:r>
      <w:r w:rsidR="00C53CC3">
        <w:t xml:space="preserve">employee </w:t>
      </w:r>
      <w:r>
        <w:t xml:space="preserve">had </w:t>
      </w:r>
      <w:r w:rsidR="00043444">
        <w:t>been in contact with Bidder A</w:t>
      </w:r>
      <w:r>
        <w:t>.</w:t>
      </w:r>
    </w:p>
    <w:p w14:paraId="3509F66D" w14:textId="22517CE8" w:rsidR="00604093" w:rsidRDefault="00604093" w:rsidP="00AA33A3">
      <w:pPr>
        <w:pStyle w:val="ListParagraph"/>
        <w:spacing w:after="120"/>
        <w:ind w:left="567" w:hanging="567"/>
      </w:pPr>
      <w:bookmarkStart w:id="33" w:name="_Ref220397772"/>
      <w:r>
        <w:t xml:space="preserve">BNSSG went on to say </w:t>
      </w:r>
      <w:r w:rsidR="004A7CCE">
        <w:t>that</w:t>
      </w:r>
      <w:r w:rsidR="005827CA">
        <w:t xml:space="preserve"> it was not necessary for </w:t>
      </w:r>
      <w:r w:rsidR="00561173">
        <w:t>the ICB</w:t>
      </w:r>
      <w:r w:rsidR="001B1E76">
        <w:t>, prior to the conclusion of the procurement,</w:t>
      </w:r>
      <w:r w:rsidR="00561173">
        <w:t xml:space="preserve"> to </w:t>
      </w:r>
      <w:r w:rsidR="001B1E76">
        <w:t xml:space="preserve">carry out </w:t>
      </w:r>
      <w:r w:rsidR="005827CA">
        <w:t>any invest</w:t>
      </w:r>
      <w:r w:rsidR="00561173">
        <w:t xml:space="preserve">igation </w:t>
      </w:r>
      <w:r w:rsidR="00B15777">
        <w:t xml:space="preserve">so as </w:t>
      </w:r>
      <w:r w:rsidR="001B1E76">
        <w:t xml:space="preserve">to identify the </w:t>
      </w:r>
      <w:r w:rsidR="00FF15BA">
        <w:t>staff member</w:t>
      </w:r>
      <w:r w:rsidR="001B1E76">
        <w:t xml:space="preserve"> who had </w:t>
      </w:r>
      <w:r w:rsidR="00FF15BA">
        <w:t xml:space="preserve">been in contact </w:t>
      </w:r>
      <w:r w:rsidR="001B1E76">
        <w:t>with Bidder A</w:t>
      </w:r>
      <w:bookmarkEnd w:id="33"/>
      <w:r w:rsidR="00AD2FE9">
        <w:t>. It told the Panel that:</w:t>
      </w:r>
    </w:p>
    <w:p w14:paraId="3C624DB5" w14:textId="4135A42A" w:rsidR="004A7CCE" w:rsidRPr="00604093" w:rsidRDefault="004A7CCE" w:rsidP="00604093">
      <w:pPr>
        <w:pStyle w:val="ListParagraph"/>
        <w:numPr>
          <w:ilvl w:val="0"/>
          <w:numId w:val="0"/>
        </w:numPr>
        <w:spacing w:line="259" w:lineRule="auto"/>
        <w:ind w:left="851"/>
        <w:rPr>
          <w:sz w:val="21"/>
          <w:szCs w:val="21"/>
        </w:rPr>
      </w:pPr>
      <w:r w:rsidRPr="00604093">
        <w:rPr>
          <w:sz w:val="21"/>
          <w:szCs w:val="21"/>
        </w:rPr>
        <w:t xml:space="preserve">“it was agreed [at the </w:t>
      </w:r>
      <w:r w:rsidR="00604093">
        <w:rPr>
          <w:sz w:val="21"/>
          <w:szCs w:val="21"/>
        </w:rPr>
        <w:t xml:space="preserve">BNSSG </w:t>
      </w:r>
      <w:r w:rsidRPr="00604093">
        <w:rPr>
          <w:sz w:val="21"/>
          <w:szCs w:val="21"/>
        </w:rPr>
        <w:t>Board meeting] that an investigation should be undertaken to understand who disclosed the outcome of the tender and made the false allegations and why, as well as determining whether any disciplinary or other action may be required. However, given the Board's conclusion that the allegations contained in the 2 September letter were without merit, it was unnecessary for the investigation to be undertaken prior to the conclusion of the procurement.”</w:t>
      </w:r>
      <w:r w:rsidRPr="00604093">
        <w:rPr>
          <w:rStyle w:val="FootnoteReference"/>
          <w:sz w:val="21"/>
          <w:szCs w:val="21"/>
        </w:rPr>
        <w:footnoteReference w:id="32"/>
      </w:r>
    </w:p>
    <w:p w14:paraId="1AD6C930" w14:textId="3F256CE0" w:rsidR="007707F2" w:rsidRPr="006A4CE5" w:rsidRDefault="006A4CE5" w:rsidP="006A4CE5">
      <w:pPr>
        <w:keepNext/>
        <w:spacing w:before="240"/>
        <w:rPr>
          <w:b/>
          <w:bCs/>
        </w:rPr>
      </w:pPr>
      <w:r w:rsidRPr="006A4CE5">
        <w:rPr>
          <w:b/>
          <w:bCs/>
        </w:rPr>
        <w:t xml:space="preserve">7.1.3 BNSSG Board </w:t>
      </w:r>
      <w:r w:rsidR="00957017">
        <w:rPr>
          <w:b/>
          <w:bCs/>
        </w:rPr>
        <w:t xml:space="preserve">review of allegations </w:t>
      </w:r>
      <w:r w:rsidR="00456F99">
        <w:rPr>
          <w:b/>
          <w:bCs/>
        </w:rPr>
        <w:t>in Bidder A’s letter</w:t>
      </w:r>
    </w:p>
    <w:p w14:paraId="425EF0AD" w14:textId="4127CC70" w:rsidR="008F5B1E" w:rsidRDefault="00475F11" w:rsidP="008F5B1E">
      <w:pPr>
        <w:pStyle w:val="ListParagraph"/>
        <w:spacing w:after="120"/>
        <w:ind w:left="567" w:hanging="567"/>
      </w:pPr>
      <w:bookmarkStart w:id="34" w:name="_Ref221525879"/>
      <w:bookmarkStart w:id="35" w:name="_Ref219200038"/>
      <w:r>
        <w:t xml:space="preserve">Members of the BNSSG Board received a copy of </w:t>
      </w:r>
      <w:r w:rsidR="008F5B1E">
        <w:t>BNSSG’s</w:t>
      </w:r>
      <w:r w:rsidR="008F5B1E" w:rsidRPr="002C0104">
        <w:t xml:space="preserve"> contract award recommendation report</w:t>
      </w:r>
      <w:r w:rsidR="00585D17">
        <w:t xml:space="preserve"> </w:t>
      </w:r>
      <w:r w:rsidR="00472F14">
        <w:t xml:space="preserve">prior to </w:t>
      </w:r>
      <w:r w:rsidR="008F5B1E">
        <w:t xml:space="preserve">their meeting on 4 September 2025. </w:t>
      </w:r>
      <w:r w:rsidR="00472F14">
        <w:t xml:space="preserve">According to </w:t>
      </w:r>
      <w:r w:rsidR="008F5B1E">
        <w:t>BNSSG</w:t>
      </w:r>
      <w:r w:rsidR="00472F14">
        <w:t xml:space="preserve">, </w:t>
      </w:r>
      <w:r w:rsidR="008F5B1E">
        <w:t>this report:</w:t>
      </w:r>
      <w:bookmarkEnd w:id="34"/>
    </w:p>
    <w:p w14:paraId="4F43F616" w14:textId="437F68BE" w:rsidR="008F5B1E" w:rsidRPr="00ED1CF6" w:rsidRDefault="008F5B1E" w:rsidP="008F5B1E">
      <w:pPr>
        <w:pStyle w:val="ListParagraph"/>
        <w:numPr>
          <w:ilvl w:val="0"/>
          <w:numId w:val="0"/>
        </w:numPr>
        <w:spacing w:line="259" w:lineRule="auto"/>
        <w:ind w:left="851"/>
        <w:rPr>
          <w:sz w:val="21"/>
          <w:szCs w:val="21"/>
        </w:rPr>
      </w:pPr>
      <w:r w:rsidRPr="00ED1CF6">
        <w:rPr>
          <w:sz w:val="21"/>
          <w:szCs w:val="21"/>
        </w:rPr>
        <w:t xml:space="preserve">“included details of the evaluation and moderation process that had been undertaken, as well as copies of the contemporaneous records of the moderation meetings which showed clearly the in-depth discussions that had taken place during the moderation meetings. The contemporaneous records appended to the CARR </w:t>
      </w:r>
      <w:r>
        <w:rPr>
          <w:sz w:val="21"/>
          <w:szCs w:val="21"/>
        </w:rPr>
        <w:t xml:space="preserve">[contract award recommendation report] </w:t>
      </w:r>
      <w:r w:rsidRPr="00ED1CF6">
        <w:rPr>
          <w:sz w:val="21"/>
          <w:szCs w:val="21"/>
        </w:rPr>
        <w:t>also showed the scores awarded by individual evaluators for each question, the final consensus score agreed during the moderation meeting, the agreed reasons for the final consensus score and, where relevant, the reasons for any difference between an individual evaluator's initial score and the final agreed consensus score”.</w:t>
      </w:r>
      <w:r w:rsidRPr="00ED1CF6">
        <w:rPr>
          <w:rStyle w:val="FootnoteReference"/>
          <w:sz w:val="21"/>
          <w:szCs w:val="21"/>
        </w:rPr>
        <w:footnoteReference w:id="33"/>
      </w:r>
      <w:bookmarkEnd w:id="35"/>
    </w:p>
    <w:p w14:paraId="387E42DD" w14:textId="1C7D2E07" w:rsidR="002B59A0" w:rsidRDefault="009A5B15" w:rsidP="001E0369">
      <w:pPr>
        <w:pStyle w:val="ListParagraph"/>
        <w:spacing w:after="120"/>
        <w:ind w:left="567" w:hanging="567"/>
      </w:pPr>
      <w:bookmarkStart w:id="36" w:name="_Ref220593770"/>
      <w:r>
        <w:lastRenderedPageBreak/>
        <w:t>A</w:t>
      </w:r>
      <w:r w:rsidR="00231A88">
        <w:t>t the BNSSG Board meeting</w:t>
      </w:r>
      <w:r>
        <w:t xml:space="preserve"> on 4 September 2025</w:t>
      </w:r>
      <w:r w:rsidR="00231A88">
        <w:t>,</w:t>
      </w:r>
      <w:r w:rsidR="009239A4">
        <w:rPr>
          <w:rStyle w:val="FootnoteReference"/>
        </w:rPr>
        <w:footnoteReference w:id="34"/>
      </w:r>
      <w:r w:rsidR="00231A88">
        <w:t xml:space="preserve"> </w:t>
      </w:r>
      <w:r>
        <w:t>Bidder A</w:t>
      </w:r>
      <w:r w:rsidR="00F9727D">
        <w:t xml:space="preserve">’s letter </w:t>
      </w:r>
      <w:r w:rsidR="002B3C41">
        <w:t xml:space="preserve">was read out </w:t>
      </w:r>
      <w:r w:rsidR="00C27D2A">
        <w:t>(rather than circulated</w:t>
      </w:r>
      <w:r w:rsidR="002B3C41">
        <w:t>)</w:t>
      </w:r>
      <w:r w:rsidR="00406640">
        <w:t xml:space="preserve"> and the </w:t>
      </w:r>
      <w:r w:rsidR="00AB3C56">
        <w:t xml:space="preserve">identity of </w:t>
      </w:r>
      <w:r w:rsidR="00736AA5">
        <w:t>B</w:t>
      </w:r>
      <w:r w:rsidR="00AB3C56">
        <w:t xml:space="preserve">idder </w:t>
      </w:r>
      <w:r w:rsidR="00736AA5">
        <w:t xml:space="preserve">A was </w:t>
      </w:r>
      <w:r w:rsidR="00AB3C56" w:rsidRPr="002C0104">
        <w:t>made clear</w:t>
      </w:r>
      <w:r w:rsidR="000D533F">
        <w:t xml:space="preserve"> to Board members</w:t>
      </w:r>
      <w:r w:rsidR="00AB3C56" w:rsidRPr="002C0104">
        <w:t>.</w:t>
      </w:r>
      <w:r w:rsidR="00AB3C56">
        <w:rPr>
          <w:rStyle w:val="FootnoteReference"/>
        </w:rPr>
        <w:footnoteReference w:id="35"/>
      </w:r>
      <w:r w:rsidR="001E0369">
        <w:t xml:space="preserve"> </w:t>
      </w:r>
      <w:bookmarkStart w:id="37" w:name="_Ref219905521"/>
      <w:r w:rsidR="002D4083">
        <w:t xml:space="preserve">Board members </w:t>
      </w:r>
      <w:r w:rsidR="002B3C41">
        <w:t xml:space="preserve">were </w:t>
      </w:r>
      <w:r w:rsidR="000D533F">
        <w:t xml:space="preserve">also </w:t>
      </w:r>
      <w:r w:rsidR="002B3C41">
        <w:t xml:space="preserve">informed </w:t>
      </w:r>
      <w:r w:rsidR="002D4083">
        <w:t>that</w:t>
      </w:r>
      <w:r w:rsidR="002B59A0">
        <w:t>:</w:t>
      </w:r>
      <w:bookmarkEnd w:id="36"/>
      <w:bookmarkEnd w:id="37"/>
    </w:p>
    <w:p w14:paraId="334F9765" w14:textId="0936D66D" w:rsidR="002D4083" w:rsidRPr="002B59A0" w:rsidRDefault="002D4083" w:rsidP="001E0369">
      <w:pPr>
        <w:pStyle w:val="ListParagraph"/>
        <w:numPr>
          <w:ilvl w:val="0"/>
          <w:numId w:val="0"/>
        </w:numPr>
        <w:spacing w:line="259" w:lineRule="auto"/>
        <w:ind w:left="851"/>
        <w:rPr>
          <w:sz w:val="21"/>
          <w:szCs w:val="21"/>
        </w:rPr>
      </w:pPr>
      <w:r w:rsidRPr="002B59A0">
        <w:rPr>
          <w:sz w:val="21"/>
          <w:szCs w:val="21"/>
        </w:rPr>
        <w:t>“in light of the allegations contained in the letter from [</w:t>
      </w:r>
      <w:r w:rsidR="00736AA5">
        <w:rPr>
          <w:sz w:val="21"/>
          <w:szCs w:val="21"/>
        </w:rPr>
        <w:t>Bidder A</w:t>
      </w:r>
      <w:r w:rsidRPr="002B59A0">
        <w:rPr>
          <w:sz w:val="21"/>
          <w:szCs w:val="21"/>
        </w:rPr>
        <w:t>], the Board had to be assured that the procurement process conducted by the ICB, including in particular the evaluation and moderation process, was fair, transparent and robust. If the Board was not satisfied with the robustness of the process, or had any concerns that there may be validity in any of the allegations contained in the [</w:t>
      </w:r>
      <w:r w:rsidR="00C32F8F">
        <w:rPr>
          <w:sz w:val="21"/>
          <w:szCs w:val="21"/>
        </w:rPr>
        <w:t>B</w:t>
      </w:r>
      <w:r w:rsidRPr="002B59A0">
        <w:rPr>
          <w:sz w:val="21"/>
          <w:szCs w:val="21"/>
        </w:rPr>
        <w:t>idde</w:t>
      </w:r>
      <w:r w:rsidR="00C32F8F">
        <w:rPr>
          <w:sz w:val="21"/>
          <w:szCs w:val="21"/>
        </w:rPr>
        <w:t>r A</w:t>
      </w:r>
      <w:r w:rsidRPr="002B59A0">
        <w:rPr>
          <w:sz w:val="21"/>
          <w:szCs w:val="21"/>
        </w:rPr>
        <w:t>] letter, additional assurances would be needed. Such additional assurances could include an independent external review into the process”.</w:t>
      </w:r>
      <w:r w:rsidRPr="002B59A0">
        <w:rPr>
          <w:rStyle w:val="FootnoteReference"/>
          <w:sz w:val="21"/>
          <w:szCs w:val="21"/>
        </w:rPr>
        <w:footnoteReference w:id="36"/>
      </w:r>
    </w:p>
    <w:p w14:paraId="7FFFC89C" w14:textId="48904538" w:rsidR="001A51CC" w:rsidRDefault="003C00A1" w:rsidP="00BD5338">
      <w:pPr>
        <w:pStyle w:val="ListParagraph"/>
        <w:spacing w:after="120"/>
        <w:ind w:left="567" w:hanging="567"/>
      </w:pPr>
      <w:bookmarkStart w:id="38" w:name="_Ref219906447"/>
      <w:r>
        <w:t>To assist the Board in consider</w:t>
      </w:r>
      <w:r w:rsidR="00C32F8F">
        <w:t xml:space="preserve">ing </w:t>
      </w:r>
      <w:r>
        <w:t xml:space="preserve">the </w:t>
      </w:r>
      <w:r w:rsidR="009D009B">
        <w:t xml:space="preserve">contract award recommendation report and the </w:t>
      </w:r>
      <w:r>
        <w:t xml:space="preserve">matters raised in </w:t>
      </w:r>
      <w:r w:rsidR="00C32F8F">
        <w:t>B</w:t>
      </w:r>
      <w:r>
        <w:t>idder</w:t>
      </w:r>
      <w:r w:rsidR="00C32F8F">
        <w:t xml:space="preserve"> A</w:t>
      </w:r>
      <w:r>
        <w:t xml:space="preserve">’s letter, </w:t>
      </w:r>
      <w:r w:rsidR="002D4083" w:rsidRPr="002C0104">
        <w:t xml:space="preserve">two </w:t>
      </w:r>
      <w:r>
        <w:t xml:space="preserve">members of BNSSG’s </w:t>
      </w:r>
      <w:r w:rsidR="002D4083" w:rsidRPr="002C0104">
        <w:t xml:space="preserve">procurement team </w:t>
      </w:r>
      <w:r w:rsidR="00C247BC">
        <w:t xml:space="preserve">made a presentation at </w:t>
      </w:r>
      <w:r w:rsidR="00133692">
        <w:t xml:space="preserve">the meeting </w:t>
      </w:r>
      <w:r w:rsidR="00C247BC">
        <w:t xml:space="preserve">about the provider selection </w:t>
      </w:r>
      <w:r w:rsidR="002D4083" w:rsidRPr="002C0104">
        <w:t xml:space="preserve">process and </w:t>
      </w:r>
      <w:r w:rsidR="00C247BC">
        <w:t>took</w:t>
      </w:r>
      <w:r w:rsidR="002D4083" w:rsidRPr="002C0104">
        <w:t xml:space="preserve"> questions</w:t>
      </w:r>
      <w:r w:rsidR="00C247BC">
        <w:t xml:space="preserve"> from Board </w:t>
      </w:r>
      <w:r w:rsidR="00B820B8">
        <w:t>members</w:t>
      </w:r>
      <w:r w:rsidR="002D4083" w:rsidRPr="002C0104">
        <w:t>.</w:t>
      </w:r>
      <w:r w:rsidR="002D4083">
        <w:t xml:space="preserve"> </w:t>
      </w:r>
      <w:r w:rsidR="00557469">
        <w:t xml:space="preserve">BNSSG told the Panel that its </w:t>
      </w:r>
      <w:r w:rsidR="002D4083">
        <w:t xml:space="preserve">Board </w:t>
      </w:r>
      <w:r w:rsidR="0081725B">
        <w:t>held</w:t>
      </w:r>
      <w:r w:rsidR="001A51CC">
        <w:t>:</w:t>
      </w:r>
      <w:bookmarkEnd w:id="38"/>
    </w:p>
    <w:p w14:paraId="2C93EB68" w14:textId="081CE9D3" w:rsidR="00BD2518" w:rsidRPr="00BD2518" w:rsidRDefault="002D4083" w:rsidP="00D52CE7">
      <w:pPr>
        <w:pStyle w:val="ListParagraph"/>
        <w:numPr>
          <w:ilvl w:val="0"/>
          <w:numId w:val="0"/>
        </w:numPr>
        <w:spacing w:line="259" w:lineRule="auto"/>
        <w:ind w:left="851"/>
        <w:rPr>
          <w:sz w:val="21"/>
          <w:szCs w:val="21"/>
        </w:rPr>
      </w:pPr>
      <w:r w:rsidRPr="001A51CC">
        <w:rPr>
          <w:sz w:val="21"/>
          <w:szCs w:val="21"/>
        </w:rPr>
        <w:t>“a detailed discussion during which the Board scrutinised the nature of the evaluation and moderation process in light of allegations made by [</w:t>
      </w:r>
      <w:r w:rsidR="00F433A6">
        <w:rPr>
          <w:sz w:val="21"/>
          <w:szCs w:val="21"/>
        </w:rPr>
        <w:t>B</w:t>
      </w:r>
      <w:r w:rsidRPr="001A51CC">
        <w:rPr>
          <w:sz w:val="21"/>
          <w:szCs w:val="21"/>
        </w:rPr>
        <w:t>idder</w:t>
      </w:r>
      <w:r w:rsidR="00F433A6">
        <w:rPr>
          <w:sz w:val="21"/>
          <w:szCs w:val="21"/>
        </w:rPr>
        <w:t xml:space="preserve"> A</w:t>
      </w:r>
      <w:r w:rsidRPr="001A51CC">
        <w:rPr>
          <w:sz w:val="21"/>
          <w:szCs w:val="21"/>
        </w:rPr>
        <w:t>] that the process had been manipulated so as to ensure the contract was awarded to EMED”</w:t>
      </w:r>
      <w:r w:rsidRPr="001A51CC">
        <w:rPr>
          <w:rStyle w:val="FootnoteReference"/>
          <w:sz w:val="21"/>
          <w:szCs w:val="21"/>
        </w:rPr>
        <w:footnoteReference w:id="37"/>
      </w:r>
      <w:r w:rsidR="00BD2518">
        <w:rPr>
          <w:sz w:val="21"/>
          <w:szCs w:val="21"/>
        </w:rPr>
        <w:t xml:space="preserve"> and</w:t>
      </w:r>
      <w:r w:rsidR="00D52CE7">
        <w:rPr>
          <w:sz w:val="21"/>
          <w:szCs w:val="21"/>
        </w:rPr>
        <w:t xml:space="preserve"> </w:t>
      </w:r>
      <w:r w:rsidR="00BD2518" w:rsidRPr="00BD2518">
        <w:rPr>
          <w:sz w:val="21"/>
          <w:szCs w:val="21"/>
        </w:rPr>
        <w:t>“what the Board did very thoroughly for 90 minutes was that check, challenge and validation”</w:t>
      </w:r>
      <w:r w:rsidR="00FD3054">
        <w:rPr>
          <w:sz w:val="21"/>
          <w:szCs w:val="21"/>
        </w:rPr>
        <w:t>.</w:t>
      </w:r>
      <w:r w:rsidR="00BD2518" w:rsidRPr="00BD2518">
        <w:rPr>
          <w:rStyle w:val="FootnoteReference"/>
          <w:sz w:val="21"/>
          <w:szCs w:val="21"/>
        </w:rPr>
        <w:footnoteReference w:id="38"/>
      </w:r>
    </w:p>
    <w:p w14:paraId="13FF6D58" w14:textId="265816A1" w:rsidR="00EB25BD" w:rsidRDefault="002D4083" w:rsidP="00EB25BD">
      <w:pPr>
        <w:pStyle w:val="ListParagraph"/>
        <w:spacing w:after="120"/>
        <w:ind w:left="567" w:hanging="567"/>
      </w:pPr>
      <w:bookmarkStart w:id="39" w:name="_Ref219905523"/>
      <w:bookmarkStart w:id="40" w:name="_Ref219200041"/>
      <w:r>
        <w:t>BNSSG</w:t>
      </w:r>
      <w:r w:rsidRPr="002C0104">
        <w:t xml:space="preserve"> told the Panel that </w:t>
      </w:r>
      <w:r w:rsidR="00DC1648">
        <w:t>its</w:t>
      </w:r>
      <w:r w:rsidRPr="002C0104">
        <w:t xml:space="preserve"> Board </w:t>
      </w:r>
      <w:r w:rsidR="00EB25BD">
        <w:t>concluded that:</w:t>
      </w:r>
      <w:bookmarkEnd w:id="39"/>
    </w:p>
    <w:p w14:paraId="6AB2E02F" w14:textId="5843060A" w:rsidR="002D4083" w:rsidRPr="00EB25BD" w:rsidRDefault="002D4083" w:rsidP="00EB25BD">
      <w:pPr>
        <w:pStyle w:val="ListParagraph"/>
        <w:numPr>
          <w:ilvl w:val="0"/>
          <w:numId w:val="0"/>
        </w:numPr>
        <w:spacing w:line="259" w:lineRule="auto"/>
        <w:ind w:left="851"/>
        <w:rPr>
          <w:sz w:val="21"/>
          <w:szCs w:val="21"/>
        </w:rPr>
      </w:pPr>
      <w:r w:rsidRPr="00EB25BD">
        <w:rPr>
          <w:sz w:val="21"/>
          <w:szCs w:val="21"/>
        </w:rPr>
        <w:t>“there was no evidence that tenders had not been scored on merit, that scores had been adjusted to ensure that EMED was the highest scoring tenderer, or that the scores had been influenced in any way by the ongoing litigation between the ICB and EMED. As such, the Board members all agreed that they had full confidence in the fairness and robustness of the procurement process, the scores awarded and that the allegations contained in the letter from [</w:t>
      </w:r>
      <w:r w:rsidR="00F433A6">
        <w:rPr>
          <w:sz w:val="21"/>
          <w:szCs w:val="21"/>
        </w:rPr>
        <w:t>B</w:t>
      </w:r>
      <w:r w:rsidRPr="00EB25BD">
        <w:rPr>
          <w:sz w:val="21"/>
          <w:szCs w:val="21"/>
        </w:rPr>
        <w:t>idder</w:t>
      </w:r>
      <w:r w:rsidR="00F433A6">
        <w:rPr>
          <w:sz w:val="21"/>
          <w:szCs w:val="21"/>
        </w:rPr>
        <w:t xml:space="preserve"> A</w:t>
      </w:r>
      <w:r w:rsidRPr="00EB25BD">
        <w:rPr>
          <w:sz w:val="21"/>
          <w:szCs w:val="21"/>
        </w:rPr>
        <w:t>] were without merit”.</w:t>
      </w:r>
      <w:r w:rsidRPr="00EB25BD">
        <w:rPr>
          <w:rStyle w:val="FootnoteReference"/>
          <w:sz w:val="21"/>
          <w:szCs w:val="21"/>
        </w:rPr>
        <w:footnoteReference w:id="39"/>
      </w:r>
      <w:bookmarkEnd w:id="40"/>
    </w:p>
    <w:p w14:paraId="266E5B9A" w14:textId="77777777" w:rsidR="00DC1648" w:rsidRDefault="002D4083" w:rsidP="00DC1648">
      <w:pPr>
        <w:pStyle w:val="ListParagraph"/>
        <w:spacing w:after="120"/>
        <w:ind w:left="567" w:hanging="567"/>
      </w:pPr>
      <w:r>
        <w:t>BNSSG</w:t>
      </w:r>
      <w:r w:rsidRPr="002C0104">
        <w:t xml:space="preserve"> further </w:t>
      </w:r>
      <w:r w:rsidR="00DC1648">
        <w:t>told the Panel</w:t>
      </w:r>
      <w:r w:rsidRPr="002C0104">
        <w:t xml:space="preserve"> that</w:t>
      </w:r>
      <w:r w:rsidR="00DC1648">
        <w:t>:</w:t>
      </w:r>
    </w:p>
    <w:p w14:paraId="6B4F656E" w14:textId="552C85DF" w:rsidR="002D4083" w:rsidRPr="00DC1648" w:rsidRDefault="002D4083" w:rsidP="00DC1648">
      <w:pPr>
        <w:pStyle w:val="ListParagraph"/>
        <w:numPr>
          <w:ilvl w:val="0"/>
          <w:numId w:val="0"/>
        </w:numPr>
        <w:spacing w:line="259" w:lineRule="auto"/>
        <w:ind w:left="851"/>
        <w:rPr>
          <w:sz w:val="21"/>
          <w:szCs w:val="21"/>
        </w:rPr>
      </w:pPr>
      <w:r w:rsidRPr="00DC1648">
        <w:rPr>
          <w:sz w:val="21"/>
          <w:szCs w:val="21"/>
        </w:rPr>
        <w:t>“One Board member expressed a preference for a further external assurance review but the other members all agreed that such an additional step was unnecessary, although it was recognised that further representations may be received following the announcement of the outcome of the procurement, and that any such representations would have to be addressed in accordance with the PSR”.</w:t>
      </w:r>
      <w:r w:rsidR="00130209">
        <w:rPr>
          <w:rStyle w:val="FootnoteReference"/>
          <w:sz w:val="21"/>
          <w:szCs w:val="21"/>
        </w:rPr>
        <w:footnoteReference w:id="40"/>
      </w:r>
    </w:p>
    <w:p w14:paraId="38CE5C2C" w14:textId="6C97F60F" w:rsidR="002D4083" w:rsidRPr="000B5B47" w:rsidRDefault="002D4083" w:rsidP="00130209">
      <w:pPr>
        <w:pStyle w:val="Heading2"/>
        <w:spacing w:before="240" w:after="160"/>
      </w:pPr>
      <w:bookmarkStart w:id="41" w:name="_Toc220417394"/>
      <w:r w:rsidRPr="004A5455">
        <w:t>7.</w:t>
      </w:r>
      <w:r>
        <w:t>2</w:t>
      </w:r>
      <w:r w:rsidRPr="004A5455">
        <w:t xml:space="preserve"> Panel assessment of BNSSG’s response to </w:t>
      </w:r>
      <w:r w:rsidR="00811A7C">
        <w:t>B</w:t>
      </w:r>
      <w:r w:rsidRPr="004A5455">
        <w:t>idder</w:t>
      </w:r>
      <w:r w:rsidR="00811A7C">
        <w:t xml:space="preserve"> A</w:t>
      </w:r>
      <w:r>
        <w:t>’</w:t>
      </w:r>
      <w:r w:rsidRPr="000B5B47">
        <w:t>s letter</w:t>
      </w:r>
      <w:bookmarkEnd w:id="41"/>
    </w:p>
    <w:p w14:paraId="3302B4EA" w14:textId="7823D0BE" w:rsidR="00F33713" w:rsidRDefault="003647F7" w:rsidP="00730A82">
      <w:pPr>
        <w:pStyle w:val="ListParagraph"/>
        <w:ind w:left="567" w:hanging="567"/>
      </w:pPr>
      <w:r>
        <w:t xml:space="preserve">The Panel’s assessment of BNSSG’s response to </w:t>
      </w:r>
      <w:r w:rsidR="00811A7C">
        <w:t>B</w:t>
      </w:r>
      <w:r>
        <w:t>idder</w:t>
      </w:r>
      <w:r w:rsidR="00811A7C">
        <w:t xml:space="preserve"> A</w:t>
      </w:r>
      <w:r>
        <w:t xml:space="preserve">’s letter </w:t>
      </w:r>
      <w:r w:rsidR="00264619">
        <w:t xml:space="preserve">has </w:t>
      </w:r>
      <w:r>
        <w:t>take</w:t>
      </w:r>
      <w:r w:rsidR="00264619">
        <w:t>n</w:t>
      </w:r>
      <w:r>
        <w:t xml:space="preserve"> account of the three </w:t>
      </w:r>
      <w:r w:rsidR="00E61614">
        <w:t xml:space="preserve">points highlighted </w:t>
      </w:r>
      <w:r w:rsidR="007667BA">
        <w:t xml:space="preserve">by BNSSG </w:t>
      </w:r>
      <w:r w:rsidR="006A46A7">
        <w:t>(</w:t>
      </w:r>
      <w:r w:rsidR="007667BA">
        <w:t>a</w:t>
      </w:r>
      <w:r w:rsidR="006A46A7">
        <w:t>s</w:t>
      </w:r>
      <w:r w:rsidR="007667BA">
        <w:t xml:space="preserve"> </w:t>
      </w:r>
      <w:r w:rsidR="00157B30">
        <w:t xml:space="preserve">set out </w:t>
      </w:r>
      <w:r w:rsidR="007667BA">
        <w:t xml:space="preserve">in </w:t>
      </w:r>
      <w:r w:rsidR="005371EE">
        <w:t>the previous section</w:t>
      </w:r>
      <w:r w:rsidR="006A46A7">
        <w:t>)</w:t>
      </w:r>
      <w:r w:rsidR="007667BA">
        <w:t>.</w:t>
      </w:r>
      <w:r w:rsidR="00DA1CF8">
        <w:t xml:space="preserve"> The Panel’s views on </w:t>
      </w:r>
      <w:r w:rsidR="00D03B83">
        <w:t xml:space="preserve">each of </w:t>
      </w:r>
      <w:r w:rsidR="00DA1CF8">
        <w:t xml:space="preserve">these </w:t>
      </w:r>
      <w:r w:rsidR="00F95F11">
        <w:t xml:space="preserve">points </w:t>
      </w:r>
      <w:r w:rsidR="00DA1CF8">
        <w:t>are set out below</w:t>
      </w:r>
      <w:r w:rsidR="00264619">
        <w:t xml:space="preserve"> followed by the Panel’s overall conclusions.</w:t>
      </w:r>
    </w:p>
    <w:p w14:paraId="0E4AD1D8" w14:textId="6513C754" w:rsidR="00A617B9" w:rsidRPr="00A617B9" w:rsidRDefault="00A617B9" w:rsidP="00A617B9">
      <w:pPr>
        <w:keepNext/>
        <w:spacing w:before="240"/>
        <w:rPr>
          <w:b/>
          <w:bCs/>
        </w:rPr>
      </w:pPr>
      <w:r w:rsidRPr="00A617B9">
        <w:rPr>
          <w:b/>
          <w:bCs/>
        </w:rPr>
        <w:lastRenderedPageBreak/>
        <w:t xml:space="preserve">7.2.1 Panel’s views on the scope of </w:t>
      </w:r>
      <w:r w:rsidR="001938DE">
        <w:rPr>
          <w:b/>
          <w:bCs/>
        </w:rPr>
        <w:t>B</w:t>
      </w:r>
      <w:r w:rsidRPr="00A617B9">
        <w:rPr>
          <w:b/>
          <w:bCs/>
        </w:rPr>
        <w:t>idder</w:t>
      </w:r>
      <w:r w:rsidR="001938DE">
        <w:rPr>
          <w:b/>
          <w:bCs/>
        </w:rPr>
        <w:t xml:space="preserve"> A</w:t>
      </w:r>
      <w:r w:rsidRPr="00A617B9">
        <w:rPr>
          <w:b/>
          <w:bCs/>
        </w:rPr>
        <w:t>’s allegations</w:t>
      </w:r>
    </w:p>
    <w:p w14:paraId="3991BE1C" w14:textId="7726E27B" w:rsidR="002B2DD8" w:rsidRDefault="00053994" w:rsidP="00730A82">
      <w:pPr>
        <w:pStyle w:val="ListParagraph"/>
        <w:ind w:left="567" w:hanging="567"/>
      </w:pPr>
      <w:r>
        <w:t>T</w:t>
      </w:r>
      <w:r w:rsidR="00501330">
        <w:t xml:space="preserve">he Panel notes </w:t>
      </w:r>
      <w:r w:rsidR="002F33B3">
        <w:t>BNSSG’s</w:t>
      </w:r>
      <w:r w:rsidR="00501330">
        <w:t xml:space="preserve"> point </w:t>
      </w:r>
      <w:r w:rsidR="002F33B3">
        <w:t xml:space="preserve">that </w:t>
      </w:r>
      <w:r w:rsidR="00F95F11">
        <w:t>B</w:t>
      </w:r>
      <w:r w:rsidR="002F33B3">
        <w:t xml:space="preserve">idder </w:t>
      </w:r>
      <w:r w:rsidR="00F95F11">
        <w:t xml:space="preserve">A </w:t>
      </w:r>
      <w:r w:rsidR="002F33B3">
        <w:t xml:space="preserve">did not make allegations </w:t>
      </w:r>
      <w:r w:rsidR="002B2DD8">
        <w:t xml:space="preserve">beyond the two </w:t>
      </w:r>
      <w:r>
        <w:t xml:space="preserve">issues </w:t>
      </w:r>
      <w:r w:rsidR="002B2DD8">
        <w:t>set out in its letter</w:t>
      </w:r>
      <w:r w:rsidR="001E4C09">
        <w:t>.</w:t>
      </w:r>
      <w:r w:rsidR="002B2DD8">
        <w:t xml:space="preserve"> (</w:t>
      </w:r>
      <w:r w:rsidR="001E4C09">
        <w:t xml:space="preserve">To recap, these were that: </w:t>
      </w:r>
      <w:r w:rsidR="002B2DD8">
        <w:t xml:space="preserve">(i) the contract would be awarded to EMED to settle the ongoing litigation and (ii) </w:t>
      </w:r>
      <w:r w:rsidR="008719F0">
        <w:t xml:space="preserve">Bidder A’s proposal </w:t>
      </w:r>
      <w:r w:rsidR="001E4C09">
        <w:t xml:space="preserve">was marked down so the contract could be awarded to EMED – see paragraph </w:t>
      </w:r>
      <w:r w:rsidR="001E4C09">
        <w:fldChar w:fldCharType="begin"/>
      </w:r>
      <w:r w:rsidR="001E4C09">
        <w:instrText xml:space="preserve"> REF _Ref219314158 \r \h </w:instrText>
      </w:r>
      <w:r w:rsidR="001E4C09">
        <w:fldChar w:fldCharType="separate"/>
      </w:r>
      <w:r w:rsidR="00785E99">
        <w:t>46</w:t>
      </w:r>
      <w:r w:rsidR="001E4C09">
        <w:fldChar w:fldCharType="end"/>
      </w:r>
      <w:r w:rsidR="001E4C09">
        <w:t>).</w:t>
      </w:r>
    </w:p>
    <w:p w14:paraId="7671B4F7" w14:textId="00CDB887" w:rsidR="006E30E6" w:rsidRDefault="00CF3EDA" w:rsidP="00730A82">
      <w:pPr>
        <w:pStyle w:val="ListParagraph"/>
        <w:ind w:left="567" w:hanging="567"/>
      </w:pPr>
      <w:r>
        <w:t>The Panel</w:t>
      </w:r>
      <w:r w:rsidR="00901020">
        <w:t>’s view</w:t>
      </w:r>
      <w:r>
        <w:t xml:space="preserve">, </w:t>
      </w:r>
      <w:r w:rsidR="00923EBE">
        <w:t xml:space="preserve">as set out in paragraph </w:t>
      </w:r>
      <w:r w:rsidR="00111F86">
        <w:fldChar w:fldCharType="begin"/>
      </w:r>
      <w:r w:rsidR="00111F86">
        <w:instrText xml:space="preserve"> REF _Ref221467174 \r \h </w:instrText>
      </w:r>
      <w:r w:rsidR="00111F86">
        <w:fldChar w:fldCharType="separate"/>
      </w:r>
      <w:r w:rsidR="00785E99">
        <w:t>53</w:t>
      </w:r>
      <w:r w:rsidR="00111F86">
        <w:fldChar w:fldCharType="end"/>
      </w:r>
      <w:r w:rsidR="00111F86">
        <w:t>,</w:t>
      </w:r>
      <w:r>
        <w:t xml:space="preserve"> </w:t>
      </w:r>
      <w:r w:rsidR="00901020">
        <w:t xml:space="preserve">is </w:t>
      </w:r>
      <w:r w:rsidR="00DB5F8E">
        <w:t xml:space="preserve">that even though </w:t>
      </w:r>
      <w:r w:rsidR="00DF6CF0">
        <w:t>B</w:t>
      </w:r>
      <w:r w:rsidR="00DB5F8E">
        <w:t>idder</w:t>
      </w:r>
      <w:r w:rsidR="00DF6CF0">
        <w:t xml:space="preserve"> A</w:t>
      </w:r>
      <w:r w:rsidR="00AF4A92">
        <w:t xml:space="preserve"> may have only made the two </w:t>
      </w:r>
      <w:r w:rsidR="00DB5F8E">
        <w:t xml:space="preserve">allegations </w:t>
      </w:r>
      <w:r w:rsidR="00AF4A92">
        <w:t>set out above</w:t>
      </w:r>
      <w:r w:rsidR="00DB5F8E">
        <w:t xml:space="preserve">, this does not </w:t>
      </w:r>
      <w:r w:rsidR="008E13AB">
        <w:t xml:space="preserve">mean these are the only concerns </w:t>
      </w:r>
      <w:r w:rsidR="0044557A">
        <w:t xml:space="preserve">that </w:t>
      </w:r>
      <w:r w:rsidR="006E3038">
        <w:t>arose</w:t>
      </w:r>
      <w:r w:rsidR="008E13AB">
        <w:t xml:space="preserve"> </w:t>
      </w:r>
      <w:r w:rsidR="0044557A">
        <w:t xml:space="preserve">for BNSSG </w:t>
      </w:r>
      <w:r w:rsidR="008E13AB">
        <w:t xml:space="preserve">from </w:t>
      </w:r>
      <w:r w:rsidR="00DF6CF0">
        <w:t>B</w:t>
      </w:r>
      <w:r w:rsidR="008E13AB">
        <w:t>idder</w:t>
      </w:r>
      <w:r w:rsidR="00DF6CF0">
        <w:t xml:space="preserve"> A</w:t>
      </w:r>
      <w:r w:rsidR="008E13AB">
        <w:t>’s letter</w:t>
      </w:r>
      <w:r w:rsidR="00B43108">
        <w:t xml:space="preserve">. </w:t>
      </w:r>
      <w:r w:rsidR="000D0349">
        <w:t xml:space="preserve">For example, </w:t>
      </w:r>
      <w:r w:rsidR="00DF6CF0">
        <w:t>B</w:t>
      </w:r>
      <w:r w:rsidR="000D0349">
        <w:t>idder</w:t>
      </w:r>
      <w:r w:rsidR="00DF6CF0">
        <w:t xml:space="preserve"> A</w:t>
      </w:r>
      <w:r w:rsidR="000D0349">
        <w:t xml:space="preserve">’s letter gives rise to questions about whether </w:t>
      </w:r>
      <w:r w:rsidR="00623C97">
        <w:t xml:space="preserve">other confidential information about the provider selection process was shared and whether </w:t>
      </w:r>
      <w:r w:rsidR="000D0349">
        <w:t xml:space="preserve">the conflict of interest provisions of the PSR regulations </w:t>
      </w:r>
      <w:r w:rsidR="005130DC">
        <w:t>were</w:t>
      </w:r>
      <w:r w:rsidR="000D0349">
        <w:t xml:space="preserve"> breached</w:t>
      </w:r>
      <w:r w:rsidR="00574B10">
        <w:t xml:space="preserve">, even though </w:t>
      </w:r>
      <w:r w:rsidR="00596175">
        <w:t>these issues are</w:t>
      </w:r>
      <w:r w:rsidR="00574B10">
        <w:t xml:space="preserve"> not raised in </w:t>
      </w:r>
      <w:r w:rsidR="005130DC">
        <w:t>B</w:t>
      </w:r>
      <w:r w:rsidR="00574B10">
        <w:t>idder</w:t>
      </w:r>
      <w:r w:rsidR="005130DC">
        <w:t xml:space="preserve"> A</w:t>
      </w:r>
      <w:r w:rsidR="00574B10">
        <w:t>’s letter.</w:t>
      </w:r>
    </w:p>
    <w:p w14:paraId="5C89D382" w14:textId="079C3908" w:rsidR="00A320E2" w:rsidRDefault="00E84959" w:rsidP="00730A82">
      <w:pPr>
        <w:pStyle w:val="ListParagraph"/>
        <w:ind w:left="567" w:hanging="567"/>
      </w:pPr>
      <w:bookmarkStart w:id="42" w:name="_Ref219908637"/>
      <w:r>
        <w:t>T</w:t>
      </w:r>
      <w:r w:rsidR="00C64BD3">
        <w:t xml:space="preserve">he Panel’s view is that </w:t>
      </w:r>
      <w:r w:rsidR="00DC54F9">
        <w:t xml:space="preserve">for BNSSG to assure itself </w:t>
      </w:r>
      <w:r w:rsidR="00070F54">
        <w:t xml:space="preserve">of </w:t>
      </w:r>
      <w:r w:rsidR="00DC54F9">
        <w:t>the integrity of its provider selection process</w:t>
      </w:r>
      <w:r w:rsidR="004A0FD6">
        <w:t xml:space="preserve"> it </w:t>
      </w:r>
      <w:r>
        <w:t xml:space="preserve">needs to </w:t>
      </w:r>
      <w:r w:rsidR="004A0FD6">
        <w:t>have</w:t>
      </w:r>
      <w:r w:rsidR="002E0DE2">
        <w:t>: (i)</w:t>
      </w:r>
      <w:r w:rsidR="004A0FD6">
        <w:t xml:space="preserve"> </w:t>
      </w:r>
      <w:r w:rsidR="00057108">
        <w:t xml:space="preserve">identified all of the issues raised by </w:t>
      </w:r>
      <w:r w:rsidR="005130DC">
        <w:t>B</w:t>
      </w:r>
      <w:r w:rsidR="00057108">
        <w:t>idder</w:t>
      </w:r>
      <w:r w:rsidR="005130DC">
        <w:t xml:space="preserve"> A</w:t>
      </w:r>
      <w:r w:rsidR="00057108">
        <w:t>’s letter</w:t>
      </w:r>
      <w:r w:rsidR="00344AD8">
        <w:t xml:space="preserve">, </w:t>
      </w:r>
      <w:r w:rsidR="00553BAF">
        <w:t xml:space="preserve">going beyond </w:t>
      </w:r>
      <w:r w:rsidR="00344AD8">
        <w:t>the two immediate allegations set out in the letter</w:t>
      </w:r>
      <w:r w:rsidR="002E0DE2">
        <w:t>; (ii)</w:t>
      </w:r>
      <w:r w:rsidR="00CA2EAB">
        <w:t> </w:t>
      </w:r>
      <w:r w:rsidR="00910108">
        <w:t>considered how these issues may have affected the provider selection process</w:t>
      </w:r>
      <w:r w:rsidR="002E0DE2">
        <w:t>;</w:t>
      </w:r>
      <w:r w:rsidR="00910108">
        <w:t xml:space="preserve"> </w:t>
      </w:r>
      <w:r w:rsidR="00057108">
        <w:t xml:space="preserve">and </w:t>
      </w:r>
      <w:r w:rsidR="002E0DE2">
        <w:t xml:space="preserve">(iii) </w:t>
      </w:r>
      <w:r w:rsidR="004A0FD6">
        <w:t xml:space="preserve">assured itself </w:t>
      </w:r>
      <w:r w:rsidR="00140C2C">
        <w:t xml:space="preserve">about the integrity of the provider selection process </w:t>
      </w:r>
      <w:r w:rsidR="00344AD8">
        <w:t>in relation to each of these issues</w:t>
      </w:r>
      <w:r w:rsidR="004A0FD6">
        <w:t>.</w:t>
      </w:r>
      <w:bookmarkEnd w:id="42"/>
    </w:p>
    <w:p w14:paraId="63D8D7CF" w14:textId="2D6E3FC8" w:rsidR="00C64BD3" w:rsidRDefault="00111CB8" w:rsidP="00730A82">
      <w:pPr>
        <w:pStyle w:val="ListParagraph"/>
        <w:ind w:left="567" w:hanging="567"/>
      </w:pPr>
      <w:r>
        <w:t>Th</w:t>
      </w:r>
      <w:r w:rsidR="00B260B7">
        <w:t>e Panel has not seen evidence</w:t>
      </w:r>
      <w:r w:rsidR="00CE0D83">
        <w:t>,</w:t>
      </w:r>
      <w:r w:rsidR="00B260B7">
        <w:t xml:space="preserve"> </w:t>
      </w:r>
      <w:r w:rsidR="00CE0D83">
        <w:t>as discussed further in Section 7.2.3,</w:t>
      </w:r>
      <w:r w:rsidR="00B260B7">
        <w:t xml:space="preserve"> that </w:t>
      </w:r>
      <w:r w:rsidR="00A4019D">
        <w:t xml:space="preserve">the process </w:t>
      </w:r>
      <w:r w:rsidR="00EE06ED">
        <w:t xml:space="preserve">engaged in </w:t>
      </w:r>
      <w:r w:rsidR="00A4019D">
        <w:t xml:space="preserve">by </w:t>
      </w:r>
      <w:r w:rsidR="00B260B7">
        <w:t xml:space="preserve">BNSSG </w:t>
      </w:r>
      <w:r w:rsidR="00EE06ED">
        <w:t xml:space="preserve">allowed </w:t>
      </w:r>
      <w:r w:rsidR="00A4019D">
        <w:t>it</w:t>
      </w:r>
      <w:r w:rsidR="00623EBD">
        <w:t xml:space="preserve"> to </w:t>
      </w:r>
      <w:r w:rsidR="00F02A1B">
        <w:t xml:space="preserve">gain </w:t>
      </w:r>
      <w:r w:rsidR="00623EBD">
        <w:t>this assurance</w:t>
      </w:r>
      <w:r w:rsidR="00A320E2">
        <w:t>.</w:t>
      </w:r>
    </w:p>
    <w:p w14:paraId="1ECD7E40" w14:textId="46255D85" w:rsidR="00BA04E1" w:rsidRPr="00486805" w:rsidRDefault="00BA04E1" w:rsidP="00486805">
      <w:pPr>
        <w:keepNext/>
        <w:spacing w:before="240"/>
        <w:rPr>
          <w:b/>
          <w:bCs/>
        </w:rPr>
      </w:pPr>
      <w:r w:rsidRPr="00486805">
        <w:rPr>
          <w:b/>
          <w:bCs/>
        </w:rPr>
        <w:t xml:space="preserve">7.2.2 Panel’s views on </w:t>
      </w:r>
      <w:r w:rsidR="00603E5A" w:rsidRPr="00486805">
        <w:rPr>
          <w:b/>
          <w:bCs/>
        </w:rPr>
        <w:t xml:space="preserve">relevance of </w:t>
      </w:r>
      <w:r w:rsidR="00486805" w:rsidRPr="00486805">
        <w:rPr>
          <w:b/>
          <w:bCs/>
        </w:rPr>
        <w:t>the identity of the “</w:t>
      </w:r>
      <w:r w:rsidR="00705325">
        <w:rPr>
          <w:b/>
          <w:bCs/>
        </w:rPr>
        <w:t>well-placed, senior</w:t>
      </w:r>
      <w:r w:rsidR="00486805" w:rsidRPr="00486805">
        <w:rPr>
          <w:b/>
          <w:bCs/>
        </w:rPr>
        <w:t>” individual at BNSSG</w:t>
      </w:r>
    </w:p>
    <w:p w14:paraId="5EF296A9" w14:textId="209572D9" w:rsidR="001D29E6" w:rsidRDefault="00891CA2" w:rsidP="00730A82">
      <w:pPr>
        <w:pStyle w:val="ListParagraph"/>
        <w:ind w:left="567" w:hanging="567"/>
      </w:pPr>
      <w:r>
        <w:t xml:space="preserve">The Panel notes </w:t>
      </w:r>
      <w:r w:rsidR="001D29E6">
        <w:t xml:space="preserve">BNSSG’s view </w:t>
      </w:r>
      <w:r w:rsidR="001D29E6" w:rsidRPr="000B0BF5">
        <w:t xml:space="preserve">that </w:t>
      </w:r>
      <w:r w:rsidR="000B0BF5">
        <w:t>“</w:t>
      </w:r>
      <w:r w:rsidR="000B0BF5" w:rsidRPr="0073662C">
        <w:t xml:space="preserve">given the Board's conclusion that the allegations contained in the 2 September letter were without merit, it was unnecessary for the investigation </w:t>
      </w:r>
      <w:r w:rsidR="00232240">
        <w:t>[into the identity of the “well</w:t>
      </w:r>
      <w:r w:rsidR="00455532">
        <w:t>-</w:t>
      </w:r>
      <w:r w:rsidR="00232240">
        <w:t>placed, senior” in</w:t>
      </w:r>
      <w:r w:rsidR="00E769AC">
        <w:t xml:space="preserve">dividual at BNSSG] </w:t>
      </w:r>
      <w:r w:rsidR="000B0BF5" w:rsidRPr="0073662C">
        <w:t>to be undertaken prior to the conclusion of the procurement</w:t>
      </w:r>
      <w:r w:rsidR="000B0BF5">
        <w:t>”</w:t>
      </w:r>
      <w:r w:rsidR="00E769AC">
        <w:t xml:space="preserve"> (see paragraph </w:t>
      </w:r>
      <w:r w:rsidR="00E769AC">
        <w:fldChar w:fldCharType="begin"/>
      </w:r>
      <w:r w:rsidR="00E769AC">
        <w:instrText xml:space="preserve"> REF _Ref220397772 \r \h </w:instrText>
      </w:r>
      <w:r w:rsidR="00E769AC">
        <w:fldChar w:fldCharType="separate"/>
      </w:r>
      <w:r w:rsidR="00785E99">
        <w:t>55</w:t>
      </w:r>
      <w:r w:rsidR="00E769AC">
        <w:fldChar w:fldCharType="end"/>
      </w:r>
      <w:r w:rsidR="00E769AC">
        <w:t>).</w:t>
      </w:r>
      <w:r w:rsidR="00D912B4" w:rsidRPr="00D912B4">
        <w:t xml:space="preserve"> </w:t>
      </w:r>
      <w:r w:rsidR="00D912B4">
        <w:t>The Panel understands that BNSSG remains unaware of the identity of this individual.</w:t>
      </w:r>
    </w:p>
    <w:p w14:paraId="07864D8B" w14:textId="178150E2" w:rsidR="00D912B4" w:rsidRDefault="00D912B4" w:rsidP="009F351A">
      <w:pPr>
        <w:pStyle w:val="ListParagraph"/>
        <w:ind w:left="567" w:hanging="567"/>
      </w:pPr>
      <w:bookmarkStart w:id="43" w:name="_Ref220593987"/>
      <w:r>
        <w:t>The Panel’s view is that</w:t>
      </w:r>
      <w:r w:rsidR="0031130E">
        <w:t xml:space="preserve"> BNSSG’s conclusions about the </w:t>
      </w:r>
      <w:r w:rsidR="007A443B">
        <w:t xml:space="preserve">merits of the </w:t>
      </w:r>
      <w:r w:rsidR="0031130E">
        <w:t xml:space="preserve">allegations in Bidder A’s letter </w:t>
      </w:r>
      <w:r w:rsidR="00455532">
        <w:t xml:space="preserve">would ideally have been informed by discussions with </w:t>
      </w:r>
      <w:r w:rsidR="007A443B">
        <w:t>the</w:t>
      </w:r>
      <w:r w:rsidR="00455532">
        <w:t xml:space="preserve"> “well-placed, senior” staff member who thought that the process was flawed. </w:t>
      </w:r>
      <w:r>
        <w:t>This would have allowed BNSSG</w:t>
      </w:r>
      <w:r w:rsidR="009F351A">
        <w:t xml:space="preserve"> </w:t>
      </w:r>
      <w:r>
        <w:t>to take account of th</w:t>
      </w:r>
      <w:r w:rsidR="009F351A">
        <w:t>is</w:t>
      </w:r>
      <w:r>
        <w:t xml:space="preserve"> individual’s concerns, verif</w:t>
      </w:r>
      <w:r w:rsidR="00396F40">
        <w:t>y</w:t>
      </w:r>
      <w:r>
        <w:t xml:space="preserve"> the accuracy of their allegations, and underst</w:t>
      </w:r>
      <w:r w:rsidR="00396F40">
        <w:t>and</w:t>
      </w:r>
      <w:r>
        <w:t xml:space="preserve"> the rationale for their actions.</w:t>
      </w:r>
      <w:r w:rsidR="00F8270E">
        <w:t xml:space="preserve"> BNSSG may have reached a different conclusion about </w:t>
      </w:r>
      <w:r w:rsidR="0082050E">
        <w:t>the merits of the individual’s allegations if it had had the benefit of discussing those allegations with the individual</w:t>
      </w:r>
      <w:r w:rsidR="000D1F68">
        <w:t xml:space="preserve"> concerned</w:t>
      </w:r>
      <w:r w:rsidR="0082050E">
        <w:t>.</w:t>
      </w:r>
      <w:bookmarkEnd w:id="43"/>
    </w:p>
    <w:p w14:paraId="6B670656" w14:textId="72F72CD0" w:rsidR="00235BB4" w:rsidRDefault="001877B5" w:rsidP="00235BB4">
      <w:pPr>
        <w:pStyle w:val="ListParagraph"/>
        <w:ind w:left="567" w:hanging="567"/>
      </w:pPr>
      <w:r>
        <w:t>The Panel appreciates that identifying the “</w:t>
      </w:r>
      <w:r w:rsidR="00705325">
        <w:t>well-placed, senior</w:t>
      </w:r>
      <w:r>
        <w:t>” individual at BNSSG may not be straightforward</w:t>
      </w:r>
      <w:r w:rsidR="00523A8B">
        <w:t xml:space="preserve"> given that t</w:t>
      </w:r>
      <w:r>
        <w:t>his individual has chosen not to raise their concerns through BNSSG’s internal channels.</w:t>
      </w:r>
      <w:r w:rsidR="00235BB4">
        <w:t xml:space="preserve"> </w:t>
      </w:r>
      <w:r w:rsidR="002F0358">
        <w:t>T</w:t>
      </w:r>
      <w:r w:rsidR="00CB47E8" w:rsidRPr="00CB47E8">
        <w:t>he Panel</w:t>
      </w:r>
      <w:r w:rsidR="002F0358">
        <w:t>, however,</w:t>
      </w:r>
      <w:r w:rsidR="00CB47E8" w:rsidRPr="00CB47E8">
        <w:t xml:space="preserve"> also notes that </w:t>
      </w:r>
      <w:r w:rsidR="0011191F">
        <w:t xml:space="preserve">it is likely that </w:t>
      </w:r>
      <w:r w:rsidR="00CB47E8" w:rsidRPr="00CB47E8">
        <w:t xml:space="preserve">only a limited number of BNSSG staff would have been aware </w:t>
      </w:r>
      <w:r w:rsidR="00054BF7">
        <w:t xml:space="preserve">that </w:t>
      </w:r>
      <w:r w:rsidR="00CB47E8" w:rsidRPr="00CB47E8">
        <w:t xml:space="preserve">EMED </w:t>
      </w:r>
      <w:r w:rsidR="00054BF7">
        <w:t>w</w:t>
      </w:r>
      <w:r w:rsidR="00CB47E8" w:rsidRPr="00CB47E8">
        <w:t xml:space="preserve">as the successful bidder </w:t>
      </w:r>
      <w:r w:rsidR="00742E39">
        <w:t xml:space="preserve">before the announcement </w:t>
      </w:r>
      <w:r w:rsidR="00CB47E8" w:rsidRPr="00CB47E8">
        <w:t xml:space="preserve">and therefore </w:t>
      </w:r>
      <w:r w:rsidR="00742E39">
        <w:t xml:space="preserve">in a position </w:t>
      </w:r>
      <w:r w:rsidR="00CB47E8" w:rsidRPr="00CB47E8">
        <w:t xml:space="preserve">to disclose this information </w:t>
      </w:r>
      <w:r w:rsidR="004F017C">
        <w:t>to Bidder A</w:t>
      </w:r>
      <w:r w:rsidR="00CB47E8" w:rsidRPr="00CB47E8">
        <w:t>.</w:t>
      </w:r>
    </w:p>
    <w:p w14:paraId="57329896" w14:textId="04BAAF2A" w:rsidR="00CE5F8F" w:rsidRDefault="00930D34" w:rsidP="00DB1B39">
      <w:pPr>
        <w:pStyle w:val="ListParagraph"/>
        <w:ind w:left="567" w:hanging="567"/>
      </w:pPr>
      <w:bookmarkStart w:id="44" w:name="_Ref219906359"/>
      <w:r>
        <w:t>N</w:t>
      </w:r>
      <w:r w:rsidR="007755E3">
        <w:t>o evidence has been shared with the Panel to suggest that</w:t>
      </w:r>
      <w:r w:rsidR="00556513">
        <w:t xml:space="preserve"> </w:t>
      </w:r>
      <w:r w:rsidR="00A357CF">
        <w:t xml:space="preserve">BNSSG, in the two days </w:t>
      </w:r>
      <w:r w:rsidR="00CF2542">
        <w:t xml:space="preserve">between receiving </w:t>
      </w:r>
      <w:r w:rsidR="008D6B45">
        <w:t>B</w:t>
      </w:r>
      <w:r w:rsidR="00CF2542">
        <w:t>idder</w:t>
      </w:r>
      <w:r w:rsidR="008D6B45">
        <w:t xml:space="preserve"> A</w:t>
      </w:r>
      <w:r w:rsidR="00CF2542">
        <w:t xml:space="preserve">’s letter and </w:t>
      </w:r>
      <w:r w:rsidR="005579B3">
        <w:t>confirm</w:t>
      </w:r>
      <w:r w:rsidR="0056072F">
        <w:t>ing</w:t>
      </w:r>
      <w:r w:rsidR="005579B3">
        <w:t xml:space="preserve"> the award of the contract</w:t>
      </w:r>
      <w:r w:rsidR="009D7ED5">
        <w:t xml:space="preserve"> </w:t>
      </w:r>
      <w:r w:rsidR="00314E96">
        <w:t>to</w:t>
      </w:r>
      <w:r w:rsidR="00DB1B39">
        <w:t xml:space="preserve"> </w:t>
      </w:r>
      <w:r w:rsidR="005579B3">
        <w:t>EMED</w:t>
      </w:r>
      <w:r w:rsidR="0023473B">
        <w:t xml:space="preserve">: </w:t>
      </w:r>
      <w:r w:rsidR="0023473B">
        <w:lastRenderedPageBreak/>
        <w:t xml:space="preserve">(i) </w:t>
      </w:r>
      <w:r w:rsidR="00DB1B39">
        <w:t>assess</w:t>
      </w:r>
      <w:r w:rsidR="00FB2B93">
        <w:t>ed</w:t>
      </w:r>
      <w:r w:rsidR="00DB1B39">
        <w:t xml:space="preserve"> </w:t>
      </w:r>
      <w:r w:rsidR="00A357CF">
        <w:t>whether the individual could be identified</w:t>
      </w:r>
      <w:r w:rsidR="0023473B">
        <w:t>; (ii)</w:t>
      </w:r>
      <w:r w:rsidR="00A357CF">
        <w:t xml:space="preserve"> </w:t>
      </w:r>
      <w:r w:rsidR="00DB1B39">
        <w:t>review</w:t>
      </w:r>
      <w:r w:rsidR="00FB2B93">
        <w:t>ed</w:t>
      </w:r>
      <w:r w:rsidR="00DB1B39">
        <w:t xml:space="preserve"> any </w:t>
      </w:r>
      <w:r w:rsidR="00A357CF">
        <w:t xml:space="preserve">potential </w:t>
      </w:r>
      <w:r w:rsidR="00DB1B39">
        <w:t xml:space="preserve">constraints on </w:t>
      </w:r>
      <w:r w:rsidR="00A357CF">
        <w:t xml:space="preserve">attempting to </w:t>
      </w:r>
      <w:r w:rsidR="00E7086C">
        <w:t>identify the individual (e.g. legal, regulatory or employment-related</w:t>
      </w:r>
      <w:r w:rsidR="003F2FB4">
        <w:t xml:space="preserve"> constraints</w:t>
      </w:r>
      <w:r w:rsidR="00FE1EAB">
        <w:t>)</w:t>
      </w:r>
      <w:r w:rsidR="0023473B">
        <w:t>;</w:t>
      </w:r>
      <w:r w:rsidR="00AB6A20">
        <w:t xml:space="preserve"> or </w:t>
      </w:r>
      <w:r w:rsidR="0023473B">
        <w:t xml:space="preserve">(iii) </w:t>
      </w:r>
      <w:r w:rsidR="00FB2B93">
        <w:t>took</w:t>
      </w:r>
      <w:r w:rsidR="0023473B">
        <w:t xml:space="preserve"> any other</w:t>
      </w:r>
      <w:r w:rsidR="00AB6A20">
        <w:t xml:space="preserve"> actions such as </w:t>
      </w:r>
      <w:bookmarkEnd w:id="44"/>
      <w:r w:rsidR="00415FDD">
        <w:t xml:space="preserve">revisiting </w:t>
      </w:r>
      <w:r w:rsidR="008E5076">
        <w:t>the conflict of interest declarations and confidentiality undertakings provided by those involved in the procurement.</w:t>
      </w:r>
    </w:p>
    <w:p w14:paraId="7943FE63" w14:textId="1057851C" w:rsidR="00DA68E9" w:rsidRDefault="00DA68E9" w:rsidP="007755E3">
      <w:pPr>
        <w:pStyle w:val="ListParagraph"/>
        <w:ind w:left="567" w:hanging="567"/>
      </w:pPr>
      <w:r>
        <w:t>The Panel’s view is that</w:t>
      </w:r>
      <w:r w:rsidR="003D732B">
        <w:t xml:space="preserve">, given the potential benefits from understanding more about the allegations made by </w:t>
      </w:r>
      <w:r w:rsidR="00833C87">
        <w:t>the “well-placed, senior” staff member</w:t>
      </w:r>
      <w:r w:rsidR="003D732B">
        <w:t>,</w:t>
      </w:r>
      <w:r>
        <w:t xml:space="preserve"> BNSSG should have </w:t>
      </w:r>
      <w:r w:rsidR="00227EC0">
        <w:t xml:space="preserve">identified and carried out appropriate </w:t>
      </w:r>
      <w:r w:rsidR="00223EA8">
        <w:t xml:space="preserve">further </w:t>
      </w:r>
      <w:r w:rsidR="008443B4">
        <w:t>action</w:t>
      </w:r>
      <w:r w:rsidR="00227EC0">
        <w:t>s with respect</w:t>
      </w:r>
      <w:r w:rsidR="008443B4">
        <w:t xml:space="preserve"> to </w:t>
      </w:r>
      <w:r>
        <w:t>identify</w:t>
      </w:r>
      <w:r w:rsidR="00227EC0">
        <w:t>ing</w:t>
      </w:r>
      <w:r>
        <w:t xml:space="preserve"> </w:t>
      </w:r>
      <w:r w:rsidR="00833C87">
        <w:t>this individual</w:t>
      </w:r>
      <w:r w:rsidR="00C774E3">
        <w:t xml:space="preserve"> </w:t>
      </w:r>
      <w:r w:rsidR="00D819B1">
        <w:t>before decid</w:t>
      </w:r>
      <w:r w:rsidR="00227EC0">
        <w:t xml:space="preserve">ing </w:t>
      </w:r>
      <w:r w:rsidR="00D819B1">
        <w:t>to proceed with awarding the contract to EMED</w:t>
      </w:r>
      <w:r w:rsidR="006A63D7">
        <w:t xml:space="preserve">. </w:t>
      </w:r>
      <w:r w:rsidR="00BE6BB9">
        <w:t xml:space="preserve">The Panel appreciates that </w:t>
      </w:r>
      <w:r w:rsidR="00C978FD">
        <w:t xml:space="preserve">BNSSG may not have been successful in identifying this individual, but the possibility of such an outcome should not preclude </w:t>
      </w:r>
      <w:r w:rsidR="001C65C3">
        <w:t>any efforts to do so.</w:t>
      </w:r>
    </w:p>
    <w:p w14:paraId="3C2C349F" w14:textId="512302BE" w:rsidR="007A35B1" w:rsidRPr="004F5CA7" w:rsidRDefault="00D252EB" w:rsidP="00D252EB">
      <w:pPr>
        <w:keepNext/>
        <w:spacing w:before="240"/>
        <w:rPr>
          <w:b/>
        </w:rPr>
      </w:pPr>
      <w:r>
        <w:rPr>
          <w:b/>
        </w:rPr>
        <w:t xml:space="preserve">7.2.3 </w:t>
      </w:r>
      <w:r w:rsidR="007A35B1" w:rsidRPr="004F5CA7">
        <w:rPr>
          <w:b/>
        </w:rPr>
        <w:t xml:space="preserve">Panel’s views on </w:t>
      </w:r>
      <w:r w:rsidR="00CD7615" w:rsidRPr="004F5CA7">
        <w:rPr>
          <w:b/>
        </w:rPr>
        <w:t xml:space="preserve">the </w:t>
      </w:r>
      <w:r w:rsidR="007A35B1" w:rsidRPr="004F5CA7">
        <w:rPr>
          <w:b/>
        </w:rPr>
        <w:t>BNSSG</w:t>
      </w:r>
      <w:r w:rsidR="00CD7615" w:rsidRPr="004F5CA7">
        <w:rPr>
          <w:b/>
        </w:rPr>
        <w:t xml:space="preserve"> Board</w:t>
      </w:r>
      <w:r w:rsidR="00D65AFD" w:rsidRPr="004F5CA7">
        <w:rPr>
          <w:b/>
        </w:rPr>
        <w:t>’s</w:t>
      </w:r>
      <w:r w:rsidR="00CD7615" w:rsidRPr="004F5CA7">
        <w:rPr>
          <w:b/>
        </w:rPr>
        <w:t xml:space="preserve"> review of the bidder’s allegations</w:t>
      </w:r>
    </w:p>
    <w:p w14:paraId="439F3072" w14:textId="445B7D3A" w:rsidR="00A430C8" w:rsidRDefault="0086643A" w:rsidP="0051097B">
      <w:pPr>
        <w:pStyle w:val="ListParagraph"/>
        <w:ind w:left="567" w:hanging="567"/>
      </w:pPr>
      <w:r>
        <w:t xml:space="preserve">The Panel </w:t>
      </w:r>
      <w:r w:rsidR="00240F77">
        <w:t>notes that BNSSG</w:t>
      </w:r>
      <w:r w:rsidR="00787A82">
        <w:t xml:space="preserve"> sought </w:t>
      </w:r>
      <w:r w:rsidR="00274D53">
        <w:t xml:space="preserve">to </w:t>
      </w:r>
      <w:r w:rsidR="00787A82">
        <w:t>assur</w:t>
      </w:r>
      <w:r w:rsidR="00274D53">
        <w:t>e itself</w:t>
      </w:r>
      <w:r w:rsidR="00787A82">
        <w:t xml:space="preserve"> </w:t>
      </w:r>
      <w:r w:rsidR="00207435">
        <w:t xml:space="preserve">about the </w:t>
      </w:r>
      <w:r w:rsidR="00274D53">
        <w:t xml:space="preserve">integrity of the </w:t>
      </w:r>
      <w:r w:rsidR="00C55E8C">
        <w:t xml:space="preserve">provider selection process for the </w:t>
      </w:r>
      <w:r w:rsidR="00483E6B">
        <w:t>P</w:t>
      </w:r>
      <w:r w:rsidR="00C55E8C">
        <w:t xml:space="preserve">lanned NEPTS contract </w:t>
      </w:r>
      <w:r w:rsidR="00B47073">
        <w:t xml:space="preserve">at </w:t>
      </w:r>
      <w:r w:rsidR="00B47073" w:rsidRPr="00B47073">
        <w:t>the BNSSG Board meeting on 4</w:t>
      </w:r>
      <w:r w:rsidR="003922C9">
        <w:t> </w:t>
      </w:r>
      <w:r w:rsidR="00B47073" w:rsidRPr="00B47073">
        <w:t>September 2025</w:t>
      </w:r>
      <w:r w:rsidR="003922C9">
        <w:t xml:space="preserve">. At this meeting, </w:t>
      </w:r>
      <w:r w:rsidR="00D802E5">
        <w:t>the</w:t>
      </w:r>
      <w:r w:rsidR="006116A6">
        <w:t xml:space="preserve"> Board</w:t>
      </w:r>
      <w:r w:rsidR="004F5CA7">
        <w:t>: (</w:t>
      </w:r>
      <w:r w:rsidR="00D802E5">
        <w:t xml:space="preserve">i) </w:t>
      </w:r>
      <w:r w:rsidR="006116A6">
        <w:t>review</w:t>
      </w:r>
      <w:r w:rsidR="003922C9">
        <w:t>ed</w:t>
      </w:r>
      <w:r w:rsidR="006116A6">
        <w:t xml:space="preserve"> the </w:t>
      </w:r>
      <w:r w:rsidR="00F56F0D">
        <w:t xml:space="preserve">records of the bid </w:t>
      </w:r>
      <w:r w:rsidR="006116A6">
        <w:t xml:space="preserve">evaluation </w:t>
      </w:r>
      <w:r w:rsidR="00F56F0D">
        <w:t>and moderation process</w:t>
      </w:r>
      <w:r w:rsidR="004F5CA7">
        <w:t>;</w:t>
      </w:r>
      <w:r w:rsidR="006116A6">
        <w:t xml:space="preserve"> </w:t>
      </w:r>
      <w:r w:rsidR="004F5CA7">
        <w:t>(</w:t>
      </w:r>
      <w:r w:rsidR="006116A6">
        <w:t xml:space="preserve">ii) </w:t>
      </w:r>
      <w:r w:rsidR="006922E9">
        <w:t>hear</w:t>
      </w:r>
      <w:r w:rsidR="003922C9">
        <w:t>d</w:t>
      </w:r>
      <w:r w:rsidR="006922E9">
        <w:t xml:space="preserve"> a “detailed presentation from the procurement team as to how the evaluation and moderation process had been conducted”</w:t>
      </w:r>
      <w:r w:rsidR="004F5CA7">
        <w:t>;</w:t>
      </w:r>
      <w:r w:rsidR="006922E9">
        <w:t xml:space="preserve"> and </w:t>
      </w:r>
      <w:r w:rsidR="004F5CA7">
        <w:t>(</w:t>
      </w:r>
      <w:r w:rsidR="006922E9">
        <w:t xml:space="preserve">iii) </w:t>
      </w:r>
      <w:r w:rsidR="006116A6">
        <w:t>the</w:t>
      </w:r>
      <w:r w:rsidR="006922E9">
        <w:t xml:space="preserve"> Board </w:t>
      </w:r>
      <w:r w:rsidR="00C56E25">
        <w:t>asked</w:t>
      </w:r>
      <w:r w:rsidR="00AF33D9">
        <w:t xml:space="preserve"> “</w:t>
      </w:r>
      <w:r w:rsidR="00AF33D9" w:rsidRPr="00AF33D9">
        <w:t>appropriate questions</w:t>
      </w:r>
      <w:r w:rsidR="00AF33D9">
        <w:t>”</w:t>
      </w:r>
      <w:r w:rsidR="00A07801">
        <w:t xml:space="preserve"> (see paragraphs </w:t>
      </w:r>
      <w:r w:rsidR="00A07801">
        <w:fldChar w:fldCharType="begin"/>
      </w:r>
      <w:r w:rsidR="00A07801">
        <w:instrText xml:space="preserve"> REF _Ref221525879 \r \h </w:instrText>
      </w:r>
      <w:r w:rsidR="00A07801">
        <w:fldChar w:fldCharType="separate"/>
      </w:r>
      <w:r w:rsidR="00785E99">
        <w:t>56</w:t>
      </w:r>
      <w:r w:rsidR="00A07801">
        <w:fldChar w:fldCharType="end"/>
      </w:r>
      <w:r w:rsidR="00A07801">
        <w:t xml:space="preserve"> to </w:t>
      </w:r>
      <w:r w:rsidR="00A07801">
        <w:fldChar w:fldCharType="begin"/>
      </w:r>
      <w:r w:rsidR="00A07801">
        <w:instrText xml:space="preserve"> REF _Ref219906447 \r \h </w:instrText>
      </w:r>
      <w:r w:rsidR="00A07801">
        <w:fldChar w:fldCharType="separate"/>
      </w:r>
      <w:r w:rsidR="00785E99">
        <w:t>58</w:t>
      </w:r>
      <w:r w:rsidR="00A07801">
        <w:fldChar w:fldCharType="end"/>
      </w:r>
      <w:r w:rsidR="00A07801">
        <w:t>)</w:t>
      </w:r>
      <w:r w:rsidR="00AF33D9">
        <w:t>.</w:t>
      </w:r>
      <w:r w:rsidR="007F0648">
        <w:rPr>
          <w:rStyle w:val="FootnoteReference"/>
        </w:rPr>
        <w:footnoteReference w:id="41"/>
      </w:r>
    </w:p>
    <w:p w14:paraId="03B3D63A" w14:textId="45FBF6B4" w:rsidR="008136A4" w:rsidRDefault="003261F1" w:rsidP="00890329">
      <w:pPr>
        <w:pStyle w:val="ListParagraph"/>
        <w:spacing w:after="120"/>
        <w:ind w:left="567" w:hanging="567"/>
      </w:pPr>
      <w:r>
        <w:t>The Panel has several concerns</w:t>
      </w:r>
      <w:r w:rsidR="00B34A52">
        <w:t xml:space="preserve"> </w:t>
      </w:r>
      <w:r>
        <w:t>about the sufficiency of th</w:t>
      </w:r>
      <w:r w:rsidR="00443C7D">
        <w:t xml:space="preserve">is </w:t>
      </w:r>
      <w:r w:rsidR="00AF33D9">
        <w:t>assurance process</w:t>
      </w:r>
      <w:r w:rsidR="00B34A52">
        <w:t>.</w:t>
      </w:r>
    </w:p>
    <w:p w14:paraId="7EAC861F" w14:textId="01A0F1A5" w:rsidR="00EB4DFB" w:rsidRDefault="00442CD0" w:rsidP="006F5EFB">
      <w:pPr>
        <w:pStyle w:val="ListParagraph"/>
        <w:numPr>
          <w:ilvl w:val="0"/>
          <w:numId w:val="7"/>
        </w:numPr>
        <w:spacing w:after="120"/>
      </w:pPr>
      <w:r>
        <w:t>First, t</w:t>
      </w:r>
      <w:r w:rsidR="00A75692">
        <w:t xml:space="preserve">here </w:t>
      </w:r>
      <w:r w:rsidR="0013296C">
        <w:t>were</w:t>
      </w:r>
      <w:r w:rsidR="00A75692">
        <w:t xml:space="preserve"> only two days between BNSSG receiving </w:t>
      </w:r>
      <w:r w:rsidR="00054BF4">
        <w:t>B</w:t>
      </w:r>
      <w:r w:rsidR="00A75692">
        <w:t>idder</w:t>
      </w:r>
      <w:r w:rsidR="00054BF4">
        <w:t xml:space="preserve"> A</w:t>
      </w:r>
      <w:r w:rsidR="00A75692">
        <w:t>’s letter and the BNSSG Board meeting</w:t>
      </w:r>
      <w:r>
        <w:t xml:space="preserve">. This </w:t>
      </w:r>
      <w:r w:rsidR="00054BF4">
        <w:t xml:space="preserve">meant that there was only </w:t>
      </w:r>
      <w:r>
        <w:t xml:space="preserve">a very short </w:t>
      </w:r>
      <w:r w:rsidR="00054BF4">
        <w:t xml:space="preserve">period </w:t>
      </w:r>
      <w:r>
        <w:t>for BNSSG</w:t>
      </w:r>
      <w:r w:rsidR="002D7A8F">
        <w:t xml:space="preserve"> </w:t>
      </w:r>
      <w:r>
        <w:t xml:space="preserve">to </w:t>
      </w:r>
      <w:r w:rsidR="00A53348">
        <w:t xml:space="preserve">identify all of </w:t>
      </w:r>
      <w:r w:rsidR="002D7A8F">
        <w:t xml:space="preserve">the </w:t>
      </w:r>
      <w:r w:rsidR="003C29A3">
        <w:t xml:space="preserve">letter’s </w:t>
      </w:r>
      <w:r w:rsidR="002D7A8F">
        <w:t xml:space="preserve">implications, conduct any preliminary assessment </w:t>
      </w:r>
      <w:r w:rsidR="003D0C7D">
        <w:t xml:space="preserve">of, or take advice </w:t>
      </w:r>
      <w:r w:rsidR="002D7A8F">
        <w:t>o</w:t>
      </w:r>
      <w:r w:rsidR="003D0C7D">
        <w:t>n,</w:t>
      </w:r>
      <w:r w:rsidR="002D7A8F">
        <w:t xml:space="preserve"> the issues</w:t>
      </w:r>
      <w:r w:rsidR="00141EB7">
        <w:t xml:space="preserve"> (including any legal, regulatory, employment or other issues) </w:t>
      </w:r>
      <w:r w:rsidR="00AE56FD">
        <w:t xml:space="preserve">and prepare a briefing to help inform the Board review. </w:t>
      </w:r>
      <w:r w:rsidR="00817B5C">
        <w:t>This, in turn, is likely to have constrained the Board’s ability to consider the full range of issues raised by the letter</w:t>
      </w:r>
      <w:r w:rsidR="00A43512">
        <w:t>.</w:t>
      </w:r>
    </w:p>
    <w:p w14:paraId="4466136B" w14:textId="1C1C4B35" w:rsidR="009B4643" w:rsidRDefault="009B4643" w:rsidP="006F5EFB">
      <w:pPr>
        <w:pStyle w:val="ListParagraph"/>
        <w:numPr>
          <w:ilvl w:val="0"/>
          <w:numId w:val="7"/>
        </w:numPr>
        <w:spacing w:after="120"/>
      </w:pPr>
      <w:r>
        <w:t xml:space="preserve">Second, </w:t>
      </w:r>
      <w:r w:rsidR="00B251FF">
        <w:t xml:space="preserve">and related to the previous point, </w:t>
      </w:r>
      <w:r>
        <w:t>the Board’s review</w:t>
      </w:r>
      <w:r w:rsidR="00DF4D94">
        <w:t>,</w:t>
      </w:r>
      <w:r>
        <w:t xml:space="preserve"> </w:t>
      </w:r>
      <w:r w:rsidR="00DF4D94">
        <w:t xml:space="preserve">as reflected in the minutes of the Board discussion. </w:t>
      </w:r>
      <w:r>
        <w:t>was focused on the detailed conduct of the provider selection process</w:t>
      </w:r>
      <w:r w:rsidR="00B251FF" w:rsidRPr="00B251FF">
        <w:t xml:space="preserve"> </w:t>
      </w:r>
      <w:r w:rsidR="0004305F">
        <w:t>and how</w:t>
      </w:r>
      <w:r>
        <w:t xml:space="preserve"> this </w:t>
      </w:r>
      <w:r w:rsidR="0004305F">
        <w:t>related to the allegations in Bidder A’s letter</w:t>
      </w:r>
      <w:r w:rsidR="00B251FF" w:rsidRPr="00B251FF">
        <w:t xml:space="preserve"> </w:t>
      </w:r>
      <w:r w:rsidR="00B251FF">
        <w:t xml:space="preserve">(see paragraphs </w:t>
      </w:r>
      <w:r w:rsidR="0080599D">
        <w:fldChar w:fldCharType="begin"/>
      </w:r>
      <w:r w:rsidR="0080599D">
        <w:instrText xml:space="preserve"> REF _Ref220593770 \r \h </w:instrText>
      </w:r>
      <w:r w:rsidR="0080599D">
        <w:fldChar w:fldCharType="separate"/>
      </w:r>
      <w:r w:rsidR="00785E99">
        <w:t>57</w:t>
      </w:r>
      <w:r w:rsidR="0080599D">
        <w:fldChar w:fldCharType="end"/>
      </w:r>
      <w:r w:rsidR="00B251FF">
        <w:t xml:space="preserve"> to </w:t>
      </w:r>
      <w:r w:rsidR="00B251FF">
        <w:fldChar w:fldCharType="begin"/>
      </w:r>
      <w:r w:rsidR="00B251FF">
        <w:instrText xml:space="preserve"> REF _Ref219905523 \r \h </w:instrText>
      </w:r>
      <w:r w:rsidR="00B251FF">
        <w:fldChar w:fldCharType="separate"/>
      </w:r>
      <w:r w:rsidR="00785E99">
        <w:t>59</w:t>
      </w:r>
      <w:r w:rsidR="00B251FF">
        <w:fldChar w:fldCharType="end"/>
      </w:r>
      <w:r w:rsidR="00B251FF">
        <w:t>)</w:t>
      </w:r>
      <w:r w:rsidR="00C87737">
        <w:t>, rather than any wider issues</w:t>
      </w:r>
      <w:r w:rsidR="00DF4D94">
        <w:t xml:space="preserve"> arising from Bidder</w:t>
      </w:r>
      <w:r w:rsidR="004978BF">
        <w:t> </w:t>
      </w:r>
      <w:r w:rsidR="00DF4D94">
        <w:t>A’s letter</w:t>
      </w:r>
      <w:r w:rsidR="0004305F">
        <w:t>.</w:t>
      </w:r>
    </w:p>
    <w:p w14:paraId="2AE21C04" w14:textId="7F4D990D" w:rsidR="00367DDB" w:rsidRDefault="00CB3F54" w:rsidP="0073662C">
      <w:pPr>
        <w:pStyle w:val="ListParagraph"/>
        <w:numPr>
          <w:ilvl w:val="0"/>
          <w:numId w:val="7"/>
        </w:numPr>
        <w:spacing w:after="120"/>
      </w:pPr>
      <w:r>
        <w:t>Third</w:t>
      </w:r>
      <w:r w:rsidR="006106DA">
        <w:t xml:space="preserve">, </w:t>
      </w:r>
      <w:r w:rsidR="00955E2E">
        <w:t xml:space="preserve">neither </w:t>
      </w:r>
      <w:r w:rsidR="001950FB">
        <w:t xml:space="preserve">the </w:t>
      </w:r>
      <w:r w:rsidR="00955E2E">
        <w:t xml:space="preserve">BNSSG </w:t>
      </w:r>
      <w:r w:rsidR="001950FB">
        <w:t>Board</w:t>
      </w:r>
      <w:r w:rsidR="00D97510">
        <w:t>,</w:t>
      </w:r>
      <w:r w:rsidR="001950FB">
        <w:t xml:space="preserve"> </w:t>
      </w:r>
      <w:r w:rsidR="00955E2E">
        <w:t xml:space="preserve">nor BNSSG </w:t>
      </w:r>
      <w:r w:rsidR="001950FB">
        <w:t>more broadly</w:t>
      </w:r>
      <w:r w:rsidR="00D97510">
        <w:t>,</w:t>
      </w:r>
      <w:r w:rsidR="001950FB">
        <w:t xml:space="preserve"> </w:t>
      </w:r>
      <w:r w:rsidR="00BA22A2">
        <w:t xml:space="preserve">were </w:t>
      </w:r>
      <w:r w:rsidR="00955E2E">
        <w:t>aware of the identity of the “</w:t>
      </w:r>
      <w:r w:rsidR="00705325">
        <w:t>well-placed, senior</w:t>
      </w:r>
      <w:r w:rsidR="00955E2E">
        <w:t xml:space="preserve">” individual </w:t>
      </w:r>
      <w:r w:rsidR="004A085A">
        <w:t xml:space="preserve">who had </w:t>
      </w:r>
      <w:r w:rsidR="00107B7A">
        <w:t>been in contact</w:t>
      </w:r>
      <w:r w:rsidR="004A085A">
        <w:t xml:space="preserve"> with </w:t>
      </w:r>
      <w:r w:rsidR="00FE55E8">
        <w:t>B</w:t>
      </w:r>
      <w:r w:rsidR="004A085A">
        <w:t>idder</w:t>
      </w:r>
      <w:r w:rsidR="004978BF">
        <w:t> </w:t>
      </w:r>
      <w:r w:rsidR="00FE55E8">
        <w:t>A</w:t>
      </w:r>
      <w:r w:rsidR="004A085A">
        <w:t xml:space="preserve">. </w:t>
      </w:r>
      <w:r w:rsidR="000A1501">
        <w:t xml:space="preserve">This </w:t>
      </w:r>
      <w:r w:rsidR="00EE7E92">
        <w:t xml:space="preserve">prevented </w:t>
      </w:r>
      <w:r w:rsidR="00F978F5">
        <w:t xml:space="preserve">the Board from taking </w:t>
      </w:r>
      <w:r w:rsidR="00F44DC7">
        <w:t xml:space="preserve">this individual’s </w:t>
      </w:r>
      <w:r w:rsidR="00F978F5">
        <w:t>concerns</w:t>
      </w:r>
      <w:r w:rsidR="00F44DC7">
        <w:t xml:space="preserve"> fully</w:t>
      </w:r>
      <w:r w:rsidR="00F978F5">
        <w:t xml:space="preserve"> into account in its considerations (see paragraph </w:t>
      </w:r>
      <w:r w:rsidR="00EB20C3">
        <w:fldChar w:fldCharType="begin"/>
      </w:r>
      <w:r w:rsidR="00EB20C3">
        <w:instrText xml:space="preserve"> REF _Ref220593987 \r \h </w:instrText>
      </w:r>
      <w:r w:rsidR="00EB20C3">
        <w:fldChar w:fldCharType="separate"/>
      </w:r>
      <w:r w:rsidR="00785E99">
        <w:t>67</w:t>
      </w:r>
      <w:r w:rsidR="00EB20C3">
        <w:fldChar w:fldCharType="end"/>
      </w:r>
      <w:r w:rsidR="00F978F5">
        <w:t xml:space="preserve">), and while the Panel appreciates that identifying this individual may not be straightforward, </w:t>
      </w:r>
      <w:r w:rsidR="00942B84">
        <w:t xml:space="preserve">BNSSG took </w:t>
      </w:r>
      <w:r w:rsidR="004779FE">
        <w:t xml:space="preserve">no </w:t>
      </w:r>
      <w:r w:rsidR="00942B84">
        <w:t>steps in this regard (see paragraph</w:t>
      </w:r>
      <w:r w:rsidR="0091093F">
        <w:t xml:space="preserve"> </w:t>
      </w:r>
      <w:r w:rsidR="0091093F">
        <w:fldChar w:fldCharType="begin"/>
      </w:r>
      <w:r w:rsidR="0091093F">
        <w:instrText xml:space="preserve"> REF _Ref219906359 \r \h </w:instrText>
      </w:r>
      <w:r w:rsidR="0091093F">
        <w:fldChar w:fldCharType="separate"/>
      </w:r>
      <w:r w:rsidR="00785E99">
        <w:t>69</w:t>
      </w:r>
      <w:r w:rsidR="0091093F">
        <w:fldChar w:fldCharType="end"/>
      </w:r>
      <w:r w:rsidR="0091093F">
        <w:t>).</w:t>
      </w:r>
    </w:p>
    <w:p w14:paraId="14C022AC" w14:textId="400C4587" w:rsidR="00021BF1" w:rsidRDefault="00DF642D" w:rsidP="006F5EFB">
      <w:pPr>
        <w:pStyle w:val="ListParagraph"/>
        <w:numPr>
          <w:ilvl w:val="0"/>
          <w:numId w:val="7"/>
        </w:numPr>
      </w:pPr>
      <w:r>
        <w:t xml:space="preserve">Finally, </w:t>
      </w:r>
      <w:r w:rsidR="00021BF1">
        <w:t xml:space="preserve">if the allegations </w:t>
      </w:r>
      <w:r w:rsidR="003D28C3">
        <w:t xml:space="preserve">in Bidder A’s letter were true, then the briefing and advice </w:t>
      </w:r>
      <w:r w:rsidR="00946346">
        <w:t xml:space="preserve">about the provider selection process </w:t>
      </w:r>
      <w:r w:rsidR="00267116">
        <w:t xml:space="preserve">that was </w:t>
      </w:r>
      <w:r w:rsidR="00F4011E">
        <w:t xml:space="preserve">provided </w:t>
      </w:r>
      <w:r w:rsidR="00267116">
        <w:t xml:space="preserve">to the BNSSG Board </w:t>
      </w:r>
      <w:r w:rsidR="00F4011E">
        <w:t xml:space="preserve">by BNSSG staff </w:t>
      </w:r>
      <w:r w:rsidR="003D28C3">
        <w:t xml:space="preserve">could </w:t>
      </w:r>
      <w:r w:rsidR="007A69B0">
        <w:t xml:space="preserve">in theory </w:t>
      </w:r>
      <w:r w:rsidR="003D28C3">
        <w:t xml:space="preserve">have been tainted by </w:t>
      </w:r>
      <w:r w:rsidR="00E92911">
        <w:t xml:space="preserve">the same staff </w:t>
      </w:r>
      <w:r w:rsidR="00930BE3">
        <w:t>who</w:t>
      </w:r>
      <w:r w:rsidR="00E92911">
        <w:t xml:space="preserve"> had </w:t>
      </w:r>
      <w:r w:rsidR="00930BE3">
        <w:t>distorted</w:t>
      </w:r>
      <w:r w:rsidR="00E92911">
        <w:t xml:space="preserve"> the </w:t>
      </w:r>
      <w:r w:rsidR="00946346">
        <w:t xml:space="preserve">provider selection process. Even if the BNSSG Board </w:t>
      </w:r>
      <w:r w:rsidR="00946346">
        <w:lastRenderedPageBreak/>
        <w:t xml:space="preserve">considered the </w:t>
      </w:r>
      <w:r w:rsidR="000417EF">
        <w:t xml:space="preserve">veracity of the </w:t>
      </w:r>
      <w:r w:rsidR="00946346">
        <w:t xml:space="preserve">allegations to be unlikely, </w:t>
      </w:r>
      <w:r w:rsidR="00074713">
        <w:t xml:space="preserve">its </w:t>
      </w:r>
      <w:r w:rsidR="00A8094A">
        <w:t xml:space="preserve">assurance process </w:t>
      </w:r>
      <w:r w:rsidR="00AD63A6">
        <w:t>had</w:t>
      </w:r>
      <w:r w:rsidR="00074713">
        <w:t xml:space="preserve"> to be independent of the staff</w:t>
      </w:r>
      <w:r w:rsidR="00590807">
        <w:t xml:space="preserve"> involved in</w:t>
      </w:r>
      <w:r w:rsidR="00B82F56">
        <w:t xml:space="preserve"> the </w:t>
      </w:r>
      <w:r w:rsidR="00F4011E">
        <w:t>provider selection</w:t>
      </w:r>
      <w:r w:rsidR="00590807">
        <w:t xml:space="preserve"> </w:t>
      </w:r>
      <w:r w:rsidR="00B82F56">
        <w:t>process</w:t>
      </w:r>
      <w:r w:rsidR="00AD63A6">
        <w:t xml:space="preserve"> if it was to be effective</w:t>
      </w:r>
      <w:r w:rsidR="00B82F56">
        <w:t>.</w:t>
      </w:r>
    </w:p>
    <w:p w14:paraId="5FCB8E28" w14:textId="2208E931" w:rsidR="00047DB0" w:rsidRPr="002113FF" w:rsidRDefault="002113FF" w:rsidP="002113FF">
      <w:pPr>
        <w:keepNext/>
        <w:spacing w:before="240"/>
        <w:rPr>
          <w:b/>
          <w:bCs/>
        </w:rPr>
      </w:pPr>
      <w:r w:rsidRPr="002113FF">
        <w:rPr>
          <w:b/>
          <w:bCs/>
        </w:rPr>
        <w:t>7.2.4 Panel conclusions on BNSSG’s response to the bidder’s letter</w:t>
      </w:r>
    </w:p>
    <w:p w14:paraId="4419ECFD" w14:textId="6B92406F" w:rsidR="003256B8" w:rsidRDefault="00D27056" w:rsidP="004623B4">
      <w:pPr>
        <w:pStyle w:val="ListParagraph"/>
        <w:ind w:left="567" w:hanging="567"/>
        <w:contextualSpacing/>
      </w:pPr>
      <w:r>
        <w:t>In summary, the Panel</w:t>
      </w:r>
      <w:r w:rsidR="009F11DB">
        <w:t>’s view is that BNSSG</w:t>
      </w:r>
      <w:r w:rsidR="00ED3C37">
        <w:t xml:space="preserve"> did not sufficient</w:t>
      </w:r>
      <w:r w:rsidR="00D76133">
        <w:t>ly</w:t>
      </w:r>
      <w:r w:rsidR="00ED3C37">
        <w:t xml:space="preserve"> assure itself of the integrity of the provider selection process for the </w:t>
      </w:r>
      <w:r w:rsidR="00580FE7">
        <w:t>P</w:t>
      </w:r>
      <w:r w:rsidR="00ED3C37">
        <w:t>lanned NEPTS contract</w:t>
      </w:r>
      <w:r w:rsidR="00317DF8">
        <w:t xml:space="preserve">. </w:t>
      </w:r>
      <w:r w:rsidR="00413281">
        <w:t xml:space="preserve">The Panel is </w:t>
      </w:r>
      <w:r w:rsidR="00317DF8">
        <w:t>particular</w:t>
      </w:r>
      <w:r w:rsidR="00413281">
        <w:t>ly concerned that</w:t>
      </w:r>
      <w:r w:rsidR="00317DF8">
        <w:t xml:space="preserve"> BNSSG</w:t>
      </w:r>
      <w:r w:rsidR="001F1F05">
        <w:t>,</w:t>
      </w:r>
      <w:r w:rsidR="00317DF8">
        <w:t xml:space="preserve"> </w:t>
      </w:r>
      <w:r w:rsidR="001F1F05">
        <w:t xml:space="preserve">before deciding to proceed with awarding the contract to EMED, </w:t>
      </w:r>
      <w:r w:rsidR="004671FA">
        <w:t>did not ensure</w:t>
      </w:r>
      <w:r w:rsidR="003256B8">
        <w:t xml:space="preserve"> that</w:t>
      </w:r>
      <w:r w:rsidR="001F378F">
        <w:t>:</w:t>
      </w:r>
    </w:p>
    <w:p w14:paraId="13C586CF" w14:textId="7377FEA3" w:rsidR="003256B8" w:rsidRDefault="004671FA" w:rsidP="00E46328">
      <w:pPr>
        <w:pStyle w:val="ListParagraph"/>
        <w:numPr>
          <w:ilvl w:val="0"/>
          <w:numId w:val="53"/>
        </w:numPr>
        <w:ind w:hanging="578"/>
        <w:contextualSpacing/>
      </w:pPr>
      <w:r>
        <w:t xml:space="preserve">all </w:t>
      </w:r>
      <w:r w:rsidR="00156985">
        <w:t xml:space="preserve">of the </w:t>
      </w:r>
      <w:r>
        <w:t>issues</w:t>
      </w:r>
      <w:r w:rsidR="00156985">
        <w:t xml:space="preserve"> raised by Bidder A’s letter </w:t>
      </w:r>
      <w:r w:rsidR="001900EB">
        <w:t xml:space="preserve">were </w:t>
      </w:r>
      <w:r w:rsidR="00CF4137">
        <w:t>identified and considered</w:t>
      </w:r>
      <w:r w:rsidR="001F378F">
        <w:t>;</w:t>
      </w:r>
    </w:p>
    <w:p w14:paraId="662E5CFA" w14:textId="7E2BBA5D" w:rsidR="004623B4" w:rsidRDefault="00134504" w:rsidP="00E46328">
      <w:pPr>
        <w:pStyle w:val="ListParagraph"/>
        <w:numPr>
          <w:ilvl w:val="0"/>
          <w:numId w:val="53"/>
        </w:numPr>
        <w:ind w:hanging="578"/>
        <w:contextualSpacing/>
      </w:pPr>
      <w:r>
        <w:t xml:space="preserve">a </w:t>
      </w:r>
      <w:r w:rsidR="000B0C3B">
        <w:t>sufficient</w:t>
      </w:r>
      <w:r>
        <w:t xml:space="preserve">ly robust review of these issues </w:t>
      </w:r>
      <w:r w:rsidR="003923CA">
        <w:t>was</w:t>
      </w:r>
      <w:r>
        <w:t xml:space="preserve"> </w:t>
      </w:r>
      <w:r w:rsidR="000B0C3B">
        <w:t>present</w:t>
      </w:r>
      <w:r w:rsidR="005548EA">
        <w:t>ed to</w:t>
      </w:r>
      <w:r w:rsidR="0026483A">
        <w:t>, and/or carried out by,</w:t>
      </w:r>
      <w:r w:rsidR="000B0C3B">
        <w:t xml:space="preserve"> </w:t>
      </w:r>
      <w:r w:rsidR="00361CC5">
        <w:t>the BNSSG Board</w:t>
      </w:r>
      <w:r w:rsidR="00521844">
        <w:t xml:space="preserve">; </w:t>
      </w:r>
      <w:r w:rsidR="000C17F6">
        <w:t>and</w:t>
      </w:r>
    </w:p>
    <w:p w14:paraId="6E02F1FF" w14:textId="30B2DE8E" w:rsidR="00ED3C37" w:rsidRDefault="000557E2" w:rsidP="00E46328">
      <w:pPr>
        <w:pStyle w:val="ListParagraph"/>
        <w:numPr>
          <w:ilvl w:val="0"/>
          <w:numId w:val="53"/>
        </w:numPr>
        <w:ind w:hanging="578"/>
      </w:pPr>
      <w:r>
        <w:t xml:space="preserve">the </w:t>
      </w:r>
      <w:r w:rsidR="00F54161">
        <w:t xml:space="preserve">BNSSG </w:t>
      </w:r>
      <w:r>
        <w:t>review</w:t>
      </w:r>
      <w:r w:rsidR="00AA2B48">
        <w:t xml:space="preserve"> </w:t>
      </w:r>
      <w:r w:rsidR="000C17F6">
        <w:t xml:space="preserve">was not </w:t>
      </w:r>
      <w:r w:rsidR="0023565B">
        <w:t xml:space="preserve">potentially </w:t>
      </w:r>
      <w:r w:rsidR="000C17F6">
        <w:t xml:space="preserve">compromised </w:t>
      </w:r>
      <w:r w:rsidR="0023565B">
        <w:t xml:space="preserve">as a result of </w:t>
      </w:r>
      <w:r w:rsidR="00A76E17">
        <w:t xml:space="preserve">not being independent of </w:t>
      </w:r>
      <w:r w:rsidR="000B5AC0">
        <w:t>the staff involved</w:t>
      </w:r>
      <w:r w:rsidR="00E20740">
        <w:t xml:space="preserve"> in the </w:t>
      </w:r>
      <w:r w:rsidR="000B5AC0">
        <w:t>provider selection</w:t>
      </w:r>
      <w:r w:rsidR="00E20740">
        <w:t xml:space="preserve"> process</w:t>
      </w:r>
      <w:r>
        <w:t>.</w:t>
      </w:r>
    </w:p>
    <w:p w14:paraId="57CD1EB4" w14:textId="3C017163" w:rsidR="00F3227F" w:rsidRDefault="00D44EA5" w:rsidP="00041C17">
      <w:pPr>
        <w:pStyle w:val="ListParagraph"/>
        <w:ind w:left="567" w:hanging="567"/>
        <w:contextualSpacing/>
      </w:pPr>
      <w:r>
        <w:t>As a result</w:t>
      </w:r>
      <w:r w:rsidR="00F71BF4">
        <w:t>,</w:t>
      </w:r>
      <w:r w:rsidR="00637434">
        <w:t xml:space="preserve"> the </w:t>
      </w:r>
      <w:r w:rsidR="00F71BF4">
        <w:t xml:space="preserve">Panel’s view is that </w:t>
      </w:r>
      <w:r w:rsidR="00AE6B10">
        <w:t xml:space="preserve">BNSSG was unable to assure itself that the </w:t>
      </w:r>
      <w:r w:rsidR="00FC7FC6">
        <w:t>PSR regulations had not been breached</w:t>
      </w:r>
      <w:r w:rsidR="00850133">
        <w:t xml:space="preserve">, </w:t>
      </w:r>
      <w:r w:rsidR="00041C17">
        <w:t>and in particular</w:t>
      </w:r>
      <w:r w:rsidR="00850133">
        <w:t>:</w:t>
      </w:r>
    </w:p>
    <w:p w14:paraId="51F6E93A" w14:textId="19F6EA84" w:rsidR="00850133" w:rsidRDefault="00611CA0" w:rsidP="006F5EFB">
      <w:pPr>
        <w:pStyle w:val="ListParagraph"/>
        <w:numPr>
          <w:ilvl w:val="0"/>
          <w:numId w:val="7"/>
        </w:numPr>
        <w:contextualSpacing/>
      </w:pPr>
      <w:r>
        <w:t>Regulation 11(5), which requires commissioners to assess proposals in accordance with the contract award criteria; and</w:t>
      </w:r>
    </w:p>
    <w:p w14:paraId="62DC2597" w14:textId="1F6C2CAF" w:rsidR="00611CA0" w:rsidRDefault="00384E60" w:rsidP="006F5EFB">
      <w:pPr>
        <w:pStyle w:val="ListParagraph"/>
        <w:numPr>
          <w:ilvl w:val="0"/>
          <w:numId w:val="7"/>
        </w:numPr>
      </w:pPr>
      <w:r>
        <w:t xml:space="preserve">Regulation 21(1), which requires commissioners to </w:t>
      </w:r>
      <w:r w:rsidR="005950A1">
        <w:t>take appropriate measures to effectively prevent, identify and remedy conflicts of interest.</w:t>
      </w:r>
    </w:p>
    <w:p w14:paraId="037377A4" w14:textId="005E2B9C" w:rsidR="00041C17" w:rsidRDefault="00E65D2E" w:rsidP="00730A82">
      <w:pPr>
        <w:pStyle w:val="ListParagraph"/>
        <w:ind w:left="567" w:hanging="567"/>
      </w:pPr>
      <w:r>
        <w:t xml:space="preserve">As a </w:t>
      </w:r>
      <w:r w:rsidR="00F71BF4">
        <w:t>consequence</w:t>
      </w:r>
      <w:r w:rsidR="004D1EF6">
        <w:t xml:space="preserve">, the Panel finds that </w:t>
      </w:r>
      <w:r w:rsidR="00041C17">
        <w:t>BNSSG</w:t>
      </w:r>
      <w:r w:rsidR="00E1574D">
        <w:t xml:space="preserve">, in failing </w:t>
      </w:r>
      <w:r w:rsidR="00041C17">
        <w:t>to sufficiently assure itself that th</w:t>
      </w:r>
      <w:r w:rsidR="00C109C0">
        <w:t>e</w:t>
      </w:r>
      <w:r w:rsidR="002B6BC0">
        <w:t>s</w:t>
      </w:r>
      <w:r w:rsidR="00041C17">
        <w:t>e PSR regulations had not been breached</w:t>
      </w:r>
      <w:r w:rsidR="004D1EF6">
        <w:t xml:space="preserve">, </w:t>
      </w:r>
      <w:r w:rsidR="00317C13">
        <w:t xml:space="preserve">in turn, </w:t>
      </w:r>
      <w:r w:rsidR="00E1574D">
        <w:t xml:space="preserve">breached </w:t>
      </w:r>
      <w:r w:rsidR="005E0089">
        <w:t>its obligation</w:t>
      </w:r>
      <w:r w:rsidR="0004729F">
        <w:t xml:space="preserve"> </w:t>
      </w:r>
      <w:r w:rsidR="005E0089">
        <w:t xml:space="preserve">under </w:t>
      </w:r>
      <w:r w:rsidR="00763755">
        <w:t xml:space="preserve">Regulation 4(1)(b) of </w:t>
      </w:r>
      <w:r w:rsidR="005E0089">
        <w:t>the PSR regulations to act fairly.</w:t>
      </w:r>
    </w:p>
    <w:p w14:paraId="2AD7D64B" w14:textId="4899375B" w:rsidR="002D4083" w:rsidRPr="005131BD" w:rsidRDefault="002D4083" w:rsidP="005E0089">
      <w:pPr>
        <w:pStyle w:val="Heading2"/>
        <w:spacing w:before="240" w:after="160"/>
      </w:pPr>
      <w:bookmarkStart w:id="45" w:name="_Toc220417395"/>
      <w:r>
        <w:t xml:space="preserve">7.3 Panel </w:t>
      </w:r>
      <w:r w:rsidR="0082543D">
        <w:t>advice</w:t>
      </w:r>
      <w:r w:rsidR="00E45B53">
        <w:t xml:space="preserve"> </w:t>
      </w:r>
      <w:r w:rsidR="00CE28B6">
        <w:t>and recommendations</w:t>
      </w:r>
      <w:bookmarkEnd w:id="45"/>
    </w:p>
    <w:p w14:paraId="681F092A" w14:textId="1D5AF899" w:rsidR="00563836" w:rsidRDefault="00B9490C" w:rsidP="00052B1C">
      <w:pPr>
        <w:pStyle w:val="ListParagraph"/>
        <w:ind w:left="567" w:hanging="567"/>
        <w:contextualSpacing/>
      </w:pPr>
      <w:r>
        <w:t>Given th</w:t>
      </w:r>
      <w:r w:rsidR="005327A2">
        <w:t>e</w:t>
      </w:r>
      <w:r>
        <w:t xml:space="preserve"> </w:t>
      </w:r>
      <w:r w:rsidR="00EF5DCF">
        <w:t xml:space="preserve">Panel’s </w:t>
      </w:r>
      <w:r w:rsidR="00936B7E">
        <w:t>finding</w:t>
      </w:r>
      <w:r w:rsidR="00C35881">
        <w:t xml:space="preserve"> that BNSSG breached its obligation under the PSR regulations to act fairly</w:t>
      </w:r>
      <w:r>
        <w:t>, three options are open to the Panel</w:t>
      </w:r>
      <w:r w:rsidR="00AA1FE3">
        <w:t>. The Panel may advise that:</w:t>
      </w:r>
    </w:p>
    <w:p w14:paraId="709941EC" w14:textId="0E2C0575" w:rsidR="00AA1FE3" w:rsidRPr="00AA1FE3" w:rsidRDefault="00936B7E" w:rsidP="006F5EFB">
      <w:pPr>
        <w:pStyle w:val="ListParagraph"/>
        <w:numPr>
          <w:ilvl w:val="0"/>
          <w:numId w:val="8"/>
        </w:numPr>
        <w:contextualSpacing/>
      </w:pPr>
      <w:r>
        <w:t>t</w:t>
      </w:r>
      <w:r w:rsidR="00AA1FE3" w:rsidRPr="00AA1FE3">
        <w:t xml:space="preserve">he breach had no material effect on </w:t>
      </w:r>
      <w:r w:rsidR="00052B1C">
        <w:t>BNSSG</w:t>
      </w:r>
      <w:r w:rsidR="00AA1FE3" w:rsidRPr="00AA1FE3">
        <w:t>’s selection of a provider and it should proceed with awarding the contract as originally intended;</w:t>
      </w:r>
    </w:p>
    <w:p w14:paraId="4282DEB0" w14:textId="1056D035" w:rsidR="00AA1FE3" w:rsidRPr="00AA1FE3" w:rsidRDefault="00052B1C" w:rsidP="006F5EFB">
      <w:pPr>
        <w:pStyle w:val="ListParagraph"/>
        <w:numPr>
          <w:ilvl w:val="0"/>
          <w:numId w:val="8"/>
        </w:numPr>
        <w:contextualSpacing/>
      </w:pPr>
      <w:r>
        <w:t xml:space="preserve">BNSSG </w:t>
      </w:r>
      <w:r w:rsidR="00AA1FE3" w:rsidRPr="00AA1FE3">
        <w:t>should return to an earlier step in the provider selection process to rectify the issues identified by the Panel; or</w:t>
      </w:r>
    </w:p>
    <w:p w14:paraId="31A5EBC4" w14:textId="66B8AD9C" w:rsidR="00AA1FE3" w:rsidRPr="00AA1FE3" w:rsidRDefault="00052B1C" w:rsidP="006F5EFB">
      <w:pPr>
        <w:pStyle w:val="ListParagraph"/>
        <w:numPr>
          <w:ilvl w:val="0"/>
          <w:numId w:val="8"/>
        </w:numPr>
        <w:ind w:left="1077" w:hanging="357"/>
      </w:pPr>
      <w:r>
        <w:t xml:space="preserve">BNSSG </w:t>
      </w:r>
      <w:r w:rsidR="00AA1FE3" w:rsidRPr="00AA1FE3">
        <w:t>should abandon the provider selection process.</w:t>
      </w:r>
    </w:p>
    <w:p w14:paraId="45529246" w14:textId="00D848F2" w:rsidR="00AA1FE3" w:rsidRPr="00052B1C" w:rsidRDefault="00AA1FE3" w:rsidP="00E24678">
      <w:pPr>
        <w:pStyle w:val="ListParagraph"/>
        <w:ind w:left="567" w:hanging="567"/>
      </w:pPr>
      <w:r w:rsidRPr="00052B1C">
        <w:t>The Panel’s view is that</w:t>
      </w:r>
      <w:r w:rsidR="00C040CE">
        <w:t>,</w:t>
      </w:r>
      <w:r w:rsidR="00AA4E31">
        <w:t xml:space="preserve"> given th</w:t>
      </w:r>
      <w:r w:rsidR="00C96EFB">
        <w:t>e possibility that the integrity of the provider selection process was compromised</w:t>
      </w:r>
      <w:r w:rsidR="00C040CE">
        <w:t>,</w:t>
      </w:r>
      <w:r w:rsidR="00C040CE" w:rsidRPr="00052B1C">
        <w:t xml:space="preserve"> </w:t>
      </w:r>
      <w:r w:rsidRPr="00052B1C">
        <w:t>the breach</w:t>
      </w:r>
      <w:r w:rsidR="00AA4E31">
        <w:t xml:space="preserve"> </w:t>
      </w:r>
      <w:r w:rsidR="002F5C2F">
        <w:t xml:space="preserve">of the PSR regulations that </w:t>
      </w:r>
      <w:r w:rsidR="00AA4E31">
        <w:t>it has</w:t>
      </w:r>
      <w:r w:rsidRPr="00052B1C">
        <w:t xml:space="preserve"> identified ha</w:t>
      </w:r>
      <w:r w:rsidR="00AA4E31">
        <w:t>s</w:t>
      </w:r>
      <w:r w:rsidRPr="00052B1C">
        <w:t xml:space="preserve"> </w:t>
      </w:r>
      <w:r w:rsidR="00AA4E31">
        <w:t xml:space="preserve">potentially </w:t>
      </w:r>
      <w:r w:rsidRPr="00052B1C">
        <w:t xml:space="preserve">had a material effect on </w:t>
      </w:r>
      <w:r w:rsidR="00462278">
        <w:t xml:space="preserve">the outcome of </w:t>
      </w:r>
      <w:r w:rsidR="00AA4E31">
        <w:t xml:space="preserve">BNSSG’s </w:t>
      </w:r>
      <w:r w:rsidR="00462278">
        <w:t xml:space="preserve">provider </w:t>
      </w:r>
      <w:r w:rsidRPr="00052B1C">
        <w:t xml:space="preserve">selection </w:t>
      </w:r>
      <w:r w:rsidR="00462278">
        <w:t>process</w:t>
      </w:r>
      <w:r w:rsidR="00C96EFB">
        <w:t>.</w:t>
      </w:r>
    </w:p>
    <w:p w14:paraId="0BC259A1" w14:textId="41F26372" w:rsidR="00AA1FE3" w:rsidRDefault="00AA1FE3" w:rsidP="00E24678">
      <w:pPr>
        <w:pStyle w:val="ListParagraph"/>
        <w:ind w:left="567" w:hanging="567"/>
      </w:pPr>
      <w:r w:rsidRPr="00052B1C">
        <w:t xml:space="preserve">As a result, the Panel’s advice is that </w:t>
      </w:r>
      <w:r w:rsidR="00052B1C" w:rsidRPr="00052B1C">
        <w:t xml:space="preserve">BNSSG </w:t>
      </w:r>
      <w:r w:rsidRPr="00052B1C">
        <w:t>should return to an earlier step in the provider selection process to rectify the issues identified by the Panel.</w:t>
      </w:r>
      <w:r w:rsidR="00C96EFB">
        <w:t xml:space="preserve"> In particular, the Panel advises BNSSG to</w:t>
      </w:r>
      <w:r w:rsidR="00474DE6">
        <w:t>, at a minimum,</w:t>
      </w:r>
      <w:r w:rsidR="00C96EFB">
        <w:t xml:space="preserve"> </w:t>
      </w:r>
      <w:r w:rsidR="003B109E">
        <w:t xml:space="preserve">return to the point at which it received </w:t>
      </w:r>
      <w:r w:rsidR="00DA76BA">
        <w:t>Bidder A</w:t>
      </w:r>
      <w:r w:rsidR="005825FA">
        <w:t>’s letter</w:t>
      </w:r>
      <w:r w:rsidR="00DA76BA">
        <w:t xml:space="preserve"> </w:t>
      </w:r>
      <w:r w:rsidR="003B109E">
        <w:t>a</w:t>
      </w:r>
      <w:r w:rsidR="002A4710">
        <w:t>nd</w:t>
      </w:r>
      <w:r w:rsidR="003B109E">
        <w:t xml:space="preserve"> take further steps to </w:t>
      </w:r>
      <w:r w:rsidR="00474DE6">
        <w:t>comprehensively assure itself as to the integrity of its provider selection process.</w:t>
      </w:r>
      <w:r w:rsidR="000212AD">
        <w:t xml:space="preserve"> </w:t>
      </w:r>
      <w:r w:rsidR="00701799">
        <w:t>BNSSG should then take such further steps as are appropriate given the outcome of this assurance process.</w:t>
      </w:r>
    </w:p>
    <w:p w14:paraId="571D9932" w14:textId="3CB28662" w:rsidR="002B5544" w:rsidRDefault="002B5544" w:rsidP="00E24678">
      <w:pPr>
        <w:pStyle w:val="ListParagraph"/>
        <w:ind w:left="567" w:hanging="567"/>
      </w:pPr>
      <w:r>
        <w:lastRenderedPageBreak/>
        <w:t xml:space="preserve">The Panel also notes that several additional issues were raised in the representations made by BAEMS and HTG </w:t>
      </w:r>
      <w:r w:rsidR="006248C8">
        <w:t>regarding the provider selection process. The Panel has evaluate</w:t>
      </w:r>
      <w:r w:rsidR="00E24678">
        <w:t>d</w:t>
      </w:r>
      <w:r w:rsidR="006248C8">
        <w:t xml:space="preserve"> these </w:t>
      </w:r>
      <w:r w:rsidR="000C4506">
        <w:t xml:space="preserve">issues </w:t>
      </w:r>
      <w:r w:rsidR="00EE6AEB">
        <w:t xml:space="preserve">to the extent possible given </w:t>
      </w:r>
      <w:r w:rsidR="00BE2CEB">
        <w:t xml:space="preserve">its findings </w:t>
      </w:r>
      <w:r w:rsidR="00E419F2">
        <w:t xml:space="preserve">on </w:t>
      </w:r>
      <w:r w:rsidR="0053424B">
        <w:t xml:space="preserve">the integrity of </w:t>
      </w:r>
      <w:r w:rsidR="00021C7A">
        <w:t>the</w:t>
      </w:r>
      <w:r w:rsidR="0053424B">
        <w:t xml:space="preserve"> provider selection process</w:t>
      </w:r>
      <w:r w:rsidR="00021C7A">
        <w:t>, and its</w:t>
      </w:r>
      <w:r w:rsidR="00CE28B6">
        <w:t xml:space="preserve"> assessment of these issues is set out in Section 8 of this report. The Panel recommends that BNSSG take this assessment into account when deciding </w:t>
      </w:r>
      <w:r w:rsidR="00A81877">
        <w:t>on the step to which it should return in the provider selection process.</w:t>
      </w:r>
    </w:p>
    <w:p w14:paraId="4ACFA67B" w14:textId="79BCA085" w:rsidR="00C74951" w:rsidRPr="009E5254" w:rsidRDefault="00C74951" w:rsidP="00320065">
      <w:pPr>
        <w:pStyle w:val="Heading1"/>
      </w:pPr>
      <w:bookmarkStart w:id="46" w:name="_Toc220417396"/>
      <w:r w:rsidRPr="009E5254">
        <w:t>Assessment</w:t>
      </w:r>
      <w:r w:rsidR="00880408">
        <w:t xml:space="preserve"> of </w:t>
      </w:r>
      <w:r w:rsidR="00B6177B">
        <w:t xml:space="preserve">other </w:t>
      </w:r>
      <w:r w:rsidR="00880408">
        <w:t>issues</w:t>
      </w:r>
      <w:bookmarkEnd w:id="46"/>
    </w:p>
    <w:p w14:paraId="3AC51C32" w14:textId="60604287" w:rsidR="00AA6F46" w:rsidRDefault="00EF5D1C" w:rsidP="00AA6F46">
      <w:pPr>
        <w:pStyle w:val="ListParagraph"/>
        <w:ind w:left="567" w:hanging="567"/>
      </w:pPr>
      <w:r w:rsidRPr="007F31DA">
        <w:t xml:space="preserve">This section sets out the Panel’s assessment of </w:t>
      </w:r>
      <w:r w:rsidR="00B6177B">
        <w:t>o</w:t>
      </w:r>
      <w:r w:rsidR="00105E26">
        <w:t>the</w:t>
      </w:r>
      <w:r w:rsidR="00B6177B">
        <w:t>r</w:t>
      </w:r>
      <w:r w:rsidR="00105E26">
        <w:t xml:space="preserve"> concerns regarding the provider selection process </w:t>
      </w:r>
      <w:r w:rsidR="00B54039">
        <w:t>(</w:t>
      </w:r>
      <w:r w:rsidR="00AA6F46">
        <w:t xml:space="preserve">insofar as this has been possible given the </w:t>
      </w:r>
      <w:r w:rsidR="00314821">
        <w:t xml:space="preserve">Panel’s findings on </w:t>
      </w:r>
      <w:r w:rsidR="00DB74D1">
        <w:t>BNSSG’s ability to assure itself of the integrity of its provider selection process</w:t>
      </w:r>
      <w:r w:rsidR="00B54039">
        <w:t>)</w:t>
      </w:r>
      <w:r w:rsidR="00DB74D1">
        <w:t>.</w:t>
      </w:r>
    </w:p>
    <w:p w14:paraId="31481A30" w14:textId="370670F2" w:rsidR="00B81D0A" w:rsidRDefault="00F1725F" w:rsidP="00B81D0A">
      <w:pPr>
        <w:pStyle w:val="ListParagraph"/>
        <w:ind w:left="567" w:hanging="567"/>
      </w:pPr>
      <w:r>
        <w:t>Three areas</w:t>
      </w:r>
      <w:r w:rsidR="00B81D0A">
        <w:t xml:space="preserve"> </w:t>
      </w:r>
      <w:r w:rsidR="00196D32">
        <w:t>not</w:t>
      </w:r>
      <w:r w:rsidR="00B81D0A">
        <w:t xml:space="preserve"> address</w:t>
      </w:r>
      <w:r w:rsidR="00196D32">
        <w:t>ed</w:t>
      </w:r>
      <w:r w:rsidR="00C55543">
        <w:t xml:space="preserve"> by </w:t>
      </w:r>
      <w:r w:rsidR="00B81D0A">
        <w:t xml:space="preserve">the Panel, due to </w:t>
      </w:r>
      <w:r w:rsidR="00C55543">
        <w:t>potential interactions with the</w:t>
      </w:r>
      <w:r w:rsidR="00B81D0A">
        <w:t xml:space="preserve"> </w:t>
      </w:r>
      <w:r w:rsidR="00A24681">
        <w:t>integrity</w:t>
      </w:r>
      <w:r w:rsidR="00B81D0A">
        <w:t xml:space="preserve"> issues </w:t>
      </w:r>
      <w:r w:rsidR="00A24681">
        <w:t>set out</w:t>
      </w:r>
      <w:r w:rsidR="00B81D0A">
        <w:t xml:space="preserve"> in Section 7, </w:t>
      </w:r>
      <w:r w:rsidR="00A24681">
        <w:t>are</w:t>
      </w:r>
      <w:r w:rsidR="00B81D0A">
        <w:t>: (i) a potential conflict of interest at an organisational level for BNSSG given its ongoing litigation with EMED; (ii) potential bias on the part of BNSSG in its evaluation of bidders’ proposals; and (iii) </w:t>
      </w:r>
      <w:r w:rsidR="00AF4589">
        <w:t>a n</w:t>
      </w:r>
      <w:r w:rsidR="00882F21">
        <w:t>umber of</w:t>
      </w:r>
      <w:r w:rsidR="00B81D0A">
        <w:t xml:space="preserve"> specific points about the evaluation and scoring of bidders’ proposals.</w:t>
      </w:r>
    </w:p>
    <w:p w14:paraId="4949E901" w14:textId="1223D6DA" w:rsidR="00DB74D1" w:rsidRDefault="00A861C7" w:rsidP="00BA3521">
      <w:pPr>
        <w:pStyle w:val="ListParagraph"/>
        <w:ind w:left="567" w:hanging="567"/>
        <w:contextualSpacing/>
      </w:pPr>
      <w:r>
        <w:t>Th</w:t>
      </w:r>
      <w:r w:rsidR="00B07461">
        <w:t>e th</w:t>
      </w:r>
      <w:r>
        <w:t xml:space="preserve">ree specific issues </w:t>
      </w:r>
      <w:r w:rsidR="00B07461">
        <w:t xml:space="preserve">that </w:t>
      </w:r>
      <w:r>
        <w:t>are addressed in this section</w:t>
      </w:r>
      <w:r w:rsidR="00B07461">
        <w:t xml:space="preserve"> are as follows</w:t>
      </w:r>
      <w:r w:rsidR="007969EA">
        <w:t>:</w:t>
      </w:r>
    </w:p>
    <w:p w14:paraId="7EA89F99" w14:textId="3E968C55" w:rsidR="007969EA" w:rsidRDefault="007969EA" w:rsidP="006F5EFB">
      <w:pPr>
        <w:pStyle w:val="ListParagraph"/>
        <w:numPr>
          <w:ilvl w:val="0"/>
          <w:numId w:val="8"/>
        </w:numPr>
        <w:contextualSpacing/>
      </w:pPr>
      <w:r>
        <w:t>limits on character counts for responses to the scored quality questions (Section</w:t>
      </w:r>
      <w:r w:rsidR="003B49F7">
        <w:t> </w:t>
      </w:r>
      <w:r>
        <w:t>8.1);</w:t>
      </w:r>
    </w:p>
    <w:p w14:paraId="13712949" w14:textId="60E9A65D" w:rsidR="007969EA" w:rsidRDefault="00055265" w:rsidP="006F5EFB">
      <w:pPr>
        <w:pStyle w:val="ListParagraph"/>
        <w:numPr>
          <w:ilvl w:val="0"/>
          <w:numId w:val="8"/>
        </w:numPr>
        <w:contextualSpacing/>
      </w:pPr>
      <w:r>
        <w:t>whether EMED gained an unfair advantage arising from the disclosure process in the ongoing litigation between EMED and BNSSG (Section 8.2); and</w:t>
      </w:r>
    </w:p>
    <w:p w14:paraId="5FE4F937" w14:textId="3BE9F7F6" w:rsidR="00055265" w:rsidRDefault="006A3114" w:rsidP="006F5EFB">
      <w:pPr>
        <w:pStyle w:val="ListParagraph"/>
        <w:numPr>
          <w:ilvl w:val="0"/>
          <w:numId w:val="8"/>
        </w:numPr>
      </w:pPr>
      <w:r>
        <w:t>whether BNSSG failed to consider relevant material in its evaluation of bidders’ proposals (Section 8.3).</w:t>
      </w:r>
    </w:p>
    <w:p w14:paraId="47E91620" w14:textId="6BBD72A9" w:rsidR="00633CD9" w:rsidRPr="00496786" w:rsidRDefault="00C4576A" w:rsidP="004112FD">
      <w:pPr>
        <w:pStyle w:val="Heading2"/>
        <w:spacing w:before="240" w:after="160"/>
      </w:pPr>
      <w:bookmarkStart w:id="47" w:name="_Toc220417397"/>
      <w:r>
        <w:t>8</w:t>
      </w:r>
      <w:r w:rsidR="00633CD9" w:rsidRPr="00496786">
        <w:t>.</w:t>
      </w:r>
      <w:r w:rsidR="009E2AD3">
        <w:t>1</w:t>
      </w:r>
      <w:r w:rsidR="00633CD9" w:rsidRPr="00496786">
        <w:t xml:space="preserve"> </w:t>
      </w:r>
      <w:r w:rsidR="00AF0F50">
        <w:t xml:space="preserve">Limits on </w:t>
      </w:r>
      <w:r w:rsidR="00633CD9">
        <w:t>character count</w:t>
      </w:r>
      <w:r w:rsidR="00AF0F50">
        <w:t xml:space="preserve">s for responses to </w:t>
      </w:r>
      <w:r w:rsidR="00633CD9">
        <w:t>scored quality questions</w:t>
      </w:r>
      <w:bookmarkEnd w:id="47"/>
    </w:p>
    <w:p w14:paraId="54B503D3" w14:textId="14D78F8E" w:rsidR="00E9726D" w:rsidRDefault="0023473C" w:rsidP="00AB4174">
      <w:pPr>
        <w:pStyle w:val="ListParagraph"/>
        <w:spacing w:after="120"/>
        <w:ind w:left="567" w:hanging="567"/>
      </w:pPr>
      <w:r>
        <w:t xml:space="preserve">HTG, in its representations to the Panel, said that BNSSG set </w:t>
      </w:r>
      <w:r w:rsidR="00CF1461">
        <w:t xml:space="preserve">abnormally low character counts for responses to the scored quality questions and this conferred an advantage on </w:t>
      </w:r>
      <w:r w:rsidR="00352596">
        <w:t>EMED as the incumbent provider.</w:t>
      </w:r>
      <w:r w:rsidR="00AD748A">
        <w:t xml:space="preserve"> HTG, in its earlier representations to BNSSG, raised concerns about </w:t>
      </w:r>
      <w:r w:rsidR="00EC285D">
        <w:t xml:space="preserve">whether </w:t>
      </w:r>
      <w:r w:rsidR="00934952">
        <w:t>BNSSG acted fairly in setting these character counts.</w:t>
      </w:r>
      <w:r w:rsidR="00934952" w:rsidRPr="00C44A26">
        <w:rPr>
          <w:rStyle w:val="FootnoteReference"/>
          <w:sz w:val="21"/>
          <w:szCs w:val="21"/>
        </w:rPr>
        <w:footnoteReference w:id="42"/>
      </w:r>
    </w:p>
    <w:p w14:paraId="492FFEDF" w14:textId="2CAAF28F" w:rsidR="00050869" w:rsidRDefault="00A573E8" w:rsidP="00994573">
      <w:pPr>
        <w:pStyle w:val="ListParagraph"/>
        <w:spacing w:after="120"/>
        <w:ind w:left="567" w:hanging="567"/>
      </w:pPr>
      <w:r>
        <w:t>HTG told the Panel that</w:t>
      </w:r>
      <w:r w:rsidR="00050869">
        <w:t>:</w:t>
      </w:r>
    </w:p>
    <w:p w14:paraId="5402A5DC" w14:textId="0E8028D9" w:rsidR="00633CD9" w:rsidRPr="00052D6D" w:rsidRDefault="00050869" w:rsidP="00994573">
      <w:pPr>
        <w:pStyle w:val="ListParagraph"/>
        <w:numPr>
          <w:ilvl w:val="0"/>
          <w:numId w:val="0"/>
        </w:numPr>
        <w:spacing w:line="259" w:lineRule="auto"/>
        <w:ind w:left="851"/>
        <w:rPr>
          <w:sz w:val="21"/>
          <w:szCs w:val="21"/>
        </w:rPr>
      </w:pPr>
      <w:r w:rsidRPr="00052D6D">
        <w:rPr>
          <w:sz w:val="21"/>
          <w:szCs w:val="21"/>
        </w:rPr>
        <w:t>“</w:t>
      </w:r>
      <w:r w:rsidRPr="00050869">
        <w:rPr>
          <w:sz w:val="21"/>
          <w:szCs w:val="21"/>
        </w:rPr>
        <w:t>A somewhat novel way in which the procurement has been infected is the use by the ICB of abnormally low character limits for responses to scored quality questions. Broadly speaking, the ICB has halved the number of characters available for bidders to use to respond to such questions when compared to the procurement process run in 2023 meaning that character limits of between only 4,200 and 8,400 were available to bidders when answering scored quality questions that were often complex and multi-faceted. Whilst such character limits applied equally to all bidders, any incumbent provider (which in this case is EMED, given it operated the service to 2024) is at an obvious advantage to all other bidders as it has intimate knowledge of the key issues facing the service</w:t>
      </w:r>
      <w:r w:rsidR="000A184D">
        <w:rPr>
          <w:sz w:val="21"/>
          <w:szCs w:val="21"/>
        </w:rPr>
        <w:t>”</w:t>
      </w:r>
      <w:r w:rsidRPr="00050869">
        <w:rPr>
          <w:sz w:val="21"/>
          <w:szCs w:val="21"/>
        </w:rPr>
        <w:t xml:space="preserve"> </w:t>
      </w:r>
      <w:r w:rsidR="00633CD9" w:rsidRPr="00052D6D">
        <w:rPr>
          <w:sz w:val="21"/>
          <w:szCs w:val="21"/>
        </w:rPr>
        <w:t xml:space="preserve">(see paragraph </w:t>
      </w:r>
      <w:r w:rsidR="00633CD9" w:rsidRPr="00052D6D">
        <w:rPr>
          <w:sz w:val="21"/>
          <w:szCs w:val="21"/>
        </w:rPr>
        <w:fldChar w:fldCharType="begin"/>
      </w:r>
      <w:r w:rsidR="00633CD9" w:rsidRPr="00052D6D">
        <w:rPr>
          <w:sz w:val="21"/>
          <w:szCs w:val="21"/>
        </w:rPr>
        <w:instrText xml:space="preserve"> REF _Ref216872950 \r \h </w:instrText>
      </w:r>
      <w:r>
        <w:rPr>
          <w:sz w:val="21"/>
          <w:szCs w:val="21"/>
        </w:rPr>
        <w:instrText xml:space="preserve"> \* MERGEFORMAT </w:instrText>
      </w:r>
      <w:r w:rsidR="00633CD9" w:rsidRPr="00052D6D">
        <w:rPr>
          <w:sz w:val="21"/>
          <w:szCs w:val="21"/>
        </w:rPr>
      </w:r>
      <w:r w:rsidR="00633CD9" w:rsidRPr="00052D6D">
        <w:rPr>
          <w:sz w:val="21"/>
          <w:szCs w:val="21"/>
        </w:rPr>
        <w:fldChar w:fldCharType="separate"/>
      </w:r>
      <w:r w:rsidR="00785E99">
        <w:rPr>
          <w:sz w:val="21"/>
          <w:szCs w:val="21"/>
        </w:rPr>
        <w:t>39</w:t>
      </w:r>
      <w:r w:rsidR="00633CD9" w:rsidRPr="00052D6D">
        <w:rPr>
          <w:sz w:val="21"/>
          <w:szCs w:val="21"/>
        </w:rPr>
        <w:fldChar w:fldCharType="end"/>
      </w:r>
      <w:r w:rsidR="00633CD9" w:rsidRPr="00052D6D">
        <w:rPr>
          <w:sz w:val="21"/>
          <w:szCs w:val="21"/>
        </w:rPr>
        <w:t>).</w:t>
      </w:r>
    </w:p>
    <w:p w14:paraId="502BFCCF" w14:textId="7C983967" w:rsidR="00633CD9" w:rsidRPr="00052D6D" w:rsidRDefault="00934952" w:rsidP="001D37A9">
      <w:pPr>
        <w:pStyle w:val="ListParagraph"/>
        <w:spacing w:after="120"/>
        <w:ind w:left="567" w:hanging="567"/>
      </w:pPr>
      <w:bookmarkStart w:id="48" w:name="_Ref219451210"/>
      <w:r>
        <w:t xml:space="preserve">BNSSG, </w:t>
      </w:r>
      <w:r w:rsidR="00C44A26" w:rsidRPr="00052D6D">
        <w:t>responding to HTG’s concerns</w:t>
      </w:r>
      <w:r w:rsidR="001D37A9">
        <w:t xml:space="preserve"> in its </w:t>
      </w:r>
      <w:r w:rsidR="00371F12">
        <w:t xml:space="preserve">own </w:t>
      </w:r>
      <w:r w:rsidR="001D37A9">
        <w:t>review of HTG’s representations</w:t>
      </w:r>
      <w:r w:rsidR="00C44A26" w:rsidRPr="00052D6D">
        <w:t>, said that:</w:t>
      </w:r>
      <w:bookmarkEnd w:id="48"/>
    </w:p>
    <w:p w14:paraId="047EC95C" w14:textId="5AA1D836" w:rsidR="0084116D" w:rsidRDefault="00C44A26" w:rsidP="001D37A9">
      <w:pPr>
        <w:pStyle w:val="ListParagraph"/>
        <w:numPr>
          <w:ilvl w:val="0"/>
          <w:numId w:val="0"/>
        </w:numPr>
        <w:spacing w:after="120" w:line="259" w:lineRule="auto"/>
        <w:ind w:left="851"/>
        <w:rPr>
          <w:sz w:val="21"/>
          <w:szCs w:val="21"/>
        </w:rPr>
      </w:pPr>
      <w:r w:rsidRPr="00052D6D">
        <w:rPr>
          <w:sz w:val="21"/>
          <w:szCs w:val="21"/>
        </w:rPr>
        <w:lastRenderedPageBreak/>
        <w:t>“Character limits have been designed to be proportionate to the size and value of the procurement process. As part of this BNSSG has considered the total requirement that a bidder has to undertake in order to submit a tender response. This includes the question responses and</w:t>
      </w:r>
      <w:r w:rsidR="002258EC" w:rsidRPr="002258EC">
        <w:rPr>
          <w:sz w:val="21"/>
          <w:szCs w:val="21"/>
        </w:rPr>
        <w:t xml:space="preserve"> required attachments, which must not be a disproportionate burden. BNSSG considers the stated character limits to be sufficient to answer the questions</w:t>
      </w:r>
      <w:r w:rsidR="0074784F">
        <w:rPr>
          <w:sz w:val="21"/>
          <w:szCs w:val="21"/>
        </w:rPr>
        <w:t xml:space="preserve"> ..</w:t>
      </w:r>
      <w:r w:rsidR="002258EC">
        <w:rPr>
          <w:sz w:val="21"/>
          <w:szCs w:val="21"/>
        </w:rPr>
        <w:t>.</w:t>
      </w:r>
    </w:p>
    <w:p w14:paraId="6C4A3E64" w14:textId="22105011" w:rsidR="00AA1E58" w:rsidRDefault="000F544F" w:rsidP="00AB4174">
      <w:pPr>
        <w:pStyle w:val="ListParagraph"/>
        <w:numPr>
          <w:ilvl w:val="0"/>
          <w:numId w:val="0"/>
        </w:numPr>
        <w:spacing w:after="120"/>
        <w:ind w:left="851"/>
        <w:rPr>
          <w:sz w:val="21"/>
          <w:szCs w:val="21"/>
        </w:rPr>
      </w:pPr>
      <w:r>
        <w:rPr>
          <w:sz w:val="21"/>
          <w:szCs w:val="21"/>
        </w:rPr>
        <w:t>“</w:t>
      </w:r>
      <w:r w:rsidR="002258EC" w:rsidRPr="002258EC">
        <w:rPr>
          <w:sz w:val="21"/>
          <w:szCs w:val="21"/>
        </w:rPr>
        <w:t>All bidders had the same character limits, so there is no unfairness between bidders. We also disagree that it was not possible to provide high scoring responses to the questions within the allocated character count.</w:t>
      </w:r>
    </w:p>
    <w:p w14:paraId="74BF71C0" w14:textId="6BDC3A44" w:rsidR="00DB60DE" w:rsidRPr="00DB60DE" w:rsidRDefault="00DB60DE" w:rsidP="00124AC8">
      <w:pPr>
        <w:pStyle w:val="ListParagraph"/>
        <w:numPr>
          <w:ilvl w:val="0"/>
          <w:numId w:val="0"/>
        </w:numPr>
        <w:ind w:left="851"/>
        <w:rPr>
          <w:sz w:val="21"/>
          <w:szCs w:val="21"/>
        </w:rPr>
      </w:pPr>
      <w:r w:rsidRPr="00DB60DE">
        <w:rPr>
          <w:sz w:val="21"/>
          <w:szCs w:val="21"/>
        </w:rPr>
        <w:t xml:space="preserve">“In general, the </w:t>
      </w:r>
      <w:r w:rsidR="00F640ED">
        <w:rPr>
          <w:sz w:val="21"/>
          <w:szCs w:val="21"/>
        </w:rPr>
        <w:t>[</w:t>
      </w:r>
      <w:r w:rsidR="007A1702">
        <w:rPr>
          <w:sz w:val="21"/>
          <w:szCs w:val="21"/>
        </w:rPr>
        <w:t>BNSSG</w:t>
      </w:r>
      <w:r w:rsidR="00F640ED">
        <w:rPr>
          <w:sz w:val="21"/>
          <w:szCs w:val="21"/>
        </w:rPr>
        <w:t xml:space="preserve"> Review] </w:t>
      </w:r>
      <w:r w:rsidRPr="00DB60DE">
        <w:rPr>
          <w:sz w:val="21"/>
          <w:szCs w:val="21"/>
        </w:rPr>
        <w:t>Panel does acknowledge that the character counts in this procurement are relatively low, but there is no indication that they are unlawfully so</w:t>
      </w:r>
      <w:r>
        <w:rPr>
          <w:sz w:val="21"/>
          <w:szCs w:val="21"/>
        </w:rPr>
        <w:t>.</w:t>
      </w:r>
      <w:r w:rsidR="0074784F">
        <w:rPr>
          <w:sz w:val="21"/>
          <w:szCs w:val="21"/>
        </w:rPr>
        <w:t>”</w:t>
      </w:r>
      <w:r w:rsidR="0074784F">
        <w:rPr>
          <w:rStyle w:val="FootnoteReference"/>
          <w:sz w:val="21"/>
          <w:szCs w:val="21"/>
        </w:rPr>
        <w:footnoteReference w:id="43"/>
      </w:r>
    </w:p>
    <w:p w14:paraId="7C8F1412" w14:textId="7AB44453" w:rsidR="001E7FCF" w:rsidRDefault="001E7FCF" w:rsidP="004C135F">
      <w:pPr>
        <w:pStyle w:val="ListParagraph"/>
        <w:ind w:left="567" w:hanging="567"/>
        <w:contextualSpacing/>
      </w:pPr>
      <w:bookmarkStart w:id="49" w:name="_Ref217995280"/>
      <w:r>
        <w:t xml:space="preserve">The Panel’s assessment of this issue </w:t>
      </w:r>
      <w:r w:rsidR="00070EFE">
        <w:t>focuses on</w:t>
      </w:r>
      <w:r>
        <w:t>:</w:t>
      </w:r>
    </w:p>
    <w:p w14:paraId="06CDCAC8" w14:textId="6D5187C8" w:rsidR="001E7FCF" w:rsidRDefault="00B01E50" w:rsidP="006F5EFB">
      <w:pPr>
        <w:pStyle w:val="ListParagraph"/>
        <w:numPr>
          <w:ilvl w:val="0"/>
          <w:numId w:val="8"/>
        </w:numPr>
        <w:contextualSpacing/>
      </w:pPr>
      <w:r>
        <w:t xml:space="preserve">whether the character count </w:t>
      </w:r>
      <w:r w:rsidR="00AA361B">
        <w:t xml:space="preserve">limits </w:t>
      </w:r>
      <w:r w:rsidR="0084766C">
        <w:t xml:space="preserve">conferred an </w:t>
      </w:r>
      <w:r>
        <w:t>advantage</w:t>
      </w:r>
      <w:r w:rsidR="0084766C">
        <w:t xml:space="preserve"> on</w:t>
      </w:r>
      <w:r>
        <w:t xml:space="preserve"> EMED (Section</w:t>
      </w:r>
      <w:r w:rsidR="00BA0EE2">
        <w:t> </w:t>
      </w:r>
      <w:r>
        <w:t>8.1.1);</w:t>
      </w:r>
      <w:r w:rsidR="00452157">
        <w:t xml:space="preserve"> and</w:t>
      </w:r>
    </w:p>
    <w:p w14:paraId="5708D2C0" w14:textId="6519F8C4" w:rsidR="00B01E50" w:rsidRDefault="00601250" w:rsidP="006F5EFB">
      <w:pPr>
        <w:pStyle w:val="ListParagraph"/>
        <w:numPr>
          <w:ilvl w:val="0"/>
          <w:numId w:val="8"/>
        </w:numPr>
      </w:pPr>
      <w:r>
        <w:t xml:space="preserve">the </w:t>
      </w:r>
      <w:r w:rsidR="006816D6">
        <w:t>fairness, more generally,</w:t>
      </w:r>
      <w:r w:rsidR="00AA361B">
        <w:t xml:space="preserve"> of the character count limits </w:t>
      </w:r>
      <w:r w:rsidR="00A3023A">
        <w:t>(Section</w:t>
      </w:r>
      <w:r w:rsidR="006816D6">
        <w:t> </w:t>
      </w:r>
      <w:r w:rsidR="00A3023A">
        <w:t>8.1.</w:t>
      </w:r>
      <w:r w:rsidR="00452157">
        <w:t>2</w:t>
      </w:r>
      <w:r w:rsidR="00A3023A">
        <w:t>)</w:t>
      </w:r>
      <w:r w:rsidR="004C135F">
        <w:t>.</w:t>
      </w:r>
    </w:p>
    <w:p w14:paraId="5ABD2D76" w14:textId="5BF99979" w:rsidR="000D43E3" w:rsidRPr="00E4416A" w:rsidRDefault="005F4E38" w:rsidP="00E4416A">
      <w:pPr>
        <w:keepNext/>
        <w:spacing w:before="240"/>
        <w:rPr>
          <w:b/>
          <w:bCs/>
        </w:rPr>
      </w:pPr>
      <w:r w:rsidRPr="00E4416A">
        <w:rPr>
          <w:b/>
          <w:bCs/>
        </w:rPr>
        <w:t xml:space="preserve">8.1.1 Potential advantage </w:t>
      </w:r>
      <w:r w:rsidR="00E4416A" w:rsidRPr="00E4416A">
        <w:rPr>
          <w:b/>
          <w:bCs/>
        </w:rPr>
        <w:t>to</w:t>
      </w:r>
      <w:r w:rsidRPr="00E4416A">
        <w:rPr>
          <w:b/>
          <w:bCs/>
        </w:rPr>
        <w:t xml:space="preserve"> EMED </w:t>
      </w:r>
      <w:r w:rsidR="00BB6AEE">
        <w:rPr>
          <w:b/>
          <w:bCs/>
        </w:rPr>
        <w:t>arising from the character count limits</w:t>
      </w:r>
    </w:p>
    <w:p w14:paraId="7AD17BAC" w14:textId="7D960138" w:rsidR="000D43E3" w:rsidRDefault="005B29CD" w:rsidP="00AB4174">
      <w:pPr>
        <w:pStyle w:val="ListParagraph"/>
        <w:ind w:left="567" w:hanging="567"/>
      </w:pPr>
      <w:r>
        <w:t>HTG</w:t>
      </w:r>
      <w:r w:rsidR="008B4389">
        <w:t xml:space="preserve"> describes </w:t>
      </w:r>
      <w:r w:rsidR="00EC5582">
        <w:t xml:space="preserve">the character count limits on bidders’ responses </w:t>
      </w:r>
      <w:r w:rsidR="008B4389">
        <w:t>as being</w:t>
      </w:r>
      <w:r w:rsidR="00EC5582">
        <w:t xml:space="preserve"> </w:t>
      </w:r>
      <w:r w:rsidR="00143FA0">
        <w:t xml:space="preserve">abnormally low, and </w:t>
      </w:r>
      <w:r w:rsidR="004345D9">
        <w:t xml:space="preserve">argues that </w:t>
      </w:r>
      <w:r w:rsidR="00143FA0">
        <w:t>this conferr</w:t>
      </w:r>
      <w:r w:rsidR="004345D9">
        <w:t xml:space="preserve">ed </w:t>
      </w:r>
      <w:r w:rsidR="00143FA0">
        <w:t>an advantage on EMED, which it describe</w:t>
      </w:r>
      <w:r w:rsidR="00C87D6A">
        <w:t>d</w:t>
      </w:r>
      <w:r w:rsidR="00143FA0">
        <w:t xml:space="preserve"> as the incumbent provider</w:t>
      </w:r>
      <w:r w:rsidR="00783CC9">
        <w:t xml:space="preserve"> given it</w:t>
      </w:r>
      <w:r w:rsidR="00DE39ED">
        <w:t>s</w:t>
      </w:r>
      <w:r w:rsidR="00783CC9">
        <w:t xml:space="preserve"> operat</w:t>
      </w:r>
      <w:r w:rsidR="00DE39ED">
        <w:t xml:space="preserve">ion of Planned NEPTS for BNSSG </w:t>
      </w:r>
      <w:r w:rsidR="00783CC9">
        <w:t>until 2024.</w:t>
      </w:r>
    </w:p>
    <w:p w14:paraId="4A75669C" w14:textId="35040379" w:rsidR="00A90128" w:rsidRPr="00FE3D19" w:rsidRDefault="00994AB8" w:rsidP="00A90128">
      <w:pPr>
        <w:pStyle w:val="ListParagraph"/>
        <w:ind w:left="567" w:hanging="567"/>
      </w:pPr>
      <w:r w:rsidRPr="00FE3D19">
        <w:t>HTG told the Panel</w:t>
      </w:r>
      <w:r w:rsidR="000438C8" w:rsidRPr="00FE3D19">
        <w:t xml:space="preserve"> </w:t>
      </w:r>
      <w:r w:rsidR="00577C5C" w:rsidRPr="00FE3D19">
        <w:t xml:space="preserve">that </w:t>
      </w:r>
      <w:r w:rsidR="004B78A4" w:rsidRPr="00FE3D19">
        <w:t>EMED</w:t>
      </w:r>
      <w:r w:rsidR="00577A05" w:rsidRPr="00FE3D19">
        <w:t xml:space="preserve"> “</w:t>
      </w:r>
      <w:r w:rsidR="00A90128" w:rsidRPr="00FE3D19">
        <w:t>having been sort of the previous incumbent</w:t>
      </w:r>
      <w:r w:rsidR="006839A3" w:rsidRPr="00FE3D19">
        <w:t xml:space="preserve"> </w:t>
      </w:r>
      <w:r w:rsidR="00A90128" w:rsidRPr="00FE3D19">
        <w:t>would already have knowledge of the key points</w:t>
      </w:r>
      <w:r w:rsidR="00F630B3" w:rsidRPr="00FE3D19">
        <w:t xml:space="preserve"> </w:t>
      </w:r>
      <w:r w:rsidR="00A90128" w:rsidRPr="00FE3D19">
        <w:t>that</w:t>
      </w:r>
      <w:r w:rsidR="009A543C" w:rsidRPr="00FE3D19">
        <w:t xml:space="preserve"> the</w:t>
      </w:r>
      <w:r w:rsidR="00A90128" w:rsidRPr="00FE3D19">
        <w:t xml:space="preserve"> ICB want the bidders to hit within those limited characters</w:t>
      </w:r>
      <w:r w:rsidR="0045631A" w:rsidRPr="00FE3D19">
        <w:t>”</w:t>
      </w:r>
      <w:r w:rsidR="00B11D2F" w:rsidRPr="00FE3D19">
        <w:t xml:space="preserve">. It also </w:t>
      </w:r>
      <w:r w:rsidR="00A60ADD" w:rsidRPr="00FE3D19">
        <w:t>said that</w:t>
      </w:r>
      <w:r w:rsidR="00F303AF">
        <w:t xml:space="preserve">, in </w:t>
      </w:r>
      <w:r w:rsidR="004D5E24">
        <w:t>its</w:t>
      </w:r>
      <w:r w:rsidR="00F303AF">
        <w:t xml:space="preserve"> experience as </w:t>
      </w:r>
      <w:r w:rsidR="004D5E24">
        <w:t xml:space="preserve">the </w:t>
      </w:r>
      <w:r w:rsidR="00F303AF">
        <w:t>incumbent provider in other contexts,</w:t>
      </w:r>
      <w:r w:rsidR="00A60ADD" w:rsidRPr="00FE3D19">
        <w:t xml:space="preserve"> </w:t>
      </w:r>
      <w:r w:rsidR="00EF334D" w:rsidRPr="00FE3D19">
        <w:t>“we have to retender for our own services and it does enable you to be more succinct and hit the points</w:t>
      </w:r>
      <w:r w:rsidR="00AB3749" w:rsidRPr="00FE3D19">
        <w:t xml:space="preserve">” and that </w:t>
      </w:r>
      <w:r w:rsidR="00A9713E" w:rsidRPr="00FE3D19">
        <w:t xml:space="preserve">“if you </w:t>
      </w:r>
      <w:r w:rsidR="0010622B" w:rsidRPr="00FE3D19">
        <w:t xml:space="preserve">are </w:t>
      </w:r>
      <w:r w:rsidR="00A9713E" w:rsidRPr="00FE3D19">
        <w:t>the incumbent</w:t>
      </w:r>
      <w:r w:rsidR="00AB571D" w:rsidRPr="00FE3D19">
        <w:t>,</w:t>
      </w:r>
      <w:r w:rsidR="00A9713E" w:rsidRPr="00FE3D19">
        <w:t xml:space="preserve"> </w:t>
      </w:r>
      <w:r w:rsidR="00AB571D" w:rsidRPr="00FE3D19">
        <w:t>you are obviously</w:t>
      </w:r>
      <w:r w:rsidR="0010622B" w:rsidRPr="00FE3D19">
        <w:t xml:space="preserve"> advantage</w:t>
      </w:r>
      <w:r w:rsidR="00615E05" w:rsidRPr="00FE3D19">
        <w:t xml:space="preserve">d </w:t>
      </w:r>
      <w:r w:rsidR="00AB571D" w:rsidRPr="00FE3D19">
        <w:t>because you know intimately</w:t>
      </w:r>
      <w:r w:rsidR="00615E05" w:rsidRPr="00FE3D19">
        <w:t xml:space="preserve"> the </w:t>
      </w:r>
      <w:r w:rsidR="00AB571D" w:rsidRPr="00FE3D19">
        <w:t>issues</w:t>
      </w:r>
      <w:r w:rsidR="006F2238" w:rsidRPr="00FE3D19">
        <w:t xml:space="preserve"> that </w:t>
      </w:r>
      <w:r w:rsidR="00892622" w:rsidRPr="00FE3D19">
        <w:t>the ICB will be hoping to address in a future contract</w:t>
      </w:r>
      <w:r w:rsidR="00FE7C2A" w:rsidRPr="00FE3D19">
        <w:t>” and that “you know what to focus on and what not to focus on”.</w:t>
      </w:r>
      <w:r w:rsidR="00CC1C50" w:rsidRPr="00FE3D19">
        <w:rPr>
          <w:rStyle w:val="FootnoteReference"/>
        </w:rPr>
        <w:footnoteReference w:id="44"/>
      </w:r>
    </w:p>
    <w:p w14:paraId="4109B587" w14:textId="69BBCCBC" w:rsidR="00994AB8" w:rsidRDefault="00611256" w:rsidP="00AB4174">
      <w:pPr>
        <w:pStyle w:val="ListParagraph"/>
        <w:ind w:left="567" w:hanging="567"/>
      </w:pPr>
      <w:r>
        <w:t xml:space="preserve">The Panel </w:t>
      </w:r>
      <w:r w:rsidR="00A757E5">
        <w:t>does not accept that</w:t>
      </w:r>
      <w:r w:rsidR="00E42E79">
        <w:t xml:space="preserve">, as a general proposition, incumbent providers </w:t>
      </w:r>
      <w:r w:rsidR="00626E66">
        <w:t>are</w:t>
      </w:r>
      <w:r w:rsidR="00E42E79">
        <w:t xml:space="preserve"> </w:t>
      </w:r>
      <w:r w:rsidR="000607BA">
        <w:t xml:space="preserve">necessarily </w:t>
      </w:r>
      <w:r w:rsidR="00E42E79">
        <w:t xml:space="preserve">advantaged </w:t>
      </w:r>
      <w:r w:rsidR="002354D0">
        <w:t>where commissioner</w:t>
      </w:r>
      <w:r w:rsidR="00C268EF">
        <w:t>s</w:t>
      </w:r>
      <w:r w:rsidR="002354D0">
        <w:t xml:space="preserve"> require </w:t>
      </w:r>
      <w:r w:rsidR="00626E66">
        <w:t xml:space="preserve">concise </w:t>
      </w:r>
      <w:r w:rsidR="002354D0">
        <w:t>answers</w:t>
      </w:r>
      <w:r w:rsidR="00E42E79">
        <w:t>.</w:t>
      </w:r>
      <w:r w:rsidR="00626E66">
        <w:t xml:space="preserve"> </w:t>
      </w:r>
      <w:r w:rsidR="00AA3E47">
        <w:t>The Panel notes that incumbent providers</w:t>
      </w:r>
      <w:r w:rsidR="00F45861" w:rsidRPr="00F45861">
        <w:t xml:space="preserve"> </w:t>
      </w:r>
      <w:r w:rsidR="00F45861">
        <w:t>may find it more difficult to give concise answers</w:t>
      </w:r>
      <w:r w:rsidR="00AA3E47">
        <w:t xml:space="preserve"> by virtue of having a great deal of detailed information </w:t>
      </w:r>
      <w:r w:rsidR="003C115F">
        <w:t>about a service</w:t>
      </w:r>
      <w:r w:rsidR="00F45861">
        <w:t xml:space="preserve"> and wanting to reflect </w:t>
      </w:r>
      <w:r w:rsidR="00643DB6">
        <w:t xml:space="preserve">this </w:t>
      </w:r>
      <w:r w:rsidR="003C115F">
        <w:t xml:space="preserve">detail and nuance </w:t>
      </w:r>
      <w:r w:rsidR="00F45861">
        <w:t xml:space="preserve">in their </w:t>
      </w:r>
      <w:r w:rsidR="00C268EF">
        <w:t>answers.</w:t>
      </w:r>
    </w:p>
    <w:p w14:paraId="02EBA2E8" w14:textId="12DA6DC6" w:rsidR="0022133D" w:rsidRDefault="0022133D" w:rsidP="00AB4174">
      <w:pPr>
        <w:pStyle w:val="ListParagraph"/>
        <w:ind w:left="567" w:hanging="567"/>
      </w:pPr>
      <w:r>
        <w:t xml:space="preserve">The Panel further notes that </w:t>
      </w:r>
      <w:r w:rsidR="00456B96">
        <w:t xml:space="preserve">EMED </w:t>
      </w:r>
      <w:r w:rsidR="00504C85">
        <w:t xml:space="preserve">was not </w:t>
      </w:r>
      <w:r w:rsidR="00456B96">
        <w:t xml:space="preserve">the incumbent provider of </w:t>
      </w:r>
      <w:r w:rsidR="00504C85">
        <w:t>P</w:t>
      </w:r>
      <w:r w:rsidR="00456B96">
        <w:t xml:space="preserve">lanned NEPTS for BNSSG. </w:t>
      </w:r>
      <w:r w:rsidR="007119E7">
        <w:t xml:space="preserve">This was UHBW </w:t>
      </w:r>
      <w:r w:rsidR="00196404">
        <w:t>supported by BAEMS (see paragraph</w:t>
      </w:r>
      <w:r w:rsidR="00CB320D">
        <w:t xml:space="preserve">s </w:t>
      </w:r>
      <w:r w:rsidR="00CB320D">
        <w:fldChar w:fldCharType="begin"/>
      </w:r>
      <w:r w:rsidR="00CB320D">
        <w:instrText xml:space="preserve"> REF _Ref219915770 \r \h </w:instrText>
      </w:r>
      <w:r w:rsidR="00CB320D">
        <w:fldChar w:fldCharType="separate"/>
      </w:r>
      <w:r w:rsidR="00785E99">
        <w:t>29</w:t>
      </w:r>
      <w:r w:rsidR="00CB320D">
        <w:fldChar w:fldCharType="end"/>
      </w:r>
      <w:r w:rsidR="00CB320D">
        <w:t xml:space="preserve"> to </w:t>
      </w:r>
      <w:r w:rsidR="00CB320D">
        <w:fldChar w:fldCharType="begin"/>
      </w:r>
      <w:r w:rsidR="00CB320D">
        <w:instrText xml:space="preserve"> REF _Ref219915771 \r \h </w:instrText>
      </w:r>
      <w:r w:rsidR="00CB320D">
        <w:fldChar w:fldCharType="separate"/>
      </w:r>
      <w:r w:rsidR="00785E99">
        <w:t>31</w:t>
      </w:r>
      <w:r w:rsidR="00CB320D">
        <w:fldChar w:fldCharType="end"/>
      </w:r>
      <w:r w:rsidR="00CB320D">
        <w:t>).</w:t>
      </w:r>
      <w:r w:rsidR="0058032E">
        <w:t xml:space="preserve"> </w:t>
      </w:r>
      <w:r w:rsidR="00AE53CE">
        <w:t>There is no evidence of BAE</w:t>
      </w:r>
      <w:r w:rsidR="0016353A">
        <w:t>M</w:t>
      </w:r>
      <w:r w:rsidR="00AE53CE">
        <w:t xml:space="preserve">S realising </w:t>
      </w:r>
      <w:r w:rsidR="00723F01">
        <w:t xml:space="preserve">any incumbent advantage of </w:t>
      </w:r>
      <w:r w:rsidR="0016353A">
        <w:t xml:space="preserve">the </w:t>
      </w:r>
      <w:r w:rsidR="00723F01">
        <w:t xml:space="preserve">type described by HTG </w:t>
      </w:r>
      <w:r w:rsidR="00AE53CE">
        <w:t xml:space="preserve">given its </w:t>
      </w:r>
      <w:r w:rsidR="00561F6E">
        <w:t xml:space="preserve">ranking in bidders’ proposals </w:t>
      </w:r>
      <w:r w:rsidR="00CD55B3">
        <w:t xml:space="preserve">for the Planned NEPTS contract </w:t>
      </w:r>
      <w:r w:rsidR="00561F6E">
        <w:t xml:space="preserve">(see paragraph </w:t>
      </w:r>
      <w:r w:rsidR="00561F6E">
        <w:fldChar w:fldCharType="begin"/>
      </w:r>
      <w:r w:rsidR="00561F6E">
        <w:instrText xml:space="preserve"> REF _Ref219916731 \r \h </w:instrText>
      </w:r>
      <w:r w:rsidR="00561F6E">
        <w:fldChar w:fldCharType="separate"/>
      </w:r>
      <w:r w:rsidR="00785E99">
        <w:t>33</w:t>
      </w:r>
      <w:r w:rsidR="00561F6E">
        <w:fldChar w:fldCharType="end"/>
      </w:r>
      <w:r w:rsidR="00561F6E">
        <w:t>).</w:t>
      </w:r>
    </w:p>
    <w:p w14:paraId="50AB6817" w14:textId="2AA74A69" w:rsidR="005F4E38" w:rsidRPr="00CA3614" w:rsidRDefault="00CA3614" w:rsidP="00CA3614">
      <w:pPr>
        <w:keepNext/>
        <w:spacing w:before="240"/>
        <w:rPr>
          <w:b/>
          <w:bCs/>
        </w:rPr>
      </w:pPr>
      <w:r w:rsidRPr="00CA3614">
        <w:rPr>
          <w:b/>
          <w:bCs/>
        </w:rPr>
        <w:lastRenderedPageBreak/>
        <w:t xml:space="preserve">8.1.2 </w:t>
      </w:r>
      <w:r w:rsidR="0044335B">
        <w:rPr>
          <w:b/>
          <w:bCs/>
        </w:rPr>
        <w:t>F</w:t>
      </w:r>
      <w:r w:rsidR="006816D6">
        <w:rPr>
          <w:b/>
          <w:bCs/>
        </w:rPr>
        <w:t>airness</w:t>
      </w:r>
      <w:r w:rsidRPr="00CA3614">
        <w:rPr>
          <w:b/>
          <w:bCs/>
        </w:rPr>
        <w:t xml:space="preserve"> of </w:t>
      </w:r>
      <w:r w:rsidR="00B3292E">
        <w:rPr>
          <w:b/>
          <w:bCs/>
        </w:rPr>
        <w:t>BNSSG’s</w:t>
      </w:r>
      <w:r w:rsidRPr="00CA3614">
        <w:rPr>
          <w:b/>
          <w:bCs/>
        </w:rPr>
        <w:t xml:space="preserve"> character count limits</w:t>
      </w:r>
    </w:p>
    <w:p w14:paraId="6297AACD" w14:textId="541EB255" w:rsidR="0044335B" w:rsidRDefault="0044335B" w:rsidP="00AB4174">
      <w:pPr>
        <w:pStyle w:val="ListParagraph"/>
        <w:ind w:left="567" w:hanging="567"/>
      </w:pPr>
      <w:bookmarkStart w:id="50" w:name="_Ref218002201"/>
      <w:r>
        <w:t>The Panel</w:t>
      </w:r>
      <w:r w:rsidR="00F86073">
        <w:t xml:space="preserve"> has, more generally, assessed </w:t>
      </w:r>
      <w:r>
        <w:t>the fairness of BNSSG’s character count limits</w:t>
      </w:r>
      <w:r w:rsidR="00C03529">
        <w:t xml:space="preserve">, </w:t>
      </w:r>
      <w:r w:rsidR="00DA392F">
        <w:t xml:space="preserve">including by </w:t>
      </w:r>
      <w:r w:rsidR="00C03529">
        <w:t>looking at</w:t>
      </w:r>
      <w:r w:rsidR="00845E81">
        <w:t xml:space="preserve"> how </w:t>
      </w:r>
      <w:r w:rsidR="009A4ECD">
        <w:t xml:space="preserve">BNSSG’s </w:t>
      </w:r>
      <w:r w:rsidR="00C03529">
        <w:t xml:space="preserve">character count limits </w:t>
      </w:r>
      <w:r w:rsidR="00277860">
        <w:t xml:space="preserve">interacted with </w:t>
      </w:r>
      <w:r w:rsidR="00962678">
        <w:t>BNSSG’s scoring methodology</w:t>
      </w:r>
      <w:r w:rsidR="00B0510E">
        <w:t>.</w:t>
      </w:r>
    </w:p>
    <w:p w14:paraId="571D06E5" w14:textId="6B8C8569" w:rsidR="008328A2" w:rsidRDefault="00664EB4" w:rsidP="00AB4174">
      <w:pPr>
        <w:pStyle w:val="ListParagraph"/>
        <w:ind w:left="567" w:hanging="567"/>
      </w:pPr>
      <w:r>
        <w:t>BNSSG</w:t>
      </w:r>
      <w:r w:rsidR="00A060F2">
        <w:t xml:space="preserve">’s character </w:t>
      </w:r>
      <w:r w:rsidR="00906FFC">
        <w:t xml:space="preserve">count </w:t>
      </w:r>
      <w:r w:rsidR="00A060F2">
        <w:t xml:space="preserve">limits for </w:t>
      </w:r>
      <w:r w:rsidR="00E50FE1">
        <w:t xml:space="preserve">bidders’ responses to the </w:t>
      </w:r>
      <w:r w:rsidR="00A060F2">
        <w:t xml:space="preserve">scored quality questions were </w:t>
      </w:r>
      <w:r w:rsidR="00BE7F53">
        <w:t xml:space="preserve">set at </w:t>
      </w:r>
      <w:r w:rsidR="00966AED">
        <w:t>4,200</w:t>
      </w:r>
      <w:r w:rsidR="00BE7F53">
        <w:t xml:space="preserve">, 5,250 or </w:t>
      </w:r>
      <w:r w:rsidR="00966AED">
        <w:t>8,400</w:t>
      </w:r>
      <w:r w:rsidR="00493707">
        <w:t xml:space="preserve"> characters</w:t>
      </w:r>
      <w:r w:rsidR="00885E54">
        <w:t>. This equates to approximately 700</w:t>
      </w:r>
      <w:r w:rsidR="008B71B2">
        <w:t xml:space="preserve"> words, 875 words or </w:t>
      </w:r>
      <w:r w:rsidR="00885E54">
        <w:t>1,400 words per answer.</w:t>
      </w:r>
    </w:p>
    <w:p w14:paraId="29861373" w14:textId="247B5590" w:rsidR="008328A2" w:rsidRDefault="008328A2" w:rsidP="008328A2">
      <w:pPr>
        <w:pStyle w:val="ListParagraph"/>
        <w:ind w:left="567" w:hanging="567"/>
      </w:pPr>
      <w:r>
        <w:t xml:space="preserve">BNSSG told the Panel that, compared to the previous procurement, the </w:t>
      </w:r>
      <w:r w:rsidR="0020540A">
        <w:t xml:space="preserve">combined </w:t>
      </w:r>
      <w:r>
        <w:t xml:space="preserve">character count limit </w:t>
      </w:r>
      <w:r w:rsidR="0020540A">
        <w:t xml:space="preserve">across </w:t>
      </w:r>
      <w:r>
        <w:t>all questions was</w:t>
      </w:r>
      <w:r w:rsidR="0020540A">
        <w:t>, in total,</w:t>
      </w:r>
      <w:r>
        <w:t xml:space="preserve"> higher</w:t>
      </w:r>
      <w:r w:rsidR="00505F69">
        <w:t xml:space="preserve"> for the current provider selection process. The total character count was, however, </w:t>
      </w:r>
      <w:r>
        <w:t xml:space="preserve">split across </w:t>
      </w:r>
      <w:r w:rsidR="00505F69">
        <w:t xml:space="preserve">a larger number of </w:t>
      </w:r>
      <w:r>
        <w:t xml:space="preserve">questions. </w:t>
      </w:r>
      <w:r w:rsidR="00505F69">
        <w:t xml:space="preserve">BNSSG </w:t>
      </w:r>
      <w:r w:rsidR="00651C6C">
        <w:t xml:space="preserve">further </w:t>
      </w:r>
      <w:r>
        <w:t xml:space="preserve">said that it believed that its character count limits </w:t>
      </w:r>
      <w:r w:rsidR="00FE5901">
        <w:t>were</w:t>
      </w:r>
      <w:r>
        <w:t xml:space="preserve"> reasonable and sufficient</w:t>
      </w:r>
      <w:r w:rsidR="00651C6C">
        <w:t xml:space="preserve"> for bidders’ responses</w:t>
      </w:r>
      <w:r>
        <w:t>.</w:t>
      </w:r>
      <w:r>
        <w:rPr>
          <w:rStyle w:val="FootnoteReference"/>
        </w:rPr>
        <w:footnoteReference w:id="45"/>
      </w:r>
    </w:p>
    <w:p w14:paraId="423CAFF3" w14:textId="12863719" w:rsidR="00947734" w:rsidRDefault="00C930AA" w:rsidP="00AB4174">
      <w:pPr>
        <w:pStyle w:val="ListParagraph"/>
        <w:ind w:left="567" w:hanging="567"/>
      </w:pPr>
      <w:r>
        <w:t xml:space="preserve">The Panel notes that </w:t>
      </w:r>
      <w:r w:rsidR="00947734">
        <w:t xml:space="preserve">the character count limit </w:t>
      </w:r>
      <w:r w:rsidR="00B85820">
        <w:t xml:space="preserve">for each answer matched the weighting </w:t>
      </w:r>
      <w:r w:rsidR="00300E72">
        <w:t>for</w:t>
      </w:r>
      <w:r w:rsidR="00B85820">
        <w:t xml:space="preserve"> that answer. </w:t>
      </w:r>
      <w:r w:rsidR="006D4245">
        <w:t>Answers with a 4% weighting were given a 4,200 character count</w:t>
      </w:r>
      <w:r w:rsidR="007640BD">
        <w:t>, those with a 5% weighting were given a 5,250 character count and those with an 8% weighting were given a</w:t>
      </w:r>
      <w:r w:rsidR="00300E72">
        <w:t>n 8,400 character count.</w:t>
      </w:r>
    </w:p>
    <w:p w14:paraId="7AE4A604" w14:textId="54C5741D" w:rsidR="006D6395" w:rsidRDefault="006D6395" w:rsidP="00AB4174">
      <w:pPr>
        <w:pStyle w:val="ListParagraph"/>
        <w:ind w:left="567" w:hanging="567"/>
      </w:pPr>
      <w:r>
        <w:t>This method of allocating character counts to answers d</w:t>
      </w:r>
      <w:r w:rsidR="00F12E67">
        <w:t>oes</w:t>
      </w:r>
      <w:r>
        <w:t xml:space="preserve"> not, however, </w:t>
      </w:r>
      <w:r w:rsidR="00DA3A45">
        <w:t>always</w:t>
      </w:r>
      <w:r>
        <w:t xml:space="preserve"> take account of </w:t>
      </w:r>
      <w:r w:rsidR="006F2CDC">
        <w:t xml:space="preserve">a </w:t>
      </w:r>
      <w:r>
        <w:t>question</w:t>
      </w:r>
      <w:r w:rsidR="006F2CDC">
        <w:t>’s</w:t>
      </w:r>
      <w:r>
        <w:t xml:space="preserve"> complexity</w:t>
      </w:r>
      <w:r w:rsidR="006F2CDC">
        <w:t xml:space="preserve"> or the number of ‘must include’ elements in the question </w:t>
      </w:r>
      <w:r w:rsidR="00812407">
        <w:t>which bidders had to include in their response</w:t>
      </w:r>
      <w:r>
        <w:t xml:space="preserve">. </w:t>
      </w:r>
      <w:r w:rsidR="002409F8">
        <w:t xml:space="preserve">Chart 1 plots </w:t>
      </w:r>
      <w:r w:rsidR="00DA3A45">
        <w:t xml:space="preserve">question length </w:t>
      </w:r>
      <w:r w:rsidR="00F933CF">
        <w:t xml:space="preserve">(as a </w:t>
      </w:r>
      <w:r w:rsidR="00DA3A45">
        <w:t xml:space="preserve">proxy for </w:t>
      </w:r>
      <w:r w:rsidR="00F933CF">
        <w:t xml:space="preserve">question </w:t>
      </w:r>
      <w:r w:rsidR="00DA3A45">
        <w:t>complexity</w:t>
      </w:r>
      <w:r w:rsidR="00F933CF">
        <w:t xml:space="preserve">) against </w:t>
      </w:r>
      <w:r w:rsidR="00CA4F0A">
        <w:t xml:space="preserve">the character count allowed for answers. This shows that the two highest weighted questions </w:t>
      </w:r>
      <w:r w:rsidR="002E5865">
        <w:t xml:space="preserve">were the longest in length and </w:t>
      </w:r>
      <w:r w:rsidR="007737C3">
        <w:t xml:space="preserve">were given the highest character count limits. However, beyond these two questions, </w:t>
      </w:r>
      <w:r w:rsidR="001D4FE8">
        <w:t xml:space="preserve">there was no relationship between question length </w:t>
      </w:r>
      <w:r w:rsidR="00CC4A4F">
        <w:t>(</w:t>
      </w:r>
      <w:r w:rsidR="00B746D0">
        <w:t>as a proxy for</w:t>
      </w:r>
      <w:r w:rsidR="00CC4A4F">
        <w:t xml:space="preserve"> complexity) </w:t>
      </w:r>
      <w:r w:rsidR="001D4FE8">
        <w:t xml:space="preserve">and the </w:t>
      </w:r>
      <w:r w:rsidR="00AA462F">
        <w:t xml:space="preserve">number of </w:t>
      </w:r>
      <w:r w:rsidR="001D4FE8">
        <w:t xml:space="preserve">characters allowed for </w:t>
      </w:r>
      <w:r w:rsidR="00AA462F">
        <w:t>answers.</w:t>
      </w:r>
    </w:p>
    <w:p w14:paraId="4FA24A9C" w14:textId="4E0D136B" w:rsidR="007F71BF" w:rsidRPr="008240AE" w:rsidRDefault="00C427E7" w:rsidP="00EA4BAE">
      <w:pPr>
        <w:keepNext/>
        <w:spacing w:before="240" w:after="120"/>
        <w:ind w:left="567"/>
        <w:rPr>
          <w:b/>
          <w:bCs/>
          <w:sz w:val="20"/>
          <w:szCs w:val="20"/>
        </w:rPr>
      </w:pPr>
      <w:r>
        <w:rPr>
          <w:b/>
          <w:bCs/>
          <w:sz w:val="20"/>
          <w:szCs w:val="20"/>
        </w:rPr>
        <w:t>Chart 1</w:t>
      </w:r>
      <w:r w:rsidR="008240AE">
        <w:rPr>
          <w:b/>
          <w:bCs/>
          <w:sz w:val="20"/>
          <w:szCs w:val="20"/>
        </w:rPr>
        <w:t xml:space="preserve">: </w:t>
      </w:r>
      <w:r>
        <w:rPr>
          <w:b/>
          <w:bCs/>
          <w:sz w:val="20"/>
          <w:szCs w:val="20"/>
        </w:rPr>
        <w:t>Relationship between question length and character count limits for answers</w:t>
      </w:r>
    </w:p>
    <w:p w14:paraId="5088B07D" w14:textId="44965A1C" w:rsidR="007F71BF" w:rsidRDefault="00A65FDD" w:rsidP="00C427E7">
      <w:pPr>
        <w:spacing w:after="0"/>
        <w:jc w:val="center"/>
      </w:pPr>
      <w:r>
        <w:rPr>
          <w:noProof/>
        </w:rPr>
        <w:drawing>
          <wp:inline distT="0" distB="0" distL="0" distR="0" wp14:anchorId="5E50287E" wp14:editId="159AC4AF">
            <wp:extent cx="4842290" cy="2879090"/>
            <wp:effectExtent l="0" t="0" r="0" b="0"/>
            <wp:docPr id="68006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6644" cy="2881679"/>
                    </a:xfrm>
                    <a:prstGeom prst="rect">
                      <a:avLst/>
                    </a:prstGeom>
                    <a:noFill/>
                  </pic:spPr>
                </pic:pic>
              </a:graphicData>
            </a:graphic>
          </wp:inline>
        </w:drawing>
      </w:r>
    </w:p>
    <w:p w14:paraId="626C338C" w14:textId="6BF8D82B" w:rsidR="007F71BF" w:rsidRPr="00C427E7" w:rsidRDefault="00C427E7" w:rsidP="00C427E7">
      <w:pPr>
        <w:spacing w:after="360" w:line="240" w:lineRule="auto"/>
        <w:ind w:left="567"/>
        <w:rPr>
          <w:sz w:val="16"/>
          <w:szCs w:val="16"/>
        </w:rPr>
      </w:pPr>
      <w:r>
        <w:rPr>
          <w:sz w:val="16"/>
          <w:szCs w:val="16"/>
        </w:rPr>
        <w:lastRenderedPageBreak/>
        <w:t>Source: Panel analysis.</w:t>
      </w:r>
    </w:p>
    <w:p w14:paraId="26AE0032" w14:textId="6001BBE7" w:rsidR="008730FA" w:rsidRDefault="00340BAE" w:rsidP="008730FA">
      <w:pPr>
        <w:pStyle w:val="ListParagraph"/>
        <w:ind w:left="567" w:hanging="567"/>
      </w:pPr>
      <w:bookmarkStart w:id="51" w:name="_Ref219207819"/>
      <w:bookmarkEnd w:id="50"/>
      <w:r>
        <w:t xml:space="preserve">Any assessment of the ‘fairness’ of BNSSG’s character count limits needs to take into account </w:t>
      </w:r>
      <w:r w:rsidR="00020DD3">
        <w:t xml:space="preserve">the scoring outcomes from the evaluation process </w:t>
      </w:r>
      <w:r w:rsidR="00BE4D82">
        <w:t>as this provide</w:t>
      </w:r>
      <w:r w:rsidR="00E02014">
        <w:t>s</w:t>
      </w:r>
      <w:r w:rsidR="00BE4D82">
        <w:t xml:space="preserve"> insight into whether bidders encountered difficulties in answering questions within the character count limit.</w:t>
      </w:r>
    </w:p>
    <w:p w14:paraId="40F7FD97" w14:textId="434BA448" w:rsidR="005C4480" w:rsidRDefault="00BD7F5C" w:rsidP="000C19F1">
      <w:pPr>
        <w:pStyle w:val="ListParagraph"/>
        <w:ind w:left="567" w:hanging="567"/>
      </w:pPr>
      <w:r>
        <w:t xml:space="preserve">There were </w:t>
      </w:r>
      <w:r w:rsidR="002A48D3">
        <w:t>eighteen</w:t>
      </w:r>
      <w:r>
        <w:t xml:space="preserve"> scored</w:t>
      </w:r>
      <w:r w:rsidR="00BD66DC">
        <w:t xml:space="preserve"> quality questions. </w:t>
      </w:r>
      <w:r w:rsidR="005D5CCC">
        <w:t>The Panel notes that a</w:t>
      </w:r>
      <w:r w:rsidR="00B428D8">
        <w:t xml:space="preserve">round 40% of all </w:t>
      </w:r>
      <w:r w:rsidR="005D5CCC">
        <w:t xml:space="preserve">answers </w:t>
      </w:r>
      <w:r w:rsidR="00B428D8">
        <w:t xml:space="preserve">submitted </w:t>
      </w:r>
      <w:r w:rsidR="005D5CCC">
        <w:t xml:space="preserve">by bidders </w:t>
      </w:r>
      <w:r w:rsidR="00BD66DC">
        <w:t xml:space="preserve">to these questions </w:t>
      </w:r>
      <w:r w:rsidR="005D5CCC">
        <w:t xml:space="preserve">were scored as </w:t>
      </w:r>
      <w:r w:rsidR="00031762">
        <w:t>‘</w:t>
      </w:r>
      <w:r w:rsidR="005D5CCC">
        <w:t>1</w:t>
      </w:r>
      <w:r w:rsidR="00031762">
        <w:t>’</w:t>
      </w:r>
      <w:r w:rsidR="00FD2536">
        <w:t xml:space="preserve">. </w:t>
      </w:r>
      <w:r w:rsidR="005C4480">
        <w:t>Bidders receiving a score of ‘1’ were found to have provided a limited answer that did not meet the stated requirement or one that provided little detail or evidence</w:t>
      </w:r>
      <w:r w:rsidR="00FD2536">
        <w:t xml:space="preserve"> (see scoring matrix below)</w:t>
      </w:r>
      <w:r w:rsidR="005C4480">
        <w:t>.</w:t>
      </w:r>
    </w:p>
    <w:tbl>
      <w:tblPr>
        <w:tblW w:w="4377"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13"/>
        <w:gridCol w:w="5299"/>
        <w:gridCol w:w="1181"/>
      </w:tblGrid>
      <w:tr w:rsidR="005C4480" w:rsidRPr="00523A1E" w14:paraId="344A08A9" w14:textId="77777777">
        <w:trPr>
          <w:tblHeader/>
          <w:jc w:val="center"/>
        </w:trPr>
        <w:tc>
          <w:tcPr>
            <w:tcW w:w="895" w:type="pct"/>
            <w:shd w:val="clear" w:color="auto" w:fill="D9D9D9" w:themeFill="background1" w:themeFillShade="D9"/>
            <w:vAlign w:val="center"/>
          </w:tcPr>
          <w:p w14:paraId="04C8736F" w14:textId="77777777" w:rsidR="005C4480" w:rsidRPr="00052D6D" w:rsidRDefault="005C4480">
            <w:pPr>
              <w:spacing w:before="60" w:after="60" w:line="240" w:lineRule="auto"/>
              <w:jc w:val="center"/>
              <w:rPr>
                <w:rFonts w:eastAsia="Calibri" w:cs="Arial"/>
                <w:b/>
                <w:kern w:val="0"/>
                <w:sz w:val="18"/>
                <w:szCs w:val="18"/>
                <w14:ligatures w14:val="none"/>
              </w:rPr>
            </w:pPr>
            <w:r w:rsidRPr="00052D6D">
              <w:rPr>
                <w:rFonts w:eastAsia="Calibri" w:cs="Arial"/>
                <w:b/>
                <w:kern w:val="0"/>
                <w:sz w:val="18"/>
                <w:szCs w:val="18"/>
                <w14:ligatures w14:val="none"/>
              </w:rPr>
              <w:t>Assessment</w:t>
            </w:r>
          </w:p>
        </w:tc>
        <w:tc>
          <w:tcPr>
            <w:tcW w:w="3357" w:type="pct"/>
            <w:shd w:val="clear" w:color="auto" w:fill="D9D9D9" w:themeFill="background1" w:themeFillShade="D9"/>
            <w:vAlign w:val="center"/>
          </w:tcPr>
          <w:p w14:paraId="19011A2E" w14:textId="77777777" w:rsidR="005C4480" w:rsidRPr="00052D6D" w:rsidRDefault="005C4480">
            <w:pPr>
              <w:spacing w:before="60" w:after="60" w:line="240" w:lineRule="auto"/>
              <w:ind w:left="720" w:hanging="720"/>
              <w:jc w:val="center"/>
              <w:rPr>
                <w:rFonts w:eastAsia="Calibri" w:cs="Arial"/>
                <w:b/>
                <w:kern w:val="0"/>
                <w:sz w:val="18"/>
                <w:szCs w:val="18"/>
                <w14:ligatures w14:val="none"/>
              </w:rPr>
            </w:pPr>
            <w:r w:rsidRPr="00052D6D">
              <w:rPr>
                <w:rFonts w:eastAsia="Calibri" w:cs="Arial"/>
                <w:b/>
                <w:kern w:val="0"/>
                <w:sz w:val="18"/>
                <w:szCs w:val="18"/>
                <w14:ligatures w14:val="none"/>
              </w:rPr>
              <w:t>Interpretation</w:t>
            </w:r>
          </w:p>
        </w:tc>
        <w:tc>
          <w:tcPr>
            <w:tcW w:w="748" w:type="pct"/>
            <w:shd w:val="clear" w:color="auto" w:fill="D9D9D9" w:themeFill="background1" w:themeFillShade="D9"/>
            <w:vAlign w:val="center"/>
          </w:tcPr>
          <w:p w14:paraId="5A561AAB" w14:textId="77777777" w:rsidR="005C4480" w:rsidRPr="00052D6D" w:rsidRDefault="005C4480">
            <w:pPr>
              <w:spacing w:before="60" w:after="60" w:line="240" w:lineRule="auto"/>
              <w:ind w:left="720" w:hanging="720"/>
              <w:jc w:val="center"/>
              <w:rPr>
                <w:rFonts w:eastAsia="Calibri" w:cs="Arial"/>
                <w:b/>
                <w:kern w:val="0"/>
                <w:sz w:val="18"/>
                <w:szCs w:val="18"/>
                <w14:ligatures w14:val="none"/>
              </w:rPr>
            </w:pPr>
            <w:r w:rsidRPr="00052D6D">
              <w:rPr>
                <w:rFonts w:eastAsia="Calibri" w:cs="Arial"/>
                <w:b/>
                <w:kern w:val="0"/>
                <w:sz w:val="18"/>
                <w:szCs w:val="18"/>
                <w14:ligatures w14:val="none"/>
              </w:rPr>
              <w:t>Score</w:t>
            </w:r>
          </w:p>
        </w:tc>
      </w:tr>
      <w:tr w:rsidR="005C4480" w:rsidRPr="00523A1E" w14:paraId="030022DD" w14:textId="77777777">
        <w:trPr>
          <w:jc w:val="center"/>
        </w:trPr>
        <w:tc>
          <w:tcPr>
            <w:tcW w:w="895" w:type="pct"/>
            <w:vAlign w:val="center"/>
          </w:tcPr>
          <w:p w14:paraId="173AFC83"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Deficient</w:t>
            </w:r>
          </w:p>
        </w:tc>
        <w:tc>
          <w:tcPr>
            <w:tcW w:w="3357" w:type="pct"/>
          </w:tcPr>
          <w:p w14:paraId="4CF5DB25"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A significantly deficient answer, unanswered or unacceptable response.</w:t>
            </w:r>
          </w:p>
        </w:tc>
        <w:tc>
          <w:tcPr>
            <w:tcW w:w="748" w:type="pct"/>
            <w:vAlign w:val="center"/>
          </w:tcPr>
          <w:p w14:paraId="0EE50511"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0</w:t>
            </w:r>
          </w:p>
        </w:tc>
      </w:tr>
      <w:tr w:rsidR="005C4480" w:rsidRPr="00523A1E" w14:paraId="7893FEFF" w14:textId="77777777">
        <w:trPr>
          <w:trHeight w:val="111"/>
          <w:jc w:val="center"/>
        </w:trPr>
        <w:tc>
          <w:tcPr>
            <w:tcW w:w="895" w:type="pct"/>
            <w:vAlign w:val="center"/>
          </w:tcPr>
          <w:p w14:paraId="374628EA"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Limited</w:t>
            </w:r>
          </w:p>
        </w:tc>
        <w:tc>
          <w:tcPr>
            <w:tcW w:w="3357" w:type="pct"/>
          </w:tcPr>
          <w:p w14:paraId="199C6E6E"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A limited answer that does not meet the stated requirement or one that provides little detail or evidence.</w:t>
            </w:r>
          </w:p>
        </w:tc>
        <w:tc>
          <w:tcPr>
            <w:tcW w:w="748" w:type="pct"/>
            <w:vAlign w:val="center"/>
          </w:tcPr>
          <w:p w14:paraId="21453F24"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1</w:t>
            </w:r>
          </w:p>
        </w:tc>
      </w:tr>
      <w:tr w:rsidR="005C4480" w:rsidRPr="00523A1E" w14:paraId="5501829A" w14:textId="77777777">
        <w:trPr>
          <w:trHeight w:val="121"/>
          <w:jc w:val="center"/>
        </w:trPr>
        <w:tc>
          <w:tcPr>
            <w:tcW w:w="895" w:type="pct"/>
            <w:vAlign w:val="center"/>
          </w:tcPr>
          <w:p w14:paraId="60AA824F"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Acceptable</w:t>
            </w:r>
          </w:p>
        </w:tc>
        <w:tc>
          <w:tcPr>
            <w:tcW w:w="3357" w:type="pct"/>
          </w:tcPr>
          <w:p w14:paraId="0855EC57"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An acceptable answer meeting the stated requirement with a sufficient level of detail and evidence.</w:t>
            </w:r>
          </w:p>
        </w:tc>
        <w:tc>
          <w:tcPr>
            <w:tcW w:w="748" w:type="pct"/>
            <w:vAlign w:val="center"/>
          </w:tcPr>
          <w:p w14:paraId="63587EB3"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2</w:t>
            </w:r>
          </w:p>
        </w:tc>
      </w:tr>
      <w:tr w:rsidR="005C4480" w:rsidRPr="00523A1E" w14:paraId="266B136E" w14:textId="77777777">
        <w:trPr>
          <w:jc w:val="center"/>
        </w:trPr>
        <w:tc>
          <w:tcPr>
            <w:tcW w:w="895" w:type="pct"/>
            <w:vAlign w:val="center"/>
          </w:tcPr>
          <w:p w14:paraId="35FC252A"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Good</w:t>
            </w:r>
          </w:p>
        </w:tc>
        <w:tc>
          <w:tcPr>
            <w:tcW w:w="3357" w:type="pct"/>
          </w:tcPr>
          <w:p w14:paraId="252A8038"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A good answer, with a comprehensive level of detail and strong evidence.</w:t>
            </w:r>
          </w:p>
        </w:tc>
        <w:tc>
          <w:tcPr>
            <w:tcW w:w="748" w:type="pct"/>
            <w:vAlign w:val="center"/>
          </w:tcPr>
          <w:p w14:paraId="6A85B484"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3</w:t>
            </w:r>
          </w:p>
        </w:tc>
      </w:tr>
      <w:tr w:rsidR="005C4480" w:rsidRPr="00523A1E" w14:paraId="6A44B374" w14:textId="77777777">
        <w:trPr>
          <w:jc w:val="center"/>
        </w:trPr>
        <w:tc>
          <w:tcPr>
            <w:tcW w:w="895" w:type="pct"/>
            <w:vAlign w:val="center"/>
          </w:tcPr>
          <w:p w14:paraId="74D536E1"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Excellent</w:t>
            </w:r>
          </w:p>
        </w:tc>
        <w:tc>
          <w:tcPr>
            <w:tcW w:w="3357" w:type="pct"/>
          </w:tcPr>
          <w:p w14:paraId="32A7405D" w14:textId="77777777" w:rsidR="005C4480" w:rsidRPr="00052D6D" w:rsidRDefault="005C4480">
            <w:pPr>
              <w:spacing w:before="60" w:after="60" w:line="240" w:lineRule="auto"/>
              <w:rPr>
                <w:rFonts w:eastAsia="Calibri" w:cs="Arial"/>
                <w:kern w:val="0"/>
                <w:sz w:val="18"/>
                <w:szCs w:val="18"/>
                <w14:ligatures w14:val="none"/>
              </w:rPr>
            </w:pPr>
            <w:r w:rsidRPr="00052D6D">
              <w:rPr>
                <w:rFonts w:eastAsia="Calibri" w:cs="Arial"/>
                <w:kern w:val="0"/>
                <w:sz w:val="18"/>
                <w:szCs w:val="18"/>
                <w14:ligatures w14:val="none"/>
              </w:rPr>
              <w:t xml:space="preserve">An excellent answer, meeting the stated requirement with exceptional detail and evidence and/or one that is likely to result in increased quality, improved patient experience or innovation. </w:t>
            </w:r>
          </w:p>
        </w:tc>
        <w:tc>
          <w:tcPr>
            <w:tcW w:w="748" w:type="pct"/>
            <w:vAlign w:val="center"/>
          </w:tcPr>
          <w:p w14:paraId="555CF58B" w14:textId="77777777" w:rsidR="005C4480" w:rsidRPr="00052D6D" w:rsidRDefault="005C4480">
            <w:pPr>
              <w:spacing w:before="60" w:after="60" w:line="240" w:lineRule="auto"/>
              <w:ind w:left="720" w:hanging="720"/>
              <w:jc w:val="center"/>
              <w:rPr>
                <w:rFonts w:eastAsia="Calibri" w:cs="Arial"/>
                <w:kern w:val="0"/>
                <w:sz w:val="18"/>
                <w:szCs w:val="18"/>
                <w14:ligatures w14:val="none"/>
              </w:rPr>
            </w:pPr>
            <w:r w:rsidRPr="00052D6D">
              <w:rPr>
                <w:rFonts w:eastAsia="Calibri" w:cs="Arial"/>
                <w:kern w:val="0"/>
                <w:sz w:val="18"/>
                <w:szCs w:val="18"/>
                <w14:ligatures w14:val="none"/>
              </w:rPr>
              <w:t>4</w:t>
            </w:r>
          </w:p>
        </w:tc>
      </w:tr>
    </w:tbl>
    <w:p w14:paraId="68A560CD" w14:textId="77777777" w:rsidR="005C4480" w:rsidRPr="00052D6D" w:rsidRDefault="005C4480" w:rsidP="005C4480">
      <w:pPr>
        <w:spacing w:before="60" w:after="360" w:line="240" w:lineRule="auto"/>
        <w:ind w:left="567"/>
        <w:rPr>
          <w:sz w:val="16"/>
          <w:szCs w:val="16"/>
        </w:rPr>
      </w:pPr>
      <w:r w:rsidRPr="00052D6D">
        <w:rPr>
          <w:sz w:val="16"/>
          <w:szCs w:val="16"/>
        </w:rPr>
        <w:t xml:space="preserve">Source: </w:t>
      </w:r>
      <w:r>
        <w:rPr>
          <w:sz w:val="16"/>
          <w:szCs w:val="16"/>
        </w:rPr>
        <w:t>BNSSG</w:t>
      </w:r>
      <w:r w:rsidRPr="00052D6D">
        <w:rPr>
          <w:sz w:val="16"/>
          <w:szCs w:val="16"/>
        </w:rPr>
        <w:t xml:space="preserve">, </w:t>
      </w:r>
      <w:r w:rsidRPr="00052D6D">
        <w:rPr>
          <w:i/>
          <w:iCs/>
          <w:sz w:val="16"/>
          <w:szCs w:val="16"/>
        </w:rPr>
        <w:t>NEPTS ITT (final),</w:t>
      </w:r>
      <w:r w:rsidRPr="00052D6D">
        <w:rPr>
          <w:sz w:val="16"/>
          <w:szCs w:val="16"/>
        </w:rPr>
        <w:t xml:space="preserve"> 2 May 2025.</w:t>
      </w:r>
    </w:p>
    <w:p w14:paraId="502BD381" w14:textId="773473DF" w:rsidR="00350C9B" w:rsidRDefault="00744F4F" w:rsidP="00350C9B">
      <w:pPr>
        <w:pStyle w:val="ListParagraph"/>
        <w:ind w:left="567" w:hanging="567"/>
        <w:contextualSpacing/>
      </w:pPr>
      <w:r>
        <w:t>In terms of individual questions</w:t>
      </w:r>
      <w:r w:rsidR="0008472C">
        <w:t>:</w:t>
      </w:r>
    </w:p>
    <w:p w14:paraId="3C5DE30A" w14:textId="26777B4E" w:rsidR="00350C9B" w:rsidRDefault="00350C9B" w:rsidP="00350C9B">
      <w:pPr>
        <w:pStyle w:val="ListParagraph"/>
        <w:numPr>
          <w:ilvl w:val="0"/>
          <w:numId w:val="9"/>
        </w:numPr>
        <w:ind w:left="1281" w:hanging="357"/>
        <w:contextualSpacing/>
      </w:pPr>
      <w:r>
        <w:t xml:space="preserve">all six bidders scored ‘1’ for </w:t>
      </w:r>
      <w:r w:rsidR="00E02270">
        <w:t xml:space="preserve">their answers to </w:t>
      </w:r>
      <w:r>
        <w:t>Q6 and Q7;</w:t>
      </w:r>
    </w:p>
    <w:p w14:paraId="78DBD50A" w14:textId="4C936F9E" w:rsidR="00350C9B" w:rsidRDefault="00350C9B" w:rsidP="00350C9B">
      <w:pPr>
        <w:pStyle w:val="ListParagraph"/>
        <w:numPr>
          <w:ilvl w:val="0"/>
          <w:numId w:val="9"/>
        </w:numPr>
        <w:ind w:left="1281" w:hanging="357"/>
        <w:contextualSpacing/>
      </w:pPr>
      <w:r>
        <w:t xml:space="preserve">five bidders scored ‘1’ </w:t>
      </w:r>
      <w:r w:rsidR="00E02270">
        <w:t xml:space="preserve">for their answers to </w:t>
      </w:r>
      <w:r>
        <w:t>Q5;</w:t>
      </w:r>
    </w:p>
    <w:p w14:paraId="2488DBBE" w14:textId="3F3F7564" w:rsidR="00350C9B" w:rsidRDefault="00350C9B" w:rsidP="00350C9B">
      <w:pPr>
        <w:pStyle w:val="ListParagraph"/>
        <w:numPr>
          <w:ilvl w:val="0"/>
          <w:numId w:val="9"/>
        </w:numPr>
        <w:ind w:left="1281" w:hanging="357"/>
        <w:contextualSpacing/>
      </w:pPr>
      <w:r>
        <w:t xml:space="preserve">four bidders scored ‘1’ </w:t>
      </w:r>
      <w:r w:rsidR="00E02270">
        <w:t xml:space="preserve">for their answers to </w:t>
      </w:r>
      <w:r>
        <w:t>Q3 and Q11;</w:t>
      </w:r>
    </w:p>
    <w:p w14:paraId="3162CC49" w14:textId="669CE865" w:rsidR="00350C9B" w:rsidRDefault="00350C9B" w:rsidP="00350C9B">
      <w:pPr>
        <w:pStyle w:val="ListParagraph"/>
        <w:numPr>
          <w:ilvl w:val="0"/>
          <w:numId w:val="9"/>
        </w:numPr>
        <w:ind w:left="1281" w:hanging="357"/>
        <w:contextualSpacing/>
      </w:pPr>
      <w:r>
        <w:t xml:space="preserve">three bidders scored ‘1’ </w:t>
      </w:r>
      <w:r w:rsidR="00E02270">
        <w:t xml:space="preserve">for their answers to </w:t>
      </w:r>
      <w:r>
        <w:t>Q2 and Q18; and</w:t>
      </w:r>
    </w:p>
    <w:p w14:paraId="3643D234" w14:textId="6A8B3547" w:rsidR="00350C9B" w:rsidRDefault="00350C9B" w:rsidP="00350C9B">
      <w:pPr>
        <w:pStyle w:val="ListParagraph"/>
        <w:numPr>
          <w:ilvl w:val="0"/>
          <w:numId w:val="9"/>
        </w:numPr>
        <w:ind w:left="1281" w:hanging="357"/>
      </w:pPr>
      <w:r>
        <w:t xml:space="preserve">in total, three or more bidders scored ‘1’ for seven out of </w:t>
      </w:r>
      <w:r w:rsidR="002A48D3">
        <w:t xml:space="preserve">the </w:t>
      </w:r>
      <w:r>
        <w:t>eighteen</w:t>
      </w:r>
      <w:r w:rsidR="00D82AAD">
        <w:t xml:space="preserve"> scored quality </w:t>
      </w:r>
      <w:r>
        <w:t>questions.</w:t>
      </w:r>
    </w:p>
    <w:p w14:paraId="465F9ABF" w14:textId="6D4F5A6D" w:rsidR="003C5326" w:rsidRDefault="00350C9B" w:rsidP="00350C9B">
      <w:pPr>
        <w:pStyle w:val="ListParagraph"/>
        <w:ind w:left="567" w:hanging="567"/>
      </w:pPr>
      <w:bookmarkStart w:id="52" w:name="_Ref221526626"/>
      <w:r>
        <w:t>For the three workforce questions (Q5, 6 and 7), there were 18 answers (6 bidders * 3</w:t>
      </w:r>
      <w:r w:rsidR="00D64C18">
        <w:t> </w:t>
      </w:r>
      <w:r>
        <w:t>questions each) and 17 of these 18 answers were scored ‘1’.</w:t>
      </w:r>
      <w:bookmarkEnd w:id="52"/>
    </w:p>
    <w:p w14:paraId="360D0109" w14:textId="6CE0308C" w:rsidR="00B36699" w:rsidRDefault="00234BBB" w:rsidP="0073662C">
      <w:pPr>
        <w:pStyle w:val="ListParagraph"/>
        <w:ind w:left="567" w:hanging="567"/>
      </w:pPr>
      <w:r>
        <w:t xml:space="preserve">BNSSG said that the large number of answers that scored a ‘1’ was a result of bidders paying insufficient attention to </w:t>
      </w:r>
      <w:r w:rsidR="00031762">
        <w:t xml:space="preserve">its scoring rule, whereby </w:t>
      </w:r>
      <w:r w:rsidR="00A5538E">
        <w:t xml:space="preserve">any answer that did not address all of the ‘must include’ points in a question were automatically scored ‘1’. </w:t>
      </w:r>
      <w:r w:rsidR="00B36699" w:rsidRPr="004D68A1">
        <w:t xml:space="preserve">BNSSG told the Panel that </w:t>
      </w:r>
      <w:r w:rsidR="00B36699">
        <w:t xml:space="preserve">while this approach </w:t>
      </w:r>
      <w:r w:rsidR="00B36699" w:rsidRPr="004D68A1">
        <w:t>“does result in lower scores”</w:t>
      </w:r>
      <w:r w:rsidR="00B36699">
        <w:t xml:space="preserve"> it also removes ambiguity in scoring answers.</w:t>
      </w:r>
      <w:r w:rsidR="00B36699">
        <w:rPr>
          <w:rStyle w:val="FootnoteReference"/>
        </w:rPr>
        <w:footnoteReference w:id="46"/>
      </w:r>
    </w:p>
    <w:p w14:paraId="2B598EBC" w14:textId="211827ED" w:rsidR="00A5538E" w:rsidRDefault="00A5538E" w:rsidP="00031762">
      <w:pPr>
        <w:pStyle w:val="ListParagraph"/>
        <w:spacing w:after="120"/>
        <w:ind w:left="567" w:hanging="567"/>
      </w:pPr>
      <w:r>
        <w:t>The relevant provision in BNSSG’s tender documentation</w:t>
      </w:r>
      <w:r w:rsidR="003A3DF2">
        <w:t xml:space="preserve">, that </w:t>
      </w:r>
      <w:r w:rsidR="00085197">
        <w:t>limited answers to a score of ‘1’ where ‘must include’ elements were not addressed</w:t>
      </w:r>
      <w:r>
        <w:t xml:space="preserve"> was as follows:</w:t>
      </w:r>
    </w:p>
    <w:p w14:paraId="25C581FD" w14:textId="77777777" w:rsidR="00A5538E" w:rsidRPr="00052D6D" w:rsidRDefault="00A5538E" w:rsidP="00A5538E">
      <w:pPr>
        <w:pStyle w:val="ListParagraph"/>
        <w:numPr>
          <w:ilvl w:val="0"/>
          <w:numId w:val="0"/>
        </w:numPr>
        <w:ind w:left="851"/>
        <w:rPr>
          <w:sz w:val="21"/>
          <w:szCs w:val="21"/>
        </w:rPr>
      </w:pPr>
      <w:r w:rsidRPr="00052D6D">
        <w:rPr>
          <w:sz w:val="21"/>
          <w:szCs w:val="21"/>
        </w:rPr>
        <w:t>“</w:t>
      </w:r>
      <w:r w:rsidRPr="00052D6D">
        <w:rPr>
          <w:sz w:val="21"/>
          <w:szCs w:val="21"/>
          <w:lang w:val="en-US"/>
        </w:rPr>
        <w:t xml:space="preserve">Within an individual question the instructional terms ‘must include’ or ‘may include’ might be used. Where the term ‘must include’ is used, this is an instruction to bidders that the following topic must be included within a response, otherwise the bidder’s score </w:t>
      </w:r>
      <w:r w:rsidRPr="00052D6D">
        <w:rPr>
          <w:sz w:val="21"/>
          <w:szCs w:val="21"/>
          <w:lang w:val="en-US"/>
        </w:rPr>
        <w:lastRenderedPageBreak/>
        <w:t>for that question will be limited to a maximum of ‘1’. Where the term ‘may include’ is used, this is an instruction to bidders that the following topic is not mandatory within a response, but the Commissioner would generally expect it to be covered.</w:t>
      </w:r>
      <w:r>
        <w:rPr>
          <w:sz w:val="21"/>
          <w:szCs w:val="21"/>
          <w:lang w:val="en-US"/>
        </w:rPr>
        <w:t>”</w:t>
      </w:r>
      <w:r>
        <w:rPr>
          <w:rStyle w:val="FootnoteReference"/>
          <w:sz w:val="21"/>
          <w:szCs w:val="21"/>
          <w:lang w:val="en-US"/>
        </w:rPr>
        <w:footnoteReference w:id="47"/>
      </w:r>
    </w:p>
    <w:p w14:paraId="7EFD2A92" w14:textId="23523225" w:rsidR="00BD0E44" w:rsidRPr="007E6D15" w:rsidRDefault="00BD0E44" w:rsidP="00B36699">
      <w:pPr>
        <w:pStyle w:val="ListParagraph"/>
        <w:spacing w:after="120"/>
        <w:ind w:left="567" w:hanging="567"/>
      </w:pPr>
      <w:r>
        <w:t>BNSSG</w:t>
      </w:r>
      <w:r w:rsidR="0063143D">
        <w:t>’s</w:t>
      </w:r>
      <w:r>
        <w:t xml:space="preserve"> contract award recommendation report says</w:t>
      </w:r>
      <w:r w:rsidRPr="007E6D15">
        <w:t>:</w:t>
      </w:r>
    </w:p>
    <w:p w14:paraId="5157269D" w14:textId="184B6C94" w:rsidR="00BD0E44" w:rsidRDefault="00BD0E44" w:rsidP="005F496F">
      <w:pPr>
        <w:pStyle w:val="ListParagraph"/>
        <w:numPr>
          <w:ilvl w:val="0"/>
          <w:numId w:val="0"/>
        </w:numPr>
        <w:ind w:left="851"/>
        <w:rPr>
          <w:sz w:val="21"/>
          <w:szCs w:val="21"/>
        </w:rPr>
      </w:pPr>
      <w:r w:rsidRPr="007E6D15">
        <w:rPr>
          <w:sz w:val="21"/>
          <w:szCs w:val="21"/>
        </w:rPr>
        <w:t xml:space="preserve">“In a large number of cases, bidders missed aspects that were required as mandatory </w:t>
      </w:r>
      <w:r w:rsidR="00CD2A05">
        <w:rPr>
          <w:sz w:val="21"/>
          <w:szCs w:val="21"/>
        </w:rPr>
        <w:t xml:space="preserve">… </w:t>
      </w:r>
      <w:r w:rsidRPr="007E6D15">
        <w:rPr>
          <w:sz w:val="21"/>
          <w:szCs w:val="21"/>
        </w:rPr>
        <w:t>The number of questions which have been awarded a score of 1 due to bidders not paying regard to “must be included” has resulted in low scoring bids overall.”</w:t>
      </w:r>
      <w:r>
        <w:rPr>
          <w:rStyle w:val="FootnoteReference"/>
          <w:sz w:val="21"/>
          <w:szCs w:val="21"/>
        </w:rPr>
        <w:footnoteReference w:id="48"/>
      </w:r>
    </w:p>
    <w:p w14:paraId="17712D61" w14:textId="77777777" w:rsidR="00BD0E44" w:rsidRDefault="00BD0E44" w:rsidP="00BD0E44">
      <w:pPr>
        <w:pStyle w:val="ListParagraph"/>
        <w:ind w:left="567" w:hanging="567"/>
      </w:pPr>
      <w:r>
        <w:t>BNSSG told the Panel that at its moderation meetings, which in some cases lasted several hours, the evaluation panel “were going through and cross checking the information in the bid to make sure that, if a bidder was given a score of 1 … that we had not missed something in the tender submission that would have meant that their score would have been higher than a 1”.</w:t>
      </w:r>
      <w:r>
        <w:rPr>
          <w:rStyle w:val="FootnoteReference"/>
        </w:rPr>
        <w:footnoteReference w:id="49"/>
      </w:r>
    </w:p>
    <w:p w14:paraId="6F9714E9" w14:textId="25A5E1DC" w:rsidR="00B55CF3" w:rsidRDefault="00075825" w:rsidP="00B55CF3">
      <w:pPr>
        <w:pStyle w:val="ListParagraph"/>
        <w:ind w:left="567" w:hanging="567"/>
      </w:pPr>
      <w:r>
        <w:t xml:space="preserve">The Panel notes that </w:t>
      </w:r>
      <w:r w:rsidR="00D64C18">
        <w:t xml:space="preserve">BNSSG’s explanation </w:t>
      </w:r>
      <w:r w:rsidR="00737058">
        <w:t xml:space="preserve">that </w:t>
      </w:r>
      <w:r>
        <w:t xml:space="preserve">bidders </w:t>
      </w:r>
      <w:r w:rsidR="00737058">
        <w:t xml:space="preserve">did </w:t>
      </w:r>
      <w:r>
        <w:t xml:space="preserve">not pay sufficient attention to its scoring methodology may not be the only reason for </w:t>
      </w:r>
      <w:r w:rsidR="00D64C18">
        <w:t xml:space="preserve">the large number of answers </w:t>
      </w:r>
      <w:r>
        <w:t xml:space="preserve">that </w:t>
      </w:r>
      <w:r w:rsidR="00D64C18">
        <w:t>scored ‘1’</w:t>
      </w:r>
      <w:r>
        <w:t xml:space="preserve">. </w:t>
      </w:r>
      <w:r w:rsidR="00D50E48">
        <w:t>T</w:t>
      </w:r>
      <w:r w:rsidR="00B55CF3">
        <w:t xml:space="preserve">he </w:t>
      </w:r>
      <w:r w:rsidR="00BD0E44">
        <w:t xml:space="preserve">Panel observed that bidders’ answers to </w:t>
      </w:r>
      <w:r w:rsidR="00B50ED1">
        <w:t xml:space="preserve">more detailed </w:t>
      </w:r>
      <w:r w:rsidR="00BD0E44">
        <w:t xml:space="preserve">questions </w:t>
      </w:r>
      <w:r w:rsidR="00D50E48">
        <w:t xml:space="preserve">(and/or questions with </w:t>
      </w:r>
      <w:r w:rsidR="004E304C">
        <w:t xml:space="preserve">more ‘must include’ elements) </w:t>
      </w:r>
      <w:r w:rsidR="00BD0E44">
        <w:t>were more likely to be scored ‘1’ (see Chart 2)</w:t>
      </w:r>
      <w:r w:rsidR="0089551B">
        <w:t xml:space="preserve">. </w:t>
      </w:r>
      <w:r w:rsidR="00B55CF3">
        <w:t xml:space="preserve">This </w:t>
      </w:r>
      <w:r w:rsidR="0068370B">
        <w:t xml:space="preserve">indicates that bidders may have been running up against the character count limit when responding to more complex questions, </w:t>
      </w:r>
      <w:r w:rsidR="00A23B09">
        <w:t>influencing their ability</w:t>
      </w:r>
      <w:r w:rsidR="002B4156">
        <w:t xml:space="preserve"> </w:t>
      </w:r>
      <w:r w:rsidR="00E11EDA">
        <w:t xml:space="preserve">to </w:t>
      </w:r>
      <w:r w:rsidR="002B4156">
        <w:t>address certain ‘must include’ elements and resulting in a score of ‘1’ for their response.</w:t>
      </w:r>
    </w:p>
    <w:p w14:paraId="08ED74F0" w14:textId="566B6F61" w:rsidR="00BD0E44" w:rsidRDefault="00BD0E44" w:rsidP="00124FF7">
      <w:pPr>
        <w:pStyle w:val="ListParagraph"/>
        <w:ind w:left="567" w:hanging="567"/>
      </w:pPr>
      <w:r>
        <w:t xml:space="preserve">Some caution, however, must be attached to this observation given that the relationship </w:t>
      </w:r>
      <w:r w:rsidR="00237197">
        <w:t xml:space="preserve">between question </w:t>
      </w:r>
      <w:r w:rsidR="00237197" w:rsidDel="00B50ED1">
        <w:t xml:space="preserve">length </w:t>
      </w:r>
      <w:r w:rsidR="00237197">
        <w:t xml:space="preserve">(or the number of </w:t>
      </w:r>
      <w:r w:rsidR="00B82FEB">
        <w:t>‘</w:t>
      </w:r>
      <w:r w:rsidR="00237197">
        <w:t>must include</w:t>
      </w:r>
      <w:r w:rsidR="00B82FEB">
        <w:t>’</w:t>
      </w:r>
      <w:r w:rsidR="00237197">
        <w:t xml:space="preserve"> elements</w:t>
      </w:r>
      <w:r w:rsidR="00B82FEB">
        <w:t xml:space="preserve"> in a question</w:t>
      </w:r>
      <w:r w:rsidR="00237197">
        <w:t xml:space="preserve">) and the number of answers scoring ‘1’ </w:t>
      </w:r>
      <w:r>
        <w:t>was not particularly strong (see the distance between many of the observations and the trend line in Chart 2)</w:t>
      </w:r>
      <w:r w:rsidR="00237197">
        <w:t xml:space="preserve">. Also, </w:t>
      </w:r>
      <w:r>
        <w:t>the small number of observations affects the statistical significance of the results.</w:t>
      </w:r>
      <w:r w:rsidR="00124FF7">
        <w:t xml:space="preserve"> </w:t>
      </w:r>
      <w:r>
        <w:t xml:space="preserve">However, even with these limitations, the results suggest that bidders were more likely to be scored ‘1’ when answering </w:t>
      </w:r>
      <w:r w:rsidR="00B82FEB">
        <w:t>longer questions (and/or questions with more ‘must include’ elements)</w:t>
      </w:r>
      <w:r>
        <w:t>.</w:t>
      </w:r>
    </w:p>
    <w:p w14:paraId="18ABE1FF" w14:textId="77777777" w:rsidR="00BD0E44" w:rsidRPr="00A611B2" w:rsidRDefault="00BD0E44" w:rsidP="0059549C">
      <w:pPr>
        <w:keepNext/>
        <w:spacing w:before="240" w:after="120"/>
        <w:ind w:left="851"/>
        <w:rPr>
          <w:b/>
          <w:bCs/>
          <w:sz w:val="20"/>
          <w:szCs w:val="20"/>
        </w:rPr>
      </w:pPr>
      <w:r>
        <w:rPr>
          <w:b/>
          <w:bCs/>
          <w:sz w:val="20"/>
          <w:szCs w:val="20"/>
        </w:rPr>
        <w:lastRenderedPageBreak/>
        <w:t>Chart 2: Relationship between question length and no. of answers scored ‘1’</w:t>
      </w:r>
    </w:p>
    <w:p w14:paraId="1509C011" w14:textId="77777777" w:rsidR="00BD0E44" w:rsidRDefault="00BD0E44" w:rsidP="00BD0E44">
      <w:pPr>
        <w:spacing w:after="0" w:line="240" w:lineRule="auto"/>
        <w:jc w:val="center"/>
      </w:pPr>
      <w:r>
        <w:rPr>
          <w:noProof/>
        </w:rPr>
        <w:drawing>
          <wp:inline distT="0" distB="0" distL="0" distR="0" wp14:anchorId="2C03E93C" wp14:editId="2D177AB0">
            <wp:extent cx="4813313" cy="2862580"/>
            <wp:effectExtent l="0" t="0" r="6350" b="0"/>
            <wp:docPr id="903805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5838" cy="2864082"/>
                    </a:xfrm>
                    <a:prstGeom prst="rect">
                      <a:avLst/>
                    </a:prstGeom>
                    <a:noFill/>
                  </pic:spPr>
                </pic:pic>
              </a:graphicData>
            </a:graphic>
          </wp:inline>
        </w:drawing>
      </w:r>
    </w:p>
    <w:p w14:paraId="321A0A25" w14:textId="77777777" w:rsidR="00BD0E44" w:rsidRPr="00834B61" w:rsidRDefault="00BD0E44" w:rsidP="00BD0E44">
      <w:pPr>
        <w:spacing w:after="360" w:line="240" w:lineRule="auto"/>
        <w:ind w:left="851"/>
        <w:rPr>
          <w:sz w:val="16"/>
          <w:szCs w:val="16"/>
        </w:rPr>
      </w:pPr>
      <w:r>
        <w:rPr>
          <w:sz w:val="16"/>
          <w:szCs w:val="16"/>
        </w:rPr>
        <w:t>Source: Panel analysis</w:t>
      </w:r>
    </w:p>
    <w:p w14:paraId="3931EB6B" w14:textId="3B62749E" w:rsidR="006E2F9C" w:rsidRDefault="00430F02" w:rsidP="00F431AE">
      <w:pPr>
        <w:pStyle w:val="ListParagraph"/>
        <w:ind w:left="567" w:hanging="567"/>
      </w:pPr>
      <w:r>
        <w:t xml:space="preserve">The Panel </w:t>
      </w:r>
      <w:r w:rsidR="00F066E5">
        <w:t xml:space="preserve">reviewed the </w:t>
      </w:r>
      <w:r w:rsidR="0083769E">
        <w:t xml:space="preserve">instructions for bidders and the questions asked of bidders to assess their </w:t>
      </w:r>
      <w:r w:rsidR="00CA3500">
        <w:t>clarity</w:t>
      </w:r>
      <w:r w:rsidR="00B4129E">
        <w:t xml:space="preserve">. The </w:t>
      </w:r>
      <w:r w:rsidR="00A44985">
        <w:t xml:space="preserve">Panel notes that the instructions for bidders </w:t>
      </w:r>
      <w:r w:rsidR="00B4129E">
        <w:t>say</w:t>
      </w:r>
      <w:r w:rsidR="00A44985">
        <w:t xml:space="preserve"> that</w:t>
      </w:r>
      <w:r w:rsidR="00B4129E">
        <w:t xml:space="preserve"> </w:t>
      </w:r>
      <w:r w:rsidR="00A5538E" w:rsidRPr="004D3D2D">
        <w:t xml:space="preserve">"Where the term ‘must include’ is used, this is an instruction to bidders that the following </w:t>
      </w:r>
      <w:r w:rsidR="00A5538E" w:rsidRPr="000E41C7">
        <w:rPr>
          <w:i/>
          <w:iCs/>
        </w:rPr>
        <w:t>topic</w:t>
      </w:r>
      <w:r w:rsidR="00A5538E" w:rsidRPr="004D3D2D">
        <w:t xml:space="preserve"> must be included within a response </w:t>
      </w:r>
      <w:r w:rsidR="00F6120D">
        <w:t xml:space="preserve">otherwise the </w:t>
      </w:r>
      <w:r w:rsidR="00DD12E1">
        <w:t>bidder’s score for that question will be limited to a maximum of ‘1’</w:t>
      </w:r>
      <w:r w:rsidR="00A5538E" w:rsidRPr="004D3D2D">
        <w:t>”</w:t>
      </w:r>
      <w:r w:rsidR="000E41C7">
        <w:t xml:space="preserve"> (emphasis added)</w:t>
      </w:r>
      <w:r w:rsidR="00A5538E" w:rsidRPr="004D3D2D">
        <w:t>.</w:t>
      </w:r>
      <w:r w:rsidR="00D141E6">
        <w:rPr>
          <w:rStyle w:val="FootnoteReference"/>
        </w:rPr>
        <w:footnoteReference w:id="50"/>
      </w:r>
      <w:r w:rsidR="00A5538E" w:rsidRPr="004D3D2D">
        <w:t xml:space="preserve"> </w:t>
      </w:r>
      <w:r w:rsidR="00A44985">
        <w:t>The Panel also notes that s</w:t>
      </w:r>
      <w:r w:rsidR="00D56E4B">
        <w:t xml:space="preserve">everal </w:t>
      </w:r>
      <w:r w:rsidR="00A5538E" w:rsidRPr="004D3D2D">
        <w:t xml:space="preserve">questions </w:t>
      </w:r>
      <w:r w:rsidR="00D56E4B">
        <w:t xml:space="preserve">for bidders </w:t>
      </w:r>
      <w:r w:rsidR="00E20B95">
        <w:t xml:space="preserve">said </w:t>
      </w:r>
      <w:r w:rsidR="00A5538E" w:rsidRPr="004D3D2D">
        <w:t>“as part of your response, you must detail …” or “your response must include but not be limited to …” followed by a list of bullet points</w:t>
      </w:r>
      <w:r w:rsidR="001733EC">
        <w:t xml:space="preserve"> but without reference to the word ‘topic’</w:t>
      </w:r>
      <w:r w:rsidR="00A5538E" w:rsidRPr="004D3D2D">
        <w:t>.</w:t>
      </w:r>
    </w:p>
    <w:p w14:paraId="0CAB23C2" w14:textId="0B339DF4" w:rsidR="0078077A" w:rsidRDefault="0078077A" w:rsidP="00F431AE">
      <w:pPr>
        <w:pStyle w:val="ListParagraph"/>
        <w:ind w:left="567" w:hanging="567"/>
      </w:pPr>
      <w:r>
        <w:t xml:space="preserve">The Panel </w:t>
      </w:r>
      <w:r w:rsidR="00EC5D21">
        <w:t>considered that the word ‘topic’ might be interpreted as either a bullet point or, possibly, several bullet points</w:t>
      </w:r>
      <w:r w:rsidR="00E22443">
        <w:t xml:space="preserve">. However, the Panel also </w:t>
      </w:r>
      <w:r w:rsidR="00EC5D21">
        <w:t xml:space="preserve">noted that </w:t>
      </w:r>
      <w:r w:rsidR="00AA7CF3">
        <w:t>a</w:t>
      </w:r>
      <w:r w:rsidR="00E22443">
        <w:t>t least one</w:t>
      </w:r>
      <w:r w:rsidR="00AA7CF3">
        <w:t xml:space="preserve"> </w:t>
      </w:r>
      <w:r w:rsidR="0078097A">
        <w:t>bidder</w:t>
      </w:r>
      <w:r w:rsidR="00E22443">
        <w:t xml:space="preserve"> had a </w:t>
      </w:r>
      <w:r w:rsidR="00BC3134">
        <w:t xml:space="preserve">question </w:t>
      </w:r>
      <w:r w:rsidR="00AA7CF3">
        <w:t xml:space="preserve">response </w:t>
      </w:r>
      <w:r w:rsidR="00573B7F">
        <w:t xml:space="preserve">seemingly </w:t>
      </w:r>
      <w:r w:rsidR="00662849">
        <w:t xml:space="preserve">marked down to </w:t>
      </w:r>
      <w:r w:rsidR="00AA7CF3">
        <w:t xml:space="preserve">‘1’ </w:t>
      </w:r>
      <w:r w:rsidR="00662849">
        <w:t xml:space="preserve">as a result of </w:t>
      </w:r>
      <w:r w:rsidR="00E84B15">
        <w:t>not addressing a</w:t>
      </w:r>
      <w:r w:rsidR="00E659FF">
        <w:t xml:space="preserve"> single</w:t>
      </w:r>
      <w:r w:rsidR="00E84B15">
        <w:t xml:space="preserve"> </w:t>
      </w:r>
      <w:r w:rsidR="00E22443">
        <w:t>element</w:t>
      </w:r>
      <w:r w:rsidR="00E84B15">
        <w:t xml:space="preserve"> within </w:t>
      </w:r>
      <w:r w:rsidR="00662849">
        <w:t>a</w:t>
      </w:r>
      <w:r w:rsidR="00E84B15">
        <w:t xml:space="preserve"> bullet point</w:t>
      </w:r>
      <w:r w:rsidR="003F72E8">
        <w:t xml:space="preserve"> (i.e. two elements </w:t>
      </w:r>
      <w:r w:rsidR="00662849">
        <w:t xml:space="preserve">in the bullet point </w:t>
      </w:r>
      <w:r w:rsidR="003F72E8">
        <w:t>were addressed but not a third).</w:t>
      </w:r>
      <w:r w:rsidR="000B05CD">
        <w:rPr>
          <w:rStyle w:val="FootnoteReference"/>
        </w:rPr>
        <w:footnoteReference w:id="51"/>
      </w:r>
      <w:r w:rsidR="003F72E8">
        <w:t xml:space="preserve"> This </w:t>
      </w:r>
      <w:r w:rsidR="00E659FF">
        <w:t>suggest</w:t>
      </w:r>
      <w:r w:rsidR="003F72E8">
        <w:t xml:space="preserve">s </w:t>
      </w:r>
      <w:r w:rsidR="000B05CD">
        <w:t>that BNSSG us</w:t>
      </w:r>
      <w:r w:rsidR="00A14909">
        <w:t xml:space="preserve">ed </w:t>
      </w:r>
      <w:r w:rsidR="00E659FF">
        <w:t>a definition of the word ‘topic’</w:t>
      </w:r>
      <w:r w:rsidR="00161EE1">
        <w:t xml:space="preserve"> that was narrower than an entire bullet point</w:t>
      </w:r>
      <w:r w:rsidR="00E84B15">
        <w:t>.</w:t>
      </w:r>
    </w:p>
    <w:p w14:paraId="488CFE24" w14:textId="7E51C634" w:rsidR="009D677F" w:rsidRDefault="00ED69AF" w:rsidP="00A5538E">
      <w:pPr>
        <w:pStyle w:val="ListParagraph"/>
        <w:ind w:left="567" w:hanging="567"/>
      </w:pPr>
      <w:r>
        <w:t>R</w:t>
      </w:r>
      <w:r w:rsidR="00EE1CAF">
        <w:t>espon</w:t>
      </w:r>
      <w:r>
        <w:t xml:space="preserve">ding </w:t>
      </w:r>
      <w:r w:rsidR="00EE1CAF">
        <w:t>to a Panel question,</w:t>
      </w:r>
      <w:r w:rsidR="009D677F">
        <w:t xml:space="preserve"> </w:t>
      </w:r>
      <w:r w:rsidR="00EC5D7D">
        <w:t xml:space="preserve">BNSSG said that it considered the instructions </w:t>
      </w:r>
      <w:r w:rsidR="00AD1087">
        <w:t>for</w:t>
      </w:r>
      <w:r w:rsidR="00EC5D7D">
        <w:t xml:space="preserve"> bidders to be clear</w:t>
      </w:r>
      <w:r w:rsidR="00AD1087">
        <w:t>,</w:t>
      </w:r>
      <w:r w:rsidR="00EC5D7D">
        <w:t xml:space="preserve"> and noted that </w:t>
      </w:r>
      <w:r w:rsidR="00D52A35">
        <w:t>“</w:t>
      </w:r>
      <w:r w:rsidR="00D52A35" w:rsidRPr="004D3D2D">
        <w:t>No clarification questions in relation to this point were raised by bidders and so the ICB understands that the instructions given were sufficiently clear to all bidders”.</w:t>
      </w:r>
      <w:r w:rsidR="00D52A35" w:rsidRPr="004D3D2D">
        <w:rPr>
          <w:rStyle w:val="FootnoteReference"/>
        </w:rPr>
        <w:footnoteReference w:id="52"/>
      </w:r>
      <w:r w:rsidR="00D52A35">
        <w:t xml:space="preserve"> The Panel, however, notes that it is possible that a bidder could regard the instructions as clear but still arrive at a different interpretation to BNSSG.</w:t>
      </w:r>
    </w:p>
    <w:p w14:paraId="5B32AF3B" w14:textId="29090322" w:rsidR="003D2576" w:rsidRDefault="005928A8" w:rsidP="00280972">
      <w:pPr>
        <w:pStyle w:val="ListParagraph"/>
        <w:ind w:left="567" w:hanging="567"/>
      </w:pPr>
      <w:r>
        <w:t xml:space="preserve">The Panel noted that with a large number of answers scored ‘1’ </w:t>
      </w:r>
      <w:r w:rsidR="00A9704C">
        <w:t>the</w:t>
      </w:r>
      <w:r w:rsidR="00810D70">
        <w:t xml:space="preserve">re </w:t>
      </w:r>
      <w:r w:rsidR="00075514">
        <w:t>was</w:t>
      </w:r>
      <w:r w:rsidR="00810D70">
        <w:t xml:space="preserve"> less variation between bidders</w:t>
      </w:r>
      <w:r w:rsidR="003D2576">
        <w:t>’ scores</w:t>
      </w:r>
      <w:r w:rsidR="00075514">
        <w:t xml:space="preserve">, and </w:t>
      </w:r>
      <w:r w:rsidR="00EC3C23">
        <w:t xml:space="preserve">BNSSG </w:t>
      </w:r>
      <w:r w:rsidR="00280972">
        <w:t xml:space="preserve">could only </w:t>
      </w:r>
      <w:r w:rsidR="00EC3C23">
        <w:t>distinguish between bidders based on their answers to a smaller number of questions.</w:t>
      </w:r>
      <w:r w:rsidR="00280972">
        <w:t xml:space="preserve"> </w:t>
      </w:r>
      <w:r w:rsidR="00654CF6">
        <w:t xml:space="preserve">In particular, </w:t>
      </w:r>
      <w:r w:rsidR="00463ED4">
        <w:t xml:space="preserve">BNSSG was unable to take account </w:t>
      </w:r>
      <w:r w:rsidR="005E0F33">
        <w:t xml:space="preserve">of bidders’ different </w:t>
      </w:r>
      <w:r w:rsidR="00463ED4">
        <w:t xml:space="preserve">workforce capabilities/proposals </w:t>
      </w:r>
      <w:r w:rsidR="005E0F33">
        <w:t xml:space="preserve">in its </w:t>
      </w:r>
      <w:r w:rsidR="005E0F33">
        <w:lastRenderedPageBreak/>
        <w:t xml:space="preserve">overall assessment because its scoring methodology limited </w:t>
      </w:r>
      <w:r w:rsidR="00CE46BA">
        <w:t xml:space="preserve">nearly every bidder’s answer to </w:t>
      </w:r>
      <w:r w:rsidR="007705D2">
        <w:t xml:space="preserve">the three workforce questions </w:t>
      </w:r>
      <w:r w:rsidR="00386970">
        <w:t xml:space="preserve">to a </w:t>
      </w:r>
      <w:r w:rsidR="00CE46BA">
        <w:t>score</w:t>
      </w:r>
      <w:r w:rsidR="00386970">
        <w:t xml:space="preserve"> of</w:t>
      </w:r>
      <w:r w:rsidR="00CE46BA">
        <w:t xml:space="preserve"> ‘1’</w:t>
      </w:r>
      <w:r w:rsidR="00771090">
        <w:t xml:space="preserve"> (see paragraph </w:t>
      </w:r>
      <w:r w:rsidR="00771090">
        <w:fldChar w:fldCharType="begin"/>
      </w:r>
      <w:r w:rsidR="00771090">
        <w:instrText xml:space="preserve"> REF _Ref221526626 \r \h </w:instrText>
      </w:r>
      <w:r w:rsidR="00771090">
        <w:fldChar w:fldCharType="separate"/>
      </w:r>
      <w:r w:rsidR="00785E99">
        <w:t>99</w:t>
      </w:r>
      <w:r w:rsidR="00771090">
        <w:fldChar w:fldCharType="end"/>
      </w:r>
      <w:r w:rsidR="00771090">
        <w:t>)</w:t>
      </w:r>
      <w:r w:rsidR="007705D2">
        <w:t>.</w:t>
      </w:r>
      <w:r w:rsidR="003D76BC">
        <w:t xml:space="preserve"> This </w:t>
      </w:r>
      <w:r w:rsidR="00A64137">
        <w:t xml:space="preserve">was not </w:t>
      </w:r>
      <w:r w:rsidR="00027113">
        <w:t>necessarily</w:t>
      </w:r>
      <w:r w:rsidR="00A64137">
        <w:t xml:space="preserve"> a result of </w:t>
      </w:r>
      <w:r w:rsidR="003D76BC">
        <w:t xml:space="preserve">bidders having uniformly limited </w:t>
      </w:r>
      <w:r w:rsidR="00A64137">
        <w:t xml:space="preserve">workforce </w:t>
      </w:r>
      <w:r w:rsidR="003D76BC">
        <w:t xml:space="preserve">capabilities, but </w:t>
      </w:r>
      <w:r w:rsidR="00DE01B3">
        <w:t xml:space="preserve">because of </w:t>
      </w:r>
      <w:r w:rsidR="00EE28FA">
        <w:t xml:space="preserve">a procedural </w:t>
      </w:r>
      <w:r w:rsidR="00724EC9">
        <w:t>approach to</w:t>
      </w:r>
      <w:r w:rsidR="00EE28FA">
        <w:t xml:space="preserve"> how bidders</w:t>
      </w:r>
      <w:r w:rsidR="00724EC9">
        <w:t>’</w:t>
      </w:r>
      <w:r w:rsidR="00EE28FA">
        <w:t xml:space="preserve"> </w:t>
      </w:r>
      <w:r w:rsidR="009B15CF">
        <w:t>proposals were evaluated</w:t>
      </w:r>
      <w:r w:rsidR="00323F7D">
        <w:t xml:space="preserve"> and scored</w:t>
      </w:r>
      <w:r w:rsidR="003D76BC">
        <w:t>.</w:t>
      </w:r>
    </w:p>
    <w:p w14:paraId="7267A7C3" w14:textId="1391BB4A" w:rsidR="00527472" w:rsidRDefault="002C4F05" w:rsidP="00350C9B">
      <w:pPr>
        <w:pStyle w:val="ListParagraph"/>
        <w:ind w:left="567" w:hanging="567"/>
      </w:pPr>
      <w:r>
        <w:t xml:space="preserve">The way in which </w:t>
      </w:r>
      <w:r w:rsidR="00BA1E5F">
        <w:t>BNSSG’s</w:t>
      </w:r>
      <w:r>
        <w:t xml:space="preserve"> scoring rule work</w:t>
      </w:r>
      <w:r w:rsidR="00BA1E5F">
        <w:t>ed</w:t>
      </w:r>
      <w:r>
        <w:t xml:space="preserve"> </w:t>
      </w:r>
      <w:r w:rsidR="002945AE">
        <w:t xml:space="preserve">further </w:t>
      </w:r>
      <w:r>
        <w:t>mean</w:t>
      </w:r>
      <w:r w:rsidR="00BA1E5F">
        <w:t>t</w:t>
      </w:r>
      <w:r>
        <w:t xml:space="preserve"> that </w:t>
      </w:r>
      <w:r w:rsidR="002945AE">
        <w:t xml:space="preserve">a bidder could be scored a ‘1’ for only </w:t>
      </w:r>
      <w:r w:rsidR="00BA1E5F">
        <w:t>omitting</w:t>
      </w:r>
      <w:r w:rsidR="002945AE">
        <w:t xml:space="preserve"> one ‘must include’ element </w:t>
      </w:r>
      <w:r w:rsidR="00BA1E5F">
        <w:t xml:space="preserve">from its answer </w:t>
      </w:r>
      <w:r w:rsidR="002945AE">
        <w:t xml:space="preserve">while another bidder </w:t>
      </w:r>
      <w:r w:rsidR="00767BDE">
        <w:t xml:space="preserve">could </w:t>
      </w:r>
      <w:r w:rsidR="002945AE">
        <w:t xml:space="preserve">also </w:t>
      </w:r>
      <w:r w:rsidR="00767BDE">
        <w:t xml:space="preserve">be </w:t>
      </w:r>
      <w:r w:rsidR="002945AE">
        <w:t xml:space="preserve">scored a ‘1’ </w:t>
      </w:r>
      <w:r w:rsidR="00BA1E5F">
        <w:t>for omitting</w:t>
      </w:r>
      <w:r w:rsidR="002945AE">
        <w:t xml:space="preserve"> several ‘must include’ elements. </w:t>
      </w:r>
      <w:r w:rsidR="00897BF3">
        <w:t xml:space="preserve">This means that </w:t>
      </w:r>
      <w:r w:rsidR="00C90EA9">
        <w:t xml:space="preserve">differentiation between </w:t>
      </w:r>
      <w:r w:rsidR="00411CFD">
        <w:t xml:space="preserve">the bidders </w:t>
      </w:r>
      <w:r w:rsidR="00E20EC7">
        <w:t>could be</w:t>
      </w:r>
      <w:r w:rsidR="00C90EA9">
        <w:t xml:space="preserve"> lost due to the way in which the scoring rule works</w:t>
      </w:r>
      <w:r w:rsidR="00DD068D">
        <w:t xml:space="preserve">. That is, </w:t>
      </w:r>
      <w:r w:rsidR="008A1177">
        <w:t xml:space="preserve">one bidder may have </w:t>
      </w:r>
      <w:r w:rsidR="00DD068D">
        <w:t xml:space="preserve">provided a superior answer as a result of </w:t>
      </w:r>
      <w:r w:rsidR="00897BF3">
        <w:t>omitting</w:t>
      </w:r>
      <w:r w:rsidR="008C73ED">
        <w:t xml:space="preserve"> fewer ‘must include’ elements but both bidders receive</w:t>
      </w:r>
      <w:r w:rsidR="00897BF3">
        <w:t>d</w:t>
      </w:r>
      <w:r w:rsidR="008C73ED">
        <w:t xml:space="preserve"> the same score</w:t>
      </w:r>
      <w:r w:rsidR="00C90EA9">
        <w:t>.</w:t>
      </w:r>
    </w:p>
    <w:p w14:paraId="10B9860B" w14:textId="1751A643" w:rsidR="00904AD4" w:rsidRDefault="00904AD4" w:rsidP="00904AD4">
      <w:pPr>
        <w:pStyle w:val="ListParagraph"/>
        <w:ind w:left="567" w:hanging="567"/>
      </w:pPr>
      <w:r>
        <w:t>BNSSG told the Panel that while a lot of answers were scored ‘1’, this did not mean that it could not differentiate between bidders. It said that in other procurements there could be scenarios where “almost everyone scores a 2 or a 3 on everything”.</w:t>
      </w:r>
      <w:r w:rsidR="00DF5FCE">
        <w:rPr>
          <w:rStyle w:val="FootnoteReference"/>
        </w:rPr>
        <w:footnoteReference w:id="53"/>
      </w:r>
      <w:r>
        <w:t xml:space="preserve"> The Panel, however, notes that in a procurement where many bidders are scored “a 2 or a 3 on everything” this reflects an assessment of bidders’ capabilities/proposals rather than result</w:t>
      </w:r>
      <w:r w:rsidR="00092FE4">
        <w:t>ing from</w:t>
      </w:r>
      <w:r>
        <w:t xml:space="preserve"> a </w:t>
      </w:r>
      <w:r w:rsidR="00E23026">
        <w:t>process-driven</w:t>
      </w:r>
      <w:r>
        <w:t xml:space="preserve"> scoring rule.</w:t>
      </w:r>
    </w:p>
    <w:bookmarkEnd w:id="49"/>
    <w:bookmarkEnd w:id="51"/>
    <w:p w14:paraId="2C5EB17D" w14:textId="7A68A6A1" w:rsidR="003C6052" w:rsidRDefault="00CC14A8" w:rsidP="007A2C65">
      <w:pPr>
        <w:pStyle w:val="ListParagraph"/>
        <w:ind w:left="567" w:hanging="567"/>
      </w:pPr>
      <w:r>
        <w:t>The Panel</w:t>
      </w:r>
      <w:r w:rsidR="00632DA4">
        <w:t xml:space="preserve"> </w:t>
      </w:r>
      <w:r>
        <w:t xml:space="preserve">recognises that </w:t>
      </w:r>
      <w:r w:rsidR="00A53DBD">
        <w:t>scoring rules</w:t>
      </w:r>
      <w:r w:rsidR="00BD3396" w:rsidRPr="00BD3396">
        <w:t xml:space="preserve"> </w:t>
      </w:r>
      <w:r w:rsidR="00BD3396">
        <w:t xml:space="preserve">can be helpful as a way of ensuring consistency of scoring across bids and transparency of evaluation outcomes. </w:t>
      </w:r>
      <w:r w:rsidR="00023F81">
        <w:t>The Panel</w:t>
      </w:r>
      <w:r w:rsidR="00E12794">
        <w:t xml:space="preserve">, however, </w:t>
      </w:r>
      <w:r w:rsidR="00023F81">
        <w:t xml:space="preserve">also notes that </w:t>
      </w:r>
      <w:r w:rsidR="00E12794">
        <w:t>there is a question</w:t>
      </w:r>
      <w:r w:rsidR="00025304">
        <w:t xml:space="preserve"> </w:t>
      </w:r>
      <w:r w:rsidR="00E12794">
        <w:t xml:space="preserve">of whether </w:t>
      </w:r>
      <w:r w:rsidR="00025304">
        <w:t xml:space="preserve">BNSSG’s </w:t>
      </w:r>
      <w:r w:rsidR="00580A82">
        <w:t>scoring rule</w:t>
      </w:r>
      <w:r w:rsidR="002D20EF">
        <w:t>,</w:t>
      </w:r>
      <w:r w:rsidR="00580A82">
        <w:t xml:space="preserve"> when combined with </w:t>
      </w:r>
      <w:r w:rsidR="00E53D3A">
        <w:t>what could be seen as</w:t>
      </w:r>
      <w:r w:rsidR="006A6F81">
        <w:t>:</w:t>
      </w:r>
      <w:r w:rsidR="00E53D3A">
        <w:t xml:space="preserve"> </w:t>
      </w:r>
      <w:r w:rsidR="006A6F81">
        <w:t>(</w:t>
      </w:r>
      <w:r w:rsidR="001B50FB">
        <w:t xml:space="preserve">i) </w:t>
      </w:r>
      <w:r w:rsidR="009D28BC">
        <w:t xml:space="preserve">low character count limits for answers </w:t>
      </w:r>
      <w:r w:rsidR="007C1078">
        <w:t>and</w:t>
      </w:r>
      <w:r w:rsidR="009E2B07">
        <w:t xml:space="preserve"> </w:t>
      </w:r>
      <w:r w:rsidR="006A6F81">
        <w:t>(</w:t>
      </w:r>
      <w:r w:rsidR="001B50FB">
        <w:t xml:space="preserve">ii) a </w:t>
      </w:r>
      <w:r w:rsidR="00EA09C4">
        <w:t>large</w:t>
      </w:r>
      <w:r w:rsidR="00560B40">
        <w:t xml:space="preserve"> number of bullet points/topics required to be covered in answer</w:t>
      </w:r>
      <w:r w:rsidR="001B50FB">
        <w:t>s</w:t>
      </w:r>
      <w:r w:rsidR="00560B40">
        <w:t xml:space="preserve">, </w:t>
      </w:r>
      <w:r w:rsidR="00801871">
        <w:t xml:space="preserve">resulted </w:t>
      </w:r>
      <w:r w:rsidR="008D0B28">
        <w:t xml:space="preserve">in </w:t>
      </w:r>
      <w:r w:rsidR="0047482C">
        <w:t>BNSSG den</w:t>
      </w:r>
      <w:r w:rsidR="007A2C65">
        <w:t xml:space="preserve">ying </w:t>
      </w:r>
      <w:r w:rsidR="0047482C">
        <w:t xml:space="preserve">itself the ability </w:t>
      </w:r>
      <w:r w:rsidR="009B2B70">
        <w:t xml:space="preserve">to </w:t>
      </w:r>
      <w:r w:rsidR="001B0B27">
        <w:t xml:space="preserve">identify </w:t>
      </w:r>
      <w:r w:rsidR="00685506">
        <w:t>the provider</w:t>
      </w:r>
      <w:r w:rsidR="008D0B28">
        <w:t xml:space="preserve"> </w:t>
      </w:r>
      <w:r w:rsidR="001B0B27">
        <w:t xml:space="preserve">best able to deliver </w:t>
      </w:r>
      <w:r w:rsidR="00BA2450">
        <w:t>P</w:t>
      </w:r>
      <w:r w:rsidR="007F0B56">
        <w:t>lanned NEPTS</w:t>
      </w:r>
      <w:r w:rsidR="001B0B27">
        <w:t>.</w:t>
      </w:r>
    </w:p>
    <w:p w14:paraId="2FD06B73" w14:textId="54915D4D" w:rsidR="003850BA" w:rsidRDefault="00E122A1" w:rsidP="00AB4174">
      <w:pPr>
        <w:pStyle w:val="ListParagraph"/>
        <w:ind w:left="567" w:hanging="567"/>
      </w:pPr>
      <w:r>
        <w:t xml:space="preserve">In summary, </w:t>
      </w:r>
      <w:bookmarkStart w:id="53" w:name="_Ref220423693"/>
      <w:r>
        <w:t>t</w:t>
      </w:r>
      <w:r w:rsidR="00E37BF1">
        <w:t>he Panel</w:t>
      </w:r>
      <w:r w:rsidR="000443A2">
        <w:t xml:space="preserve"> </w:t>
      </w:r>
      <w:r w:rsidR="00E53A14">
        <w:t xml:space="preserve">has concerns about </w:t>
      </w:r>
      <w:r w:rsidR="002D1BB7">
        <w:t xml:space="preserve">BNSSG’s ability to select the best provider for Planned NEPTS </w:t>
      </w:r>
      <w:r w:rsidR="0068413D">
        <w:t xml:space="preserve">due to the combined effect of </w:t>
      </w:r>
      <w:r w:rsidR="003850BA">
        <w:t xml:space="preserve">potential issues with the clarity of instructions for bidders, </w:t>
      </w:r>
      <w:r w:rsidR="005245FA">
        <w:t>seemingly low character counts for answers</w:t>
      </w:r>
      <w:r w:rsidR="002D1BB7">
        <w:t>,</w:t>
      </w:r>
      <w:r w:rsidR="005245FA">
        <w:t xml:space="preserve"> </w:t>
      </w:r>
      <w:r w:rsidR="00916935">
        <w:t>a large number of ‘must include’ elements in the questions</w:t>
      </w:r>
      <w:r w:rsidR="002D1BB7">
        <w:t xml:space="preserve">, and the </w:t>
      </w:r>
      <w:r w:rsidR="00CB24AC">
        <w:t xml:space="preserve">way in which answers </w:t>
      </w:r>
      <w:r w:rsidR="003F0366">
        <w:t xml:space="preserve">were marked down to </w:t>
      </w:r>
      <w:r w:rsidR="00CB24AC">
        <w:t>‘1’</w:t>
      </w:r>
      <w:r w:rsidR="000965D1">
        <w:t xml:space="preserve">. </w:t>
      </w:r>
      <w:r w:rsidR="003F0366">
        <w:t xml:space="preserve">This, in turn, goes to whether </w:t>
      </w:r>
      <w:r w:rsidR="008935C1">
        <w:t>BNSSG acted fairly when carrying out the provider selection process and complied with its obligations under Regulation 4 of the PSR regulations.</w:t>
      </w:r>
    </w:p>
    <w:p w14:paraId="68EDC886" w14:textId="3F89D1F4" w:rsidR="005152BF" w:rsidRDefault="003A3A9B" w:rsidP="00AB4174">
      <w:pPr>
        <w:pStyle w:val="ListParagraph"/>
        <w:ind w:left="567" w:hanging="567"/>
      </w:pPr>
      <w:bookmarkStart w:id="54" w:name="_Ref220423694"/>
      <w:bookmarkEnd w:id="53"/>
      <w:r>
        <w:t>The Panel</w:t>
      </w:r>
      <w:r w:rsidR="002B4C52">
        <w:t xml:space="preserve"> </w:t>
      </w:r>
      <w:r>
        <w:t xml:space="preserve">advises BNSSG that it should </w:t>
      </w:r>
      <w:r w:rsidR="00407273">
        <w:t xml:space="preserve">further </w:t>
      </w:r>
      <w:r>
        <w:t xml:space="preserve">assure itself with regard to </w:t>
      </w:r>
      <w:r w:rsidR="00A800D7">
        <w:t xml:space="preserve">these points when </w:t>
      </w:r>
      <w:r w:rsidR="003A5ABD">
        <w:t>deciding on</w:t>
      </w:r>
      <w:r w:rsidR="00A800D7">
        <w:t xml:space="preserve"> the </w:t>
      </w:r>
      <w:r w:rsidR="003A5ABD">
        <w:t>earlier step in</w:t>
      </w:r>
      <w:r w:rsidR="00A800D7">
        <w:t xml:space="preserve"> the provider selection process </w:t>
      </w:r>
      <w:r w:rsidR="003A5ABD">
        <w:t xml:space="preserve">to which it should return </w:t>
      </w:r>
      <w:r w:rsidR="00A800D7">
        <w:t>as per the Panel’s advice in Section 7.</w:t>
      </w:r>
      <w:bookmarkEnd w:id="54"/>
    </w:p>
    <w:p w14:paraId="0A6766AF" w14:textId="298498B8" w:rsidR="00496786" w:rsidRPr="00496786" w:rsidRDefault="00C4576A" w:rsidP="004112FD">
      <w:pPr>
        <w:pStyle w:val="Heading2"/>
        <w:spacing w:before="240" w:after="160"/>
      </w:pPr>
      <w:bookmarkStart w:id="55" w:name="_Toc220417398"/>
      <w:r>
        <w:t>8.</w:t>
      </w:r>
      <w:r w:rsidR="009E2AD3">
        <w:t>2</w:t>
      </w:r>
      <w:r w:rsidR="00496786" w:rsidRPr="00496786">
        <w:t xml:space="preserve"> </w:t>
      </w:r>
      <w:r w:rsidR="000504A2">
        <w:t>U</w:t>
      </w:r>
      <w:r w:rsidR="0005758A">
        <w:t xml:space="preserve">nfair advantage </w:t>
      </w:r>
      <w:r w:rsidR="00C648E6">
        <w:t xml:space="preserve">for EMED </w:t>
      </w:r>
      <w:r w:rsidR="005756D0" w:rsidRPr="005756D0">
        <w:t>as a result of disclosure</w:t>
      </w:r>
      <w:r w:rsidR="00C648E6">
        <w:t xml:space="preserve"> in ongoing litigation</w:t>
      </w:r>
      <w:bookmarkEnd w:id="55"/>
    </w:p>
    <w:p w14:paraId="099A79CA" w14:textId="28B4B198" w:rsidR="00B655A1" w:rsidRPr="0073662C" w:rsidRDefault="009C59F5" w:rsidP="00B655A1">
      <w:pPr>
        <w:pStyle w:val="ListParagraph"/>
        <w:spacing w:after="120"/>
        <w:ind w:left="567" w:hanging="567"/>
        <w:rPr>
          <w:sz w:val="21"/>
          <w:szCs w:val="21"/>
        </w:rPr>
      </w:pPr>
      <w:bookmarkStart w:id="56" w:name="_Ref221531279"/>
      <w:r>
        <w:t>BAEMS</w:t>
      </w:r>
      <w:r w:rsidR="00934407">
        <w:t>, in its representations to the Panel,</w:t>
      </w:r>
      <w:r w:rsidR="009B7609">
        <w:t xml:space="preserve"> </w:t>
      </w:r>
      <w:r w:rsidR="003C11FD">
        <w:t>said</w:t>
      </w:r>
      <w:r>
        <w:t xml:space="preserve"> that EMED </w:t>
      </w:r>
      <w:r w:rsidR="00526A1A">
        <w:t xml:space="preserve">gained an unfair advantage in the provider selection process as result of its access to documents in the ongoing litigation between EMED and BNSSG </w:t>
      </w:r>
      <w:r>
        <w:t xml:space="preserve">(see paragraph </w:t>
      </w:r>
      <w:r>
        <w:fldChar w:fldCharType="begin"/>
      </w:r>
      <w:r>
        <w:instrText xml:space="preserve"> REF _Ref216869970 \r \h </w:instrText>
      </w:r>
      <w:r>
        <w:fldChar w:fldCharType="separate"/>
      </w:r>
      <w:r w:rsidR="00785E99">
        <w:t>40</w:t>
      </w:r>
      <w:r>
        <w:fldChar w:fldCharType="end"/>
      </w:r>
      <w:r>
        <w:t>).</w:t>
      </w:r>
      <w:r w:rsidR="0081465B">
        <w:t xml:space="preserve"> </w:t>
      </w:r>
      <w:r w:rsidR="00976890">
        <w:t xml:space="preserve">In its </w:t>
      </w:r>
      <w:r w:rsidR="00BF2F88">
        <w:t xml:space="preserve">representations to BNSSG, </w:t>
      </w:r>
      <w:r w:rsidR="0081465B">
        <w:t xml:space="preserve">BAEMS was particularly concerned </w:t>
      </w:r>
      <w:r w:rsidR="004670A1">
        <w:t xml:space="preserve">that EMED may have </w:t>
      </w:r>
      <w:r w:rsidR="004670A1">
        <w:lastRenderedPageBreak/>
        <w:t xml:space="preserve">gained an advantage from accessing the following instruction to evaluators </w:t>
      </w:r>
      <w:r w:rsidR="00B655A1">
        <w:t>in the previous NEPTS procurement:</w:t>
      </w:r>
      <w:bookmarkEnd w:id="56"/>
    </w:p>
    <w:p w14:paraId="063EE6BF" w14:textId="77777777" w:rsidR="00B655A1" w:rsidRPr="00A43F4C" w:rsidRDefault="00B655A1" w:rsidP="00B655A1">
      <w:pPr>
        <w:pStyle w:val="ListParagraph"/>
        <w:numPr>
          <w:ilvl w:val="0"/>
          <w:numId w:val="0"/>
        </w:numPr>
        <w:spacing w:line="259" w:lineRule="auto"/>
        <w:ind w:left="851"/>
        <w:rPr>
          <w:sz w:val="21"/>
          <w:szCs w:val="21"/>
        </w:rPr>
      </w:pPr>
      <w:r>
        <w:rPr>
          <w:sz w:val="21"/>
          <w:szCs w:val="21"/>
        </w:rPr>
        <w:t>“</w:t>
      </w:r>
      <w:r w:rsidRPr="0073662C">
        <w:rPr>
          <w:sz w:val="21"/>
          <w:szCs w:val="21"/>
        </w:rPr>
        <w:t>Where questions state 'must include' i</w:t>
      </w:r>
      <w:r>
        <w:rPr>
          <w:sz w:val="21"/>
          <w:szCs w:val="21"/>
        </w:rPr>
        <w:t>.</w:t>
      </w:r>
      <w:r w:rsidRPr="0073662C">
        <w:rPr>
          <w:sz w:val="21"/>
          <w:szCs w:val="21"/>
        </w:rPr>
        <w:t>e</w:t>
      </w:r>
      <w:r>
        <w:rPr>
          <w:sz w:val="21"/>
          <w:szCs w:val="21"/>
        </w:rPr>
        <w:t>.</w:t>
      </w:r>
      <w:r w:rsidRPr="0073662C">
        <w:rPr>
          <w:sz w:val="21"/>
          <w:szCs w:val="21"/>
        </w:rPr>
        <w:t xml:space="preserve"> where there are a series of bullet points which must be included, this means that bidders </w:t>
      </w:r>
      <w:r w:rsidRPr="00C43229">
        <w:rPr>
          <w:i/>
          <w:iCs/>
          <w:sz w:val="21"/>
          <w:szCs w:val="21"/>
        </w:rPr>
        <w:t>must address</w:t>
      </w:r>
      <w:r w:rsidRPr="0073662C">
        <w:rPr>
          <w:sz w:val="21"/>
          <w:szCs w:val="21"/>
        </w:rPr>
        <w:t xml:space="preserve"> every one of those points within their response. Failure to address every point i</w:t>
      </w:r>
      <w:r>
        <w:rPr>
          <w:sz w:val="21"/>
          <w:szCs w:val="21"/>
        </w:rPr>
        <w:t>.</w:t>
      </w:r>
      <w:r w:rsidRPr="0073662C">
        <w:rPr>
          <w:sz w:val="21"/>
          <w:szCs w:val="21"/>
        </w:rPr>
        <w:t>e</w:t>
      </w:r>
      <w:r>
        <w:rPr>
          <w:sz w:val="21"/>
          <w:szCs w:val="21"/>
        </w:rPr>
        <w:t>.</w:t>
      </w:r>
      <w:r w:rsidRPr="0073662C">
        <w:rPr>
          <w:sz w:val="21"/>
          <w:szCs w:val="21"/>
        </w:rPr>
        <w:t xml:space="preserve"> where a bidder fails to address one (or more) of the bullet points will mean that, in line with the scoring matrix, bidders </w:t>
      </w:r>
      <w:r w:rsidRPr="00C43229">
        <w:rPr>
          <w:i/>
          <w:iCs/>
          <w:sz w:val="21"/>
          <w:szCs w:val="21"/>
        </w:rPr>
        <w:t>will not</w:t>
      </w:r>
      <w:r w:rsidRPr="0073662C">
        <w:rPr>
          <w:sz w:val="21"/>
          <w:szCs w:val="21"/>
        </w:rPr>
        <w:t xml:space="preserve"> be able to achieve a score greater than 1</w:t>
      </w:r>
      <w:r>
        <w:rPr>
          <w:sz w:val="21"/>
          <w:szCs w:val="21"/>
        </w:rPr>
        <w:t>” (emphasis added)</w:t>
      </w:r>
      <w:r w:rsidRPr="0073662C">
        <w:rPr>
          <w:sz w:val="21"/>
          <w:szCs w:val="21"/>
        </w:rPr>
        <w:t>.</w:t>
      </w:r>
      <w:r w:rsidRPr="0073662C">
        <w:rPr>
          <w:rStyle w:val="FootnoteReference"/>
          <w:sz w:val="21"/>
          <w:szCs w:val="21"/>
        </w:rPr>
        <w:footnoteReference w:id="54"/>
      </w:r>
    </w:p>
    <w:p w14:paraId="783E4435" w14:textId="192302CC" w:rsidR="002A6275" w:rsidRPr="002A6275" w:rsidRDefault="000C15B5" w:rsidP="002A6275">
      <w:pPr>
        <w:pStyle w:val="ListParagraph"/>
        <w:spacing w:after="120"/>
        <w:ind w:left="567" w:hanging="567"/>
        <w:rPr>
          <w:sz w:val="21"/>
          <w:szCs w:val="21"/>
        </w:rPr>
      </w:pPr>
      <w:r>
        <w:t xml:space="preserve">HTG </w:t>
      </w:r>
      <w:r w:rsidR="002A6275">
        <w:t xml:space="preserve">similarly told </w:t>
      </w:r>
      <w:r w:rsidR="00934407">
        <w:t>BNSSG</w:t>
      </w:r>
      <w:r w:rsidR="002A6275">
        <w:t xml:space="preserve"> that:</w:t>
      </w:r>
    </w:p>
    <w:p w14:paraId="676723EA" w14:textId="58E449D1" w:rsidR="004E78A3" w:rsidRPr="002A6275" w:rsidRDefault="00934407" w:rsidP="002A6275">
      <w:pPr>
        <w:pStyle w:val="ListParagraph"/>
        <w:numPr>
          <w:ilvl w:val="0"/>
          <w:numId w:val="0"/>
        </w:numPr>
        <w:spacing w:line="259" w:lineRule="auto"/>
        <w:ind w:left="851"/>
        <w:rPr>
          <w:sz w:val="21"/>
          <w:szCs w:val="21"/>
        </w:rPr>
      </w:pPr>
      <w:r w:rsidRPr="002A6275">
        <w:rPr>
          <w:sz w:val="21"/>
          <w:szCs w:val="21"/>
        </w:rPr>
        <w:t>“</w:t>
      </w:r>
      <w:r w:rsidR="00CA5A91" w:rsidRPr="002A6275">
        <w:rPr>
          <w:sz w:val="21"/>
          <w:szCs w:val="21"/>
        </w:rPr>
        <w:t>If the Commissioner disclosed the full extent of SVL’s bid to EMED (or even part of it) then, coupled with the problem of abnormally low character limits for responses within this procurement …, EMED would have been placed at a considerable, unfair advantage to all other bidders within this process</w:t>
      </w:r>
      <w:r w:rsidR="0097541F" w:rsidRPr="002A6275">
        <w:rPr>
          <w:sz w:val="21"/>
          <w:szCs w:val="21"/>
        </w:rPr>
        <w:t>”</w:t>
      </w:r>
      <w:r w:rsidR="003D63F1" w:rsidRPr="002A6275">
        <w:rPr>
          <w:sz w:val="21"/>
          <w:szCs w:val="21"/>
        </w:rPr>
        <w:t>.</w:t>
      </w:r>
      <w:r w:rsidR="00B3425A" w:rsidRPr="002A6275">
        <w:rPr>
          <w:rStyle w:val="FootnoteReference"/>
          <w:sz w:val="21"/>
          <w:szCs w:val="21"/>
        </w:rPr>
        <w:footnoteReference w:id="55"/>
      </w:r>
    </w:p>
    <w:p w14:paraId="01830B6D" w14:textId="6965D4E3" w:rsidR="006A3EA6" w:rsidRDefault="00664EB4" w:rsidP="00057016">
      <w:pPr>
        <w:pStyle w:val="ListParagraph"/>
        <w:spacing w:after="0"/>
        <w:ind w:left="567" w:hanging="567"/>
      </w:pPr>
      <w:r>
        <w:t>BNSSG</w:t>
      </w:r>
      <w:r w:rsidR="00BC4405">
        <w:t xml:space="preserve"> shared with the Panel </w:t>
      </w:r>
      <w:r w:rsidR="000E766F">
        <w:t xml:space="preserve">a list of </w:t>
      </w:r>
      <w:r w:rsidR="00BC4405">
        <w:t xml:space="preserve">the </w:t>
      </w:r>
      <w:r w:rsidR="00F32A8D">
        <w:t xml:space="preserve">redacted </w:t>
      </w:r>
      <w:r w:rsidR="000E766F">
        <w:t xml:space="preserve">documents </w:t>
      </w:r>
      <w:r w:rsidR="00F32A8D">
        <w:t>shared with</w:t>
      </w:r>
      <w:r w:rsidR="008615DC">
        <w:t xml:space="preserve"> EMED</w:t>
      </w:r>
      <w:r w:rsidR="00BC4405">
        <w:t xml:space="preserve"> during the litigation</w:t>
      </w:r>
      <w:r w:rsidR="007E11A8">
        <w:rPr>
          <w:rStyle w:val="FootnoteReference"/>
        </w:rPr>
        <w:footnoteReference w:id="56"/>
      </w:r>
      <w:r w:rsidR="008615DC">
        <w:t xml:space="preserve"> and</w:t>
      </w:r>
      <w:r w:rsidR="00B0092C">
        <w:t xml:space="preserve"> a list of</w:t>
      </w:r>
      <w:r w:rsidR="008615DC">
        <w:t xml:space="preserve"> the unredacted documents disclosed into an “external lawyers only” confidentiality ring.</w:t>
      </w:r>
      <w:r w:rsidR="00B0092C">
        <w:rPr>
          <w:rStyle w:val="FootnoteReference"/>
        </w:rPr>
        <w:footnoteReference w:id="57"/>
      </w:r>
      <w:r w:rsidR="008615DC">
        <w:t xml:space="preserve"> </w:t>
      </w:r>
      <w:r w:rsidR="00057016">
        <w:t xml:space="preserve">BNSSG further </w:t>
      </w:r>
      <w:r w:rsidR="008615DC">
        <w:t>told the Panel</w:t>
      </w:r>
      <w:r w:rsidR="007C3E24">
        <w:t xml:space="preserve"> </w:t>
      </w:r>
      <w:r w:rsidR="00B6514D">
        <w:t>that the documents</w:t>
      </w:r>
      <w:r w:rsidR="00057016">
        <w:t xml:space="preserve"> it believed</w:t>
      </w:r>
      <w:r w:rsidR="00B6514D">
        <w:t xml:space="preserve"> were relevant to </w:t>
      </w:r>
      <w:r w:rsidR="00057016">
        <w:t>BAEMS’ and HTG’s</w:t>
      </w:r>
      <w:r w:rsidR="00B6514D">
        <w:t xml:space="preserve"> concerns included</w:t>
      </w:r>
      <w:r w:rsidR="006A3EA6">
        <w:t>:</w:t>
      </w:r>
    </w:p>
    <w:p w14:paraId="17AE6E9E" w14:textId="5344BE7A" w:rsidR="00E806BB" w:rsidRPr="00057016" w:rsidRDefault="00057016" w:rsidP="006F5EFB">
      <w:pPr>
        <w:pStyle w:val="ListParagraph"/>
        <w:numPr>
          <w:ilvl w:val="0"/>
          <w:numId w:val="10"/>
        </w:numPr>
        <w:ind w:left="1497" w:hanging="357"/>
        <w:contextualSpacing/>
      </w:pPr>
      <w:r w:rsidRPr="00057016">
        <w:t>a</w:t>
      </w:r>
      <w:r w:rsidR="006A3EA6" w:rsidRPr="00057016">
        <w:t xml:space="preserve"> PowerPoint training presentation </w:t>
      </w:r>
      <w:r w:rsidR="00173D71" w:rsidRPr="00057016">
        <w:t>“</w:t>
      </w:r>
      <w:r w:rsidR="006A3EA6" w:rsidRPr="00057016">
        <w:t>explaining at a high-level the legal duties that apply to evaluators and how the evaluation should be conducted in order to ensure compliance with those duties”</w:t>
      </w:r>
      <w:r>
        <w:t>;</w:t>
      </w:r>
    </w:p>
    <w:p w14:paraId="6F163906" w14:textId="6D4C0C66" w:rsidR="006A3EA6" w:rsidRPr="00057016" w:rsidRDefault="00057016" w:rsidP="006F5EFB">
      <w:pPr>
        <w:pStyle w:val="ListParagraph"/>
        <w:numPr>
          <w:ilvl w:val="0"/>
          <w:numId w:val="10"/>
        </w:numPr>
        <w:ind w:left="1497" w:hanging="357"/>
        <w:contextualSpacing/>
      </w:pPr>
      <w:r>
        <w:t>t</w:t>
      </w:r>
      <w:r w:rsidR="006A3EA6" w:rsidRPr="00057016">
        <w:t xml:space="preserve">he </w:t>
      </w:r>
      <w:r w:rsidR="00173D71" w:rsidRPr="00057016">
        <w:t>ITT</w:t>
      </w:r>
      <w:r w:rsidR="006A3EA6" w:rsidRPr="00057016">
        <w:t xml:space="preserve"> and supporting documents</w:t>
      </w:r>
      <w:r w:rsidR="00173D71" w:rsidRPr="00057016">
        <w:t xml:space="preserve">, which </w:t>
      </w:r>
      <w:r w:rsidR="004D1409">
        <w:t>the ICB</w:t>
      </w:r>
      <w:r w:rsidR="004D1409" w:rsidRPr="00057016">
        <w:t xml:space="preserve"> </w:t>
      </w:r>
      <w:r w:rsidR="00173D71" w:rsidRPr="00057016">
        <w:t>made available to all bidders as part of the procurement process</w:t>
      </w:r>
      <w:r>
        <w:t>;</w:t>
      </w:r>
    </w:p>
    <w:p w14:paraId="0ADA583D" w14:textId="7D731D89" w:rsidR="00173D71" w:rsidRPr="00057016" w:rsidRDefault="00057016" w:rsidP="006F5EFB">
      <w:pPr>
        <w:pStyle w:val="ListParagraph"/>
        <w:numPr>
          <w:ilvl w:val="0"/>
          <w:numId w:val="10"/>
        </w:numPr>
        <w:ind w:left="1497" w:hanging="357"/>
        <w:contextualSpacing/>
      </w:pPr>
      <w:r>
        <w:t>c</w:t>
      </w:r>
      <w:r w:rsidR="00DC5AD9" w:rsidRPr="00057016">
        <w:t xml:space="preserve">ontemporaneous records of the evaluation and moderation process relating to </w:t>
      </w:r>
      <w:r w:rsidR="00664EB4" w:rsidRPr="00057016">
        <w:t>BNSSG</w:t>
      </w:r>
      <w:r w:rsidR="00DC5AD9" w:rsidRPr="00057016">
        <w:t>’s assessment of EMED’s tender</w:t>
      </w:r>
      <w:r>
        <w:t>;</w:t>
      </w:r>
    </w:p>
    <w:p w14:paraId="04FF583A" w14:textId="7475754E" w:rsidR="002E37E3" w:rsidRPr="00057016" w:rsidRDefault="00057016" w:rsidP="006F5EFB">
      <w:pPr>
        <w:pStyle w:val="ListParagraph"/>
        <w:numPr>
          <w:ilvl w:val="0"/>
          <w:numId w:val="10"/>
        </w:numPr>
        <w:ind w:left="1497" w:hanging="357"/>
        <w:contextualSpacing/>
      </w:pPr>
      <w:r>
        <w:t>c</w:t>
      </w:r>
      <w:r w:rsidR="002E37E3" w:rsidRPr="00057016">
        <w:t xml:space="preserve">ontemporaneous records of the evaluation and moderation process relating to </w:t>
      </w:r>
      <w:r w:rsidR="00664EB4" w:rsidRPr="00057016">
        <w:t>BNSSG</w:t>
      </w:r>
      <w:r w:rsidR="002E37E3" w:rsidRPr="00057016">
        <w:t>’s assessment of SVL’s tender</w:t>
      </w:r>
      <w:r>
        <w:t>; and</w:t>
      </w:r>
    </w:p>
    <w:p w14:paraId="250B0F9F" w14:textId="592231B0" w:rsidR="00DC5AD9" w:rsidRPr="00057016" w:rsidRDefault="00057016" w:rsidP="006F5EFB">
      <w:pPr>
        <w:pStyle w:val="ListParagraph"/>
        <w:numPr>
          <w:ilvl w:val="0"/>
          <w:numId w:val="10"/>
        </w:numPr>
        <w:ind w:left="1497" w:hanging="357"/>
      </w:pPr>
      <w:r>
        <w:t>a</w:t>
      </w:r>
      <w:r w:rsidR="00B02914" w:rsidRPr="00057016">
        <w:t xml:space="preserve"> copy of SVL’s tender (disclosed </w:t>
      </w:r>
      <w:r w:rsidR="007E11A8" w:rsidRPr="00057016">
        <w:t>in</w:t>
      </w:r>
      <w:r w:rsidR="00B02914" w:rsidRPr="00057016">
        <w:t xml:space="preserve">to </w:t>
      </w:r>
      <w:r w:rsidR="007E11A8" w:rsidRPr="00057016">
        <w:t>the “external lawyers only” confidentiality ring)</w:t>
      </w:r>
      <w:r>
        <w:t>.</w:t>
      </w:r>
    </w:p>
    <w:p w14:paraId="284DB431" w14:textId="05B8A408" w:rsidR="0098564F" w:rsidRPr="00D57D9D" w:rsidRDefault="00664EB4" w:rsidP="00AB4174">
      <w:pPr>
        <w:pStyle w:val="ListParagraph"/>
        <w:ind w:left="567" w:hanging="567"/>
      </w:pPr>
      <w:r>
        <w:t>BNSSG</w:t>
      </w:r>
      <w:r w:rsidR="00D57D9D" w:rsidRPr="00052D6D">
        <w:t xml:space="preserve"> told the Panel that</w:t>
      </w:r>
      <w:r w:rsidR="00C90AFF">
        <w:t xml:space="preserve"> </w:t>
      </w:r>
      <w:r w:rsidR="00EB7097">
        <w:t xml:space="preserve">it had undertaken steps </w:t>
      </w:r>
      <w:r w:rsidR="003B2E66">
        <w:t>“to ensure the outcome of the procurement was not affected by any information provided to EMED during the ongoing litigation”</w:t>
      </w:r>
      <w:r w:rsidR="007563AC">
        <w:t>. This included</w:t>
      </w:r>
      <w:r w:rsidR="003B2E66">
        <w:t xml:space="preserve">, </w:t>
      </w:r>
      <w:r w:rsidR="00FC45D1">
        <w:t>for example</w:t>
      </w:r>
      <w:r w:rsidR="007563AC">
        <w:t>,</w:t>
      </w:r>
      <w:r w:rsidR="00FC45D1">
        <w:t xml:space="preserve"> </w:t>
      </w:r>
      <w:r w:rsidR="004165A9">
        <w:t xml:space="preserve">structuring the procurement “differently </w:t>
      </w:r>
      <w:r w:rsidR="00E34C76">
        <w:t>to the procurement that forms the subject matter of the ongoing litigation with EMED</w:t>
      </w:r>
      <w:r w:rsidR="0098564F">
        <w:t>”</w:t>
      </w:r>
      <w:r w:rsidR="00017DB2">
        <w:t xml:space="preserve">, including </w:t>
      </w:r>
      <w:r w:rsidR="0068061D">
        <w:t>the service specification, technical tender questions and scoring matrix</w:t>
      </w:r>
      <w:r w:rsidR="00017DB2">
        <w:t>,</w:t>
      </w:r>
      <w:r w:rsidR="0068061D">
        <w:t xml:space="preserve"> </w:t>
      </w:r>
      <w:r w:rsidR="00F5480F">
        <w:t xml:space="preserve">and by having different </w:t>
      </w:r>
      <w:r w:rsidR="00A238D1">
        <w:t>evaluation teams and moderators</w:t>
      </w:r>
      <w:r w:rsidR="00F5480F">
        <w:t>.</w:t>
      </w:r>
      <w:r w:rsidR="00F5480F">
        <w:rPr>
          <w:rStyle w:val="FootnoteReference"/>
        </w:rPr>
        <w:footnoteReference w:id="58"/>
      </w:r>
    </w:p>
    <w:p w14:paraId="36F79981" w14:textId="29C85AD2" w:rsidR="00687A47" w:rsidRPr="00772190" w:rsidRDefault="000664F4" w:rsidP="00AB4174">
      <w:pPr>
        <w:pStyle w:val="ListParagraph"/>
        <w:ind w:left="567" w:hanging="567"/>
      </w:pPr>
      <w:r>
        <w:t xml:space="preserve">Regarding the disclosure of </w:t>
      </w:r>
      <w:r w:rsidR="00E5149B">
        <w:t>commercially sensitive information, t</w:t>
      </w:r>
      <w:r w:rsidRPr="00772190">
        <w:t>he</w:t>
      </w:r>
      <w:r w:rsidR="002E66E2" w:rsidRPr="00772190">
        <w:t xml:space="preserve"> </w:t>
      </w:r>
      <w:r w:rsidR="005D6752" w:rsidRPr="00772190">
        <w:t>Panel</w:t>
      </w:r>
      <w:r w:rsidR="00504994" w:rsidRPr="00772190">
        <w:t xml:space="preserve"> notes that BNSSG’s disclosure of documents </w:t>
      </w:r>
      <w:r w:rsidR="00C5361E" w:rsidRPr="00772190">
        <w:t xml:space="preserve">during the </w:t>
      </w:r>
      <w:r w:rsidR="00195718" w:rsidRPr="00772190">
        <w:t xml:space="preserve">litigation was </w:t>
      </w:r>
      <w:r w:rsidR="001A66EF" w:rsidRPr="00772190">
        <w:t>required to meet its legal obligations</w:t>
      </w:r>
      <w:r w:rsidR="00E5149B">
        <w:t>, was s</w:t>
      </w:r>
      <w:r w:rsidR="00E5149B" w:rsidRPr="00E5149B">
        <w:t xml:space="preserve">upervised by the Court and </w:t>
      </w:r>
      <w:r w:rsidR="006A7C7E">
        <w:t>involved the use of a</w:t>
      </w:r>
      <w:r w:rsidR="00E5149B" w:rsidRPr="00E5149B">
        <w:t xml:space="preserve"> confidentiality ring</w:t>
      </w:r>
      <w:r w:rsidR="00772190" w:rsidRPr="00772190">
        <w:t>.</w:t>
      </w:r>
      <w:r w:rsidR="001A66EF" w:rsidRPr="00772190">
        <w:t xml:space="preserve"> </w:t>
      </w:r>
      <w:r w:rsidR="006A7C7E">
        <w:lastRenderedPageBreak/>
        <w:t>The Panel</w:t>
      </w:r>
      <w:r w:rsidR="005D6752" w:rsidRPr="00772190">
        <w:t xml:space="preserve"> has</w:t>
      </w:r>
      <w:r w:rsidR="005B0A1A" w:rsidRPr="00772190">
        <w:t xml:space="preserve"> no</w:t>
      </w:r>
      <w:r w:rsidR="005827FC" w:rsidRPr="00772190">
        <w:t xml:space="preserve">t </w:t>
      </w:r>
      <w:r w:rsidR="00687A47" w:rsidRPr="00772190">
        <w:t xml:space="preserve">seen any evidence to suggest that </w:t>
      </w:r>
      <w:r w:rsidR="00D344CF" w:rsidRPr="00772190">
        <w:t>the</w:t>
      </w:r>
      <w:r w:rsidR="00333BB8" w:rsidRPr="00772190">
        <w:t xml:space="preserve"> information d</w:t>
      </w:r>
      <w:r w:rsidR="00414175" w:rsidRPr="00772190">
        <w:t xml:space="preserve">isclosed to EMED </w:t>
      </w:r>
      <w:r w:rsidR="006A7C7E">
        <w:t xml:space="preserve">in this manner </w:t>
      </w:r>
      <w:r w:rsidR="00D344CF" w:rsidRPr="00772190">
        <w:t>gave it</w:t>
      </w:r>
      <w:r w:rsidR="00F43C37" w:rsidRPr="00772190">
        <w:t xml:space="preserve"> an advantage in the </w:t>
      </w:r>
      <w:r w:rsidR="00756E57" w:rsidRPr="00772190">
        <w:t>current provider selection process.</w:t>
      </w:r>
    </w:p>
    <w:p w14:paraId="3099C2BE" w14:textId="34A19055" w:rsidR="00DA58B1" w:rsidRDefault="006A7C7E" w:rsidP="00AB4174">
      <w:pPr>
        <w:pStyle w:val="ListParagraph"/>
        <w:ind w:left="567" w:hanging="567"/>
      </w:pPr>
      <w:r>
        <w:t xml:space="preserve">Regarding the </w:t>
      </w:r>
      <w:r w:rsidR="002D08B8">
        <w:t xml:space="preserve">potential </w:t>
      </w:r>
      <w:r>
        <w:t xml:space="preserve">disclosure of the </w:t>
      </w:r>
      <w:r w:rsidR="00641073">
        <w:t>instruction to evaluators (</w:t>
      </w:r>
      <w:r w:rsidR="00595418">
        <w:t xml:space="preserve">see </w:t>
      </w:r>
      <w:r w:rsidR="00641073">
        <w:t>para</w:t>
      </w:r>
      <w:r w:rsidR="00163CB9">
        <w:t>graph</w:t>
      </w:r>
      <w:r w:rsidR="00641073">
        <w:t xml:space="preserve"> </w:t>
      </w:r>
      <w:r w:rsidR="00595418">
        <w:fldChar w:fldCharType="begin"/>
      </w:r>
      <w:r w:rsidR="00595418">
        <w:instrText xml:space="preserve"> REF _Ref221531279 \r \h </w:instrText>
      </w:r>
      <w:r w:rsidR="00595418">
        <w:fldChar w:fldCharType="separate"/>
      </w:r>
      <w:r w:rsidR="00785E99">
        <w:t>115</w:t>
      </w:r>
      <w:r w:rsidR="00595418">
        <w:fldChar w:fldCharType="end"/>
      </w:r>
      <w:r w:rsidR="00641073">
        <w:t>),</w:t>
      </w:r>
      <w:r w:rsidR="0048775A">
        <w:t xml:space="preserve"> the Panel</w:t>
      </w:r>
      <w:r w:rsidR="0043143C">
        <w:t xml:space="preserve"> </w:t>
      </w:r>
      <w:r w:rsidR="00DA2949">
        <w:t>advises BNSSG</w:t>
      </w:r>
      <w:r w:rsidR="00DA58B1">
        <w:t xml:space="preserve"> that it should assure itself with regard to this point when reviewing the provider selection process as per the Panel’s advice in Section 7.</w:t>
      </w:r>
    </w:p>
    <w:p w14:paraId="45A5BD7D" w14:textId="273021A8" w:rsidR="00557F44" w:rsidRPr="00601280" w:rsidRDefault="00C4576A" w:rsidP="00AB4174">
      <w:pPr>
        <w:pStyle w:val="Heading2"/>
        <w:spacing w:before="240" w:after="160"/>
      </w:pPr>
      <w:bookmarkStart w:id="57" w:name="_Toc220417399"/>
      <w:r>
        <w:t>8.</w:t>
      </w:r>
      <w:r w:rsidR="00D7199D">
        <w:t>3</w:t>
      </w:r>
      <w:r w:rsidR="00557F44">
        <w:t xml:space="preserve"> </w:t>
      </w:r>
      <w:r w:rsidR="00D7199D">
        <w:t xml:space="preserve">Failure to consider </w:t>
      </w:r>
      <w:r w:rsidR="00557F44">
        <w:t>relevant material</w:t>
      </w:r>
      <w:r w:rsidR="00D7199D">
        <w:t xml:space="preserve"> in </w:t>
      </w:r>
      <w:r w:rsidR="008016C0">
        <w:t xml:space="preserve">the </w:t>
      </w:r>
      <w:r w:rsidR="00D7199D">
        <w:t>evaluation process</w:t>
      </w:r>
      <w:bookmarkEnd w:id="57"/>
    </w:p>
    <w:p w14:paraId="0940BB20" w14:textId="4680B971" w:rsidR="00557F44" w:rsidRDefault="00427688" w:rsidP="00AB4174">
      <w:pPr>
        <w:pStyle w:val="ListParagraph"/>
        <w:spacing w:after="120"/>
        <w:ind w:left="567" w:hanging="567"/>
      </w:pPr>
      <w:r>
        <w:t>BAEMS, i</w:t>
      </w:r>
      <w:r w:rsidR="00557F44">
        <w:t xml:space="preserve">n its representations to </w:t>
      </w:r>
      <w:r w:rsidR="00664EB4">
        <w:t>BNSSG</w:t>
      </w:r>
      <w:r w:rsidR="00557F44">
        <w:t xml:space="preserve">, </w:t>
      </w:r>
      <w:r>
        <w:t xml:space="preserve">raised </w:t>
      </w:r>
      <w:r w:rsidR="00557F44" w:rsidRPr="00610BB7">
        <w:t xml:space="preserve">concerns </w:t>
      </w:r>
      <w:r>
        <w:t xml:space="preserve">that </w:t>
      </w:r>
      <w:r w:rsidR="007F571F">
        <w:t xml:space="preserve">BNSSG failed to consider </w:t>
      </w:r>
      <w:r w:rsidR="00AB3946">
        <w:t>(or excluded)</w:t>
      </w:r>
      <w:r w:rsidR="00557F44" w:rsidRPr="00610BB7">
        <w:t xml:space="preserve"> relevant material in its evaluation of </w:t>
      </w:r>
      <w:r w:rsidR="007F571F">
        <w:t>bidder’s</w:t>
      </w:r>
      <w:r w:rsidR="00557F44" w:rsidRPr="00610BB7">
        <w:t xml:space="preserve"> proposals</w:t>
      </w:r>
      <w:r w:rsidR="00557F44">
        <w:t xml:space="preserve"> </w:t>
      </w:r>
      <w:r w:rsidR="00557F44" w:rsidRPr="00425557">
        <w:t>(see paragraph</w:t>
      </w:r>
      <w:r w:rsidR="006D1CCB">
        <w:t> </w:t>
      </w:r>
      <w:r w:rsidR="00557F44" w:rsidRPr="00425557">
        <w:fldChar w:fldCharType="begin"/>
      </w:r>
      <w:r w:rsidR="00557F44" w:rsidRPr="00425557">
        <w:instrText xml:space="preserve"> REF _Ref216869970 \r \h  \* MERGEFORMAT </w:instrText>
      </w:r>
      <w:r w:rsidR="00557F44" w:rsidRPr="00425557">
        <w:fldChar w:fldCharType="separate"/>
      </w:r>
      <w:r w:rsidR="00785E99">
        <w:t>40</w:t>
      </w:r>
      <w:r w:rsidR="00557F44" w:rsidRPr="00425557">
        <w:fldChar w:fldCharType="end"/>
      </w:r>
      <w:r w:rsidR="00557F44" w:rsidRPr="00425557">
        <w:t>)</w:t>
      </w:r>
      <w:r w:rsidR="00270CB7">
        <w:t>.</w:t>
      </w:r>
      <w:r w:rsidR="007F571F">
        <w:t xml:space="preserve"> </w:t>
      </w:r>
      <w:r w:rsidR="00716334">
        <w:t>In</w:t>
      </w:r>
      <w:r w:rsidR="00557F44">
        <w:t xml:space="preserve"> particular</w:t>
      </w:r>
      <w:r w:rsidR="00716334">
        <w:t>, BAEMS said:</w:t>
      </w:r>
    </w:p>
    <w:p w14:paraId="0F5D6C10" w14:textId="77777777" w:rsidR="002D7C1D" w:rsidRDefault="00557F44" w:rsidP="002D7C1D">
      <w:pPr>
        <w:pStyle w:val="ListParagraph"/>
        <w:numPr>
          <w:ilvl w:val="0"/>
          <w:numId w:val="0"/>
        </w:numPr>
        <w:spacing w:after="120" w:line="259" w:lineRule="auto"/>
        <w:ind w:left="851"/>
        <w:rPr>
          <w:sz w:val="21"/>
          <w:szCs w:val="21"/>
        </w:rPr>
      </w:pPr>
      <w:r w:rsidRPr="0051093E">
        <w:rPr>
          <w:sz w:val="21"/>
          <w:szCs w:val="21"/>
        </w:rPr>
        <w:t>“</w:t>
      </w:r>
      <w:r w:rsidR="00516210" w:rsidRPr="00516210">
        <w:rPr>
          <w:sz w:val="21"/>
          <w:szCs w:val="21"/>
        </w:rPr>
        <w:t xml:space="preserve">a Care Quality Commission ("CQC") report dated 2 June 2023 rated BAEMS </w:t>
      </w:r>
      <w:r w:rsidR="003F4090">
        <w:rPr>
          <w:sz w:val="21"/>
          <w:szCs w:val="21"/>
        </w:rPr>
        <w:t>‘</w:t>
      </w:r>
      <w:r w:rsidR="00516210" w:rsidRPr="00516210">
        <w:rPr>
          <w:sz w:val="21"/>
          <w:szCs w:val="21"/>
        </w:rPr>
        <w:t>Outstanding</w:t>
      </w:r>
      <w:r w:rsidR="003F4090">
        <w:rPr>
          <w:sz w:val="21"/>
          <w:szCs w:val="21"/>
        </w:rPr>
        <w:t>’</w:t>
      </w:r>
      <w:r w:rsidR="00516210" w:rsidRPr="00516210">
        <w:rPr>
          <w:sz w:val="21"/>
          <w:szCs w:val="21"/>
        </w:rPr>
        <w:t xml:space="preserve">. </w:t>
      </w:r>
      <w:r w:rsidR="00516210">
        <w:rPr>
          <w:sz w:val="21"/>
          <w:szCs w:val="21"/>
        </w:rPr>
        <w:t>This was publicly available</w:t>
      </w:r>
      <w:r w:rsidR="003F4090">
        <w:rPr>
          <w:sz w:val="21"/>
          <w:szCs w:val="21"/>
        </w:rPr>
        <w:t xml:space="preserve"> information …</w:t>
      </w:r>
      <w:r w:rsidR="00744E8E">
        <w:rPr>
          <w:sz w:val="21"/>
          <w:szCs w:val="21"/>
        </w:rPr>
        <w:t xml:space="preserve"> </w:t>
      </w:r>
      <w:r w:rsidR="000B442C">
        <w:rPr>
          <w:sz w:val="21"/>
          <w:szCs w:val="21"/>
        </w:rPr>
        <w:t xml:space="preserve">[and] </w:t>
      </w:r>
      <w:r w:rsidR="00153DD6" w:rsidRPr="00153DD6">
        <w:rPr>
          <w:sz w:val="21"/>
          <w:szCs w:val="21"/>
        </w:rPr>
        <w:t>an independent assessment by the industry Regulator.</w:t>
      </w:r>
    </w:p>
    <w:p w14:paraId="221AAAD0" w14:textId="029B14D0" w:rsidR="00153DD6" w:rsidRDefault="002D7C1D" w:rsidP="002D7C1D">
      <w:pPr>
        <w:pStyle w:val="ListParagraph"/>
        <w:numPr>
          <w:ilvl w:val="0"/>
          <w:numId w:val="0"/>
        </w:numPr>
        <w:spacing w:after="120" w:line="259" w:lineRule="auto"/>
        <w:ind w:left="851"/>
        <w:rPr>
          <w:sz w:val="21"/>
          <w:szCs w:val="21"/>
        </w:rPr>
      </w:pPr>
      <w:r>
        <w:rPr>
          <w:sz w:val="21"/>
          <w:szCs w:val="21"/>
        </w:rPr>
        <w:t>“</w:t>
      </w:r>
      <w:r w:rsidR="00153DD6" w:rsidRPr="00153DD6">
        <w:rPr>
          <w:sz w:val="21"/>
          <w:szCs w:val="21"/>
        </w:rPr>
        <w:t xml:space="preserve">In contrast, in all the CQC reports into entities operated by EMED, none of them have ever been rated above </w:t>
      </w:r>
      <w:r w:rsidR="00153DD6">
        <w:rPr>
          <w:sz w:val="21"/>
          <w:szCs w:val="21"/>
        </w:rPr>
        <w:t>‘</w:t>
      </w:r>
      <w:r w:rsidR="00153DD6" w:rsidRPr="00153DD6">
        <w:rPr>
          <w:sz w:val="21"/>
          <w:szCs w:val="21"/>
        </w:rPr>
        <w:t>Good</w:t>
      </w:r>
      <w:r w:rsidR="00153DD6">
        <w:rPr>
          <w:sz w:val="21"/>
          <w:szCs w:val="21"/>
        </w:rPr>
        <w:t>’</w:t>
      </w:r>
      <w:r w:rsidR="00153DD6" w:rsidRPr="00153DD6">
        <w:rPr>
          <w:sz w:val="21"/>
          <w:szCs w:val="21"/>
        </w:rPr>
        <w:t xml:space="preserve"> in any category, and in some categories they have been rated </w:t>
      </w:r>
      <w:r w:rsidR="00153DD6">
        <w:rPr>
          <w:sz w:val="21"/>
          <w:szCs w:val="21"/>
        </w:rPr>
        <w:t>‘</w:t>
      </w:r>
      <w:r w:rsidR="00153DD6" w:rsidRPr="00153DD6">
        <w:rPr>
          <w:sz w:val="21"/>
          <w:szCs w:val="21"/>
        </w:rPr>
        <w:t>Requires improvement</w:t>
      </w:r>
      <w:r w:rsidR="00153DD6">
        <w:rPr>
          <w:sz w:val="21"/>
          <w:szCs w:val="21"/>
        </w:rPr>
        <w:t>’.</w:t>
      </w:r>
    </w:p>
    <w:p w14:paraId="13576FE7" w14:textId="127A33C0" w:rsidR="00557F44" w:rsidRDefault="00CC3DCB" w:rsidP="002D7C1D">
      <w:pPr>
        <w:pStyle w:val="ListParagraph"/>
        <w:numPr>
          <w:ilvl w:val="0"/>
          <w:numId w:val="0"/>
        </w:numPr>
        <w:spacing w:after="120" w:line="259" w:lineRule="auto"/>
        <w:ind w:left="851"/>
        <w:rPr>
          <w:sz w:val="21"/>
          <w:szCs w:val="21"/>
        </w:rPr>
      </w:pPr>
      <w:r>
        <w:rPr>
          <w:sz w:val="21"/>
          <w:szCs w:val="21"/>
        </w:rPr>
        <w:t>“</w:t>
      </w:r>
      <w:r w:rsidR="00557F44" w:rsidRPr="0051093E">
        <w:rPr>
          <w:sz w:val="21"/>
          <w:szCs w:val="21"/>
        </w:rPr>
        <w:t xml:space="preserve">A report of the NHS Somerset ICB Quality Committee dated 25 June 2025 (attached) notes under the section headed </w:t>
      </w:r>
      <w:r w:rsidR="00557F44">
        <w:rPr>
          <w:sz w:val="21"/>
          <w:szCs w:val="21"/>
        </w:rPr>
        <w:t>‘</w:t>
      </w:r>
      <w:r w:rsidR="00557F44" w:rsidRPr="0051093E">
        <w:rPr>
          <w:sz w:val="21"/>
          <w:szCs w:val="21"/>
        </w:rPr>
        <w:t>Items Requiring Escalation to the ICB and/or Other System Boards</w:t>
      </w:r>
      <w:r w:rsidR="00557F44">
        <w:rPr>
          <w:sz w:val="21"/>
          <w:szCs w:val="21"/>
        </w:rPr>
        <w:t>’</w:t>
      </w:r>
      <w:r w:rsidR="00557F44" w:rsidRPr="0051093E">
        <w:rPr>
          <w:sz w:val="21"/>
          <w:szCs w:val="21"/>
        </w:rPr>
        <w:t xml:space="preserve">: </w:t>
      </w:r>
      <w:r w:rsidR="00557F44">
        <w:rPr>
          <w:sz w:val="21"/>
          <w:szCs w:val="21"/>
        </w:rPr>
        <w:t>‘</w:t>
      </w:r>
      <w:r w:rsidR="00557F44" w:rsidRPr="0051093E">
        <w:rPr>
          <w:sz w:val="21"/>
          <w:szCs w:val="21"/>
        </w:rPr>
        <w:t>The Committee noted the update regarding performance and quality concerns raised with Somerset's Non-Emergency Patient Transport provider. A Rapid Quality Review meeting has been held in line with the National Quality Board framework with representations from NHSE and CQC</w:t>
      </w:r>
      <w:r w:rsidR="00557F44">
        <w:rPr>
          <w:sz w:val="21"/>
          <w:szCs w:val="21"/>
        </w:rPr>
        <w:t>’</w:t>
      </w:r>
      <w:r w:rsidR="00557F44" w:rsidRPr="0051093E">
        <w:rPr>
          <w:sz w:val="21"/>
          <w:szCs w:val="21"/>
        </w:rPr>
        <w:t>.</w:t>
      </w:r>
    </w:p>
    <w:p w14:paraId="1C6CAA04" w14:textId="5A1A1062" w:rsidR="00557F44" w:rsidRPr="0051093E" w:rsidRDefault="002D7C1D" w:rsidP="002D7C1D">
      <w:pPr>
        <w:pStyle w:val="ListParagraph"/>
        <w:numPr>
          <w:ilvl w:val="0"/>
          <w:numId w:val="0"/>
        </w:numPr>
        <w:spacing w:line="259" w:lineRule="auto"/>
        <w:ind w:left="851"/>
        <w:rPr>
          <w:sz w:val="21"/>
          <w:szCs w:val="21"/>
        </w:rPr>
      </w:pPr>
      <w:r>
        <w:rPr>
          <w:sz w:val="21"/>
          <w:szCs w:val="21"/>
        </w:rPr>
        <w:t>“</w:t>
      </w:r>
      <w:r w:rsidR="00557F44" w:rsidRPr="0051093E">
        <w:rPr>
          <w:sz w:val="21"/>
          <w:szCs w:val="21"/>
        </w:rPr>
        <w:t>That is a reference to EMED, about whom performance and quality concerns had been escalated to the ICB. The ICB was therefore aware of those performance and quality concerns but had expressly prevented the assessors from taking them into account. The assessors were not permitted to take these obviously relevant matters into account in their assessment (and had they done so would have reached a different conclusion).”</w:t>
      </w:r>
      <w:r w:rsidR="00557F44">
        <w:rPr>
          <w:rStyle w:val="FootnoteReference"/>
          <w:sz w:val="21"/>
          <w:szCs w:val="21"/>
        </w:rPr>
        <w:footnoteReference w:id="59"/>
      </w:r>
    </w:p>
    <w:p w14:paraId="04750147" w14:textId="3D4EC768" w:rsidR="00A74ED4" w:rsidRDefault="00CD4E54" w:rsidP="00AB4174">
      <w:pPr>
        <w:pStyle w:val="ListParagraph"/>
        <w:ind w:left="567" w:hanging="567"/>
      </w:pPr>
      <w:r>
        <w:t xml:space="preserve">The Panel </w:t>
      </w:r>
      <w:r w:rsidR="00A74ED4">
        <w:t>observes that</w:t>
      </w:r>
      <w:r>
        <w:t xml:space="preserve"> </w:t>
      </w:r>
      <w:r w:rsidR="0057197E">
        <w:t xml:space="preserve">BAEMS’ </w:t>
      </w:r>
      <w:r w:rsidR="00A74ED4">
        <w:t xml:space="preserve">suggestion that </w:t>
      </w:r>
      <w:r w:rsidR="008149A5">
        <w:t>“the ICB was therefore aware of those performance and quality concerns but had expressly prevented the assessors from taking them into account”</w:t>
      </w:r>
      <w:r w:rsidR="006E4686">
        <w:t xml:space="preserve"> appears misplaced, given that the </w:t>
      </w:r>
      <w:r w:rsidR="00FF3CDA">
        <w:t xml:space="preserve">report concerning EMED’s performance was an internal Somerset ICB report, and the provider selection process was carried out by BNSSG. </w:t>
      </w:r>
      <w:r w:rsidR="007627EF">
        <w:t>BNSSG told the Panel that it was not aware of this report prior to BAEMS’ representations, and t</w:t>
      </w:r>
      <w:r w:rsidR="00E17025">
        <w:t xml:space="preserve">he Panel’s view is that there is no reason to expect an ICB to be aware of </w:t>
      </w:r>
      <w:r w:rsidR="00F340FF">
        <w:t xml:space="preserve">another ICB’s </w:t>
      </w:r>
      <w:r w:rsidR="00E17025">
        <w:t>internal reports.</w:t>
      </w:r>
      <w:r w:rsidR="00600000">
        <w:rPr>
          <w:rStyle w:val="FootnoteReference"/>
        </w:rPr>
        <w:footnoteReference w:id="60"/>
      </w:r>
    </w:p>
    <w:p w14:paraId="336A40D5" w14:textId="0BB4E28E" w:rsidR="00557F44" w:rsidRDefault="009618E3" w:rsidP="00AB4174">
      <w:pPr>
        <w:pStyle w:val="ListParagraph"/>
        <w:spacing w:after="120"/>
        <w:ind w:left="567" w:hanging="567"/>
      </w:pPr>
      <w:r>
        <w:t>In terms of whether</w:t>
      </w:r>
      <w:r w:rsidR="00387695">
        <w:t xml:space="preserve"> </w:t>
      </w:r>
      <w:r w:rsidR="008B10D1">
        <w:t xml:space="preserve">BNSSG </w:t>
      </w:r>
      <w:r>
        <w:t>might</w:t>
      </w:r>
      <w:r w:rsidR="008B10D1">
        <w:t xml:space="preserve"> have taken</w:t>
      </w:r>
      <w:r w:rsidR="00C720B5">
        <w:t xml:space="preserve"> </w:t>
      </w:r>
      <w:r>
        <w:t>th</w:t>
      </w:r>
      <w:r w:rsidR="00AD1267">
        <w:t>e Somerset ICB</w:t>
      </w:r>
      <w:r>
        <w:t xml:space="preserve"> report</w:t>
      </w:r>
      <w:r w:rsidR="004129F9">
        <w:t xml:space="preserve"> into account</w:t>
      </w:r>
      <w:r>
        <w:t>,</w:t>
      </w:r>
      <w:r w:rsidR="00CA2D88">
        <w:t xml:space="preserve"> had </w:t>
      </w:r>
      <w:r>
        <w:t xml:space="preserve">it </w:t>
      </w:r>
      <w:r w:rsidR="00CA2D88">
        <w:t xml:space="preserve">been </w:t>
      </w:r>
      <w:r>
        <w:t>aware of it, t</w:t>
      </w:r>
      <w:r w:rsidR="00FE5782">
        <w:t>he Panel notes that t</w:t>
      </w:r>
      <w:r w:rsidR="00FE5782" w:rsidRPr="00785F68">
        <w:t>he PSR statutory guidance</w:t>
      </w:r>
      <w:r w:rsidR="00FE5782">
        <w:t xml:space="preserve"> </w:t>
      </w:r>
      <w:r>
        <w:t>says</w:t>
      </w:r>
      <w:r w:rsidR="00FE5782" w:rsidRPr="00785F68">
        <w:t xml:space="preserve"> that “When following the competitive process, relevant authorities must only use the information given in the bid to assess the bid”</w:t>
      </w:r>
      <w:r w:rsidR="00FE5782">
        <w:t>.</w:t>
      </w:r>
      <w:r w:rsidR="00FE5782">
        <w:rPr>
          <w:rStyle w:val="FootnoteReference"/>
        </w:rPr>
        <w:footnoteReference w:id="61"/>
      </w:r>
      <w:r w:rsidR="00FE5782">
        <w:t xml:space="preserve"> </w:t>
      </w:r>
      <w:r w:rsidR="004F3226">
        <w:t xml:space="preserve">The Panel also notes that </w:t>
      </w:r>
      <w:r w:rsidR="00664EB4">
        <w:t>BNSSG</w:t>
      </w:r>
      <w:r w:rsidR="00557F44" w:rsidRPr="00B5325F">
        <w:t>’s tender document stated that “No prior information or knowledge of bidders will be used, unless the information provided by a bidder is known to be false or inaccurate".</w:t>
      </w:r>
      <w:r w:rsidR="00557F44" w:rsidRPr="00B5325F">
        <w:rPr>
          <w:rStyle w:val="FootnoteReference"/>
        </w:rPr>
        <w:footnoteReference w:id="62"/>
      </w:r>
    </w:p>
    <w:p w14:paraId="24D15208" w14:textId="06998331" w:rsidR="00166870" w:rsidRDefault="00406AC0" w:rsidP="00AB4174">
      <w:pPr>
        <w:pStyle w:val="ListParagraph"/>
        <w:ind w:left="567" w:hanging="567"/>
      </w:pPr>
      <w:r>
        <w:lastRenderedPageBreak/>
        <w:t xml:space="preserve">For completeness, the Panel </w:t>
      </w:r>
      <w:r w:rsidR="004F3226">
        <w:t xml:space="preserve">reviewed </w:t>
      </w:r>
      <w:r w:rsidR="00664EB4">
        <w:t>BNSSG</w:t>
      </w:r>
      <w:r w:rsidR="00462860">
        <w:t xml:space="preserve">’s basic selection </w:t>
      </w:r>
      <w:r w:rsidR="009C7B26">
        <w:t xml:space="preserve">criteria </w:t>
      </w:r>
      <w:r w:rsidR="00462860">
        <w:t xml:space="preserve">questionnaire </w:t>
      </w:r>
      <w:r w:rsidR="004F3226">
        <w:t xml:space="preserve">which </w:t>
      </w:r>
      <w:r w:rsidR="00030323">
        <w:t>require</w:t>
      </w:r>
      <w:r w:rsidR="003B1AF9">
        <w:t xml:space="preserve">d </w:t>
      </w:r>
      <w:r w:rsidR="00030323">
        <w:t xml:space="preserve">bidders to declare </w:t>
      </w:r>
      <w:r w:rsidR="00736B0E">
        <w:t>whether any of the discretionary grounds for exclusion applied to</w:t>
      </w:r>
      <w:r w:rsidR="008F7C22">
        <w:t xml:space="preserve"> them, including </w:t>
      </w:r>
      <w:r w:rsidR="00AD20CD">
        <w:t>prior performance issues</w:t>
      </w:r>
      <w:r w:rsidR="000473E6">
        <w:t xml:space="preserve"> </w:t>
      </w:r>
      <w:r w:rsidR="00945ACE">
        <w:t>in the past three years</w:t>
      </w:r>
      <w:r w:rsidR="003D67E2">
        <w:t>.</w:t>
      </w:r>
      <w:r w:rsidR="008F7C22">
        <w:t xml:space="preserve"> </w:t>
      </w:r>
      <w:r w:rsidR="00664EB4">
        <w:t>BNSSG</w:t>
      </w:r>
      <w:r w:rsidR="00D116B6">
        <w:t xml:space="preserve"> told the Panel that </w:t>
      </w:r>
      <w:r w:rsidR="00F61A77">
        <w:t>EMED,</w:t>
      </w:r>
      <w:r w:rsidR="00D116B6">
        <w:t xml:space="preserve"> </w:t>
      </w:r>
      <w:r w:rsidR="009161F7">
        <w:t>in its bid submission, confirmed that none of the discretionary grounds for exclusion applied, and “the ICB had no reason to question the veracity of that statement”.</w:t>
      </w:r>
      <w:r w:rsidR="00D116B6">
        <w:rPr>
          <w:rStyle w:val="FootnoteReference"/>
        </w:rPr>
        <w:footnoteReference w:id="63"/>
      </w:r>
    </w:p>
    <w:p w14:paraId="6B8401A3" w14:textId="119DC681" w:rsidR="00A36A08" w:rsidRDefault="006B3F79" w:rsidP="00AB4174">
      <w:pPr>
        <w:pStyle w:val="ListParagraph"/>
        <w:ind w:left="567" w:hanging="567"/>
      </w:pPr>
      <w:r>
        <w:t>The Panel</w:t>
      </w:r>
      <w:r w:rsidR="002421A4">
        <w:t xml:space="preserve">’s view is that </w:t>
      </w:r>
      <w:r w:rsidR="00664EB4">
        <w:t>BNSSG</w:t>
      </w:r>
      <w:r w:rsidR="007B7102">
        <w:t xml:space="preserve"> </w:t>
      </w:r>
      <w:r w:rsidR="007630B2">
        <w:t>applied its basic selection criteria appropriately</w:t>
      </w:r>
      <w:r w:rsidR="00D77852">
        <w:t xml:space="preserve">, </w:t>
      </w:r>
      <w:r w:rsidR="007E1B91">
        <w:t xml:space="preserve">as </w:t>
      </w:r>
      <w:r w:rsidR="0014396B">
        <w:t xml:space="preserve">commissioners would </w:t>
      </w:r>
      <w:r w:rsidR="00CA2579">
        <w:t xml:space="preserve">only </w:t>
      </w:r>
      <w:r w:rsidR="0014396B">
        <w:t xml:space="preserve">be expected to challenge a bidder’s response where it was aware or suspected that the information provided was false or inaccurate. </w:t>
      </w:r>
      <w:r w:rsidR="00990376">
        <w:t xml:space="preserve">The Panel is also of the view that </w:t>
      </w:r>
      <w:r w:rsidR="00664EB4">
        <w:t>BNSSG</w:t>
      </w:r>
      <w:r w:rsidR="007B7102">
        <w:t xml:space="preserve"> </w:t>
      </w:r>
      <w:r w:rsidR="00C90EFD">
        <w:t xml:space="preserve">acted </w:t>
      </w:r>
      <w:r w:rsidR="007D29D1">
        <w:t xml:space="preserve">in accordance with </w:t>
      </w:r>
      <w:r w:rsidR="00281A11">
        <w:t xml:space="preserve">the </w:t>
      </w:r>
      <w:r w:rsidR="00CB51BE">
        <w:t>PSR statutory guidance</w:t>
      </w:r>
      <w:r w:rsidR="00C37D36">
        <w:t>, by</w:t>
      </w:r>
      <w:r w:rsidR="00C90EFD">
        <w:t xml:space="preserve"> not </w:t>
      </w:r>
      <w:r w:rsidR="006431A3">
        <w:t>taking into account</w:t>
      </w:r>
      <w:r w:rsidR="00C65A99">
        <w:t xml:space="preserve"> information that was </w:t>
      </w:r>
      <w:r w:rsidR="00C37D36">
        <w:t>not included in</w:t>
      </w:r>
      <w:r w:rsidR="00C65A99">
        <w:t xml:space="preserve"> </w:t>
      </w:r>
      <w:r w:rsidR="00990376">
        <w:t>EMED’s</w:t>
      </w:r>
      <w:r w:rsidR="00C65A99">
        <w:t xml:space="preserve"> proposal</w:t>
      </w:r>
      <w:r w:rsidR="00D3768A">
        <w:t xml:space="preserve"> in its evaluation of </w:t>
      </w:r>
      <w:r w:rsidR="00CC7005">
        <w:t>EMED’s</w:t>
      </w:r>
      <w:r w:rsidR="00D3768A">
        <w:t xml:space="preserve"> proposal.</w:t>
      </w:r>
      <w:r w:rsidR="004C43E2">
        <w:t xml:space="preserve"> </w:t>
      </w:r>
    </w:p>
    <w:sectPr w:rsidR="00A36A08" w:rsidSect="00545C94">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7860" w14:textId="77777777" w:rsidR="00A34EB1" w:rsidRDefault="00A34EB1" w:rsidP="009640E5">
      <w:pPr>
        <w:spacing w:after="0" w:line="240" w:lineRule="auto"/>
      </w:pPr>
      <w:r>
        <w:separator/>
      </w:r>
    </w:p>
  </w:endnote>
  <w:endnote w:type="continuationSeparator" w:id="0">
    <w:p w14:paraId="29E2F879" w14:textId="77777777" w:rsidR="00A34EB1" w:rsidRDefault="00A34EB1" w:rsidP="0096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35765"/>
      <w:docPartObj>
        <w:docPartGallery w:val="Page Numbers (Bottom of Page)"/>
        <w:docPartUnique/>
      </w:docPartObj>
    </w:sdtPr>
    <w:sdtEndPr>
      <w:rPr>
        <w:sz w:val="20"/>
        <w:szCs w:val="20"/>
      </w:rPr>
    </w:sdtEndPr>
    <w:sdtContent>
      <w:p w14:paraId="72313564" w14:textId="3C8A5B87" w:rsidR="00545C94" w:rsidRPr="00294B81" w:rsidRDefault="00545C94">
        <w:pPr>
          <w:pStyle w:val="Footer"/>
          <w:jc w:val="right"/>
          <w:rPr>
            <w:sz w:val="20"/>
            <w:szCs w:val="20"/>
          </w:rPr>
        </w:pPr>
        <w:r w:rsidRPr="00294B81">
          <w:rPr>
            <w:sz w:val="20"/>
            <w:szCs w:val="20"/>
          </w:rPr>
          <w:fldChar w:fldCharType="begin"/>
        </w:r>
        <w:r w:rsidRPr="00294B81">
          <w:rPr>
            <w:sz w:val="20"/>
            <w:szCs w:val="20"/>
          </w:rPr>
          <w:instrText xml:space="preserve"> PAGE   \* MERGEFORMAT </w:instrText>
        </w:r>
        <w:r w:rsidRPr="00294B81">
          <w:rPr>
            <w:sz w:val="20"/>
            <w:szCs w:val="20"/>
          </w:rPr>
          <w:fldChar w:fldCharType="separate"/>
        </w:r>
        <w:r w:rsidRPr="00294B81">
          <w:rPr>
            <w:sz w:val="20"/>
            <w:szCs w:val="20"/>
          </w:rPr>
          <w:t>2</w:t>
        </w:r>
        <w:r w:rsidRPr="00294B81">
          <w:rPr>
            <w:sz w:val="20"/>
            <w:szCs w:val="20"/>
          </w:rPr>
          <w:fldChar w:fldCharType="end"/>
        </w:r>
      </w:p>
    </w:sdtContent>
  </w:sdt>
  <w:p w14:paraId="6FAB5EF0" w14:textId="77777777" w:rsidR="001F0560" w:rsidRDefault="001F0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B159" w14:textId="77777777" w:rsidR="00A34EB1" w:rsidRDefault="00A34EB1" w:rsidP="009640E5">
      <w:pPr>
        <w:spacing w:after="0" w:line="240" w:lineRule="auto"/>
      </w:pPr>
      <w:r>
        <w:separator/>
      </w:r>
    </w:p>
  </w:footnote>
  <w:footnote w:type="continuationSeparator" w:id="0">
    <w:p w14:paraId="064DE01C" w14:textId="77777777" w:rsidR="00A34EB1" w:rsidRDefault="00A34EB1" w:rsidP="009640E5">
      <w:pPr>
        <w:spacing w:after="0" w:line="240" w:lineRule="auto"/>
      </w:pPr>
      <w:r>
        <w:continuationSeparator/>
      </w:r>
    </w:p>
  </w:footnote>
  <w:footnote w:id="1">
    <w:p w14:paraId="233376A6" w14:textId="5A32F795" w:rsidR="00DD606D" w:rsidRPr="00DD606D" w:rsidRDefault="00DD606D">
      <w:pPr>
        <w:pStyle w:val="FootnoteText"/>
        <w:rPr>
          <w:sz w:val="16"/>
          <w:szCs w:val="16"/>
        </w:rPr>
      </w:pPr>
      <w:r w:rsidRPr="00DD606D">
        <w:rPr>
          <w:rStyle w:val="FootnoteReference"/>
          <w:sz w:val="16"/>
          <w:szCs w:val="16"/>
        </w:rPr>
        <w:footnoteRef/>
      </w:r>
      <w:r w:rsidRPr="00DD606D">
        <w:rPr>
          <w:sz w:val="16"/>
          <w:szCs w:val="16"/>
        </w:rPr>
        <w:t xml:space="preserve"> </w:t>
      </w:r>
      <w:r w:rsidRPr="00DD606D">
        <w:rPr>
          <w:sz w:val="16"/>
          <w:szCs w:val="16"/>
        </w:rPr>
        <w:t>This report assesses the procurement process and approach followed by BNSSG, including in response to the allegations made in Bidder A's letter. The Panel does not conclude or make any findings on whether the allegations made by any of the parties are factually correct. The Panel notes that the allegations made in Bidder A's letter did not include any suggestion that EMED had sought to unduly influence any decisions made by BNSSG</w:t>
      </w:r>
      <w:r w:rsidR="00182CBC">
        <w:rPr>
          <w:sz w:val="16"/>
          <w:szCs w:val="16"/>
        </w:rPr>
        <w:t>.</w:t>
      </w:r>
    </w:p>
  </w:footnote>
  <w:footnote w:id="2">
    <w:p w14:paraId="4B0628B1" w14:textId="69F864DA" w:rsidR="007A2659" w:rsidRPr="0058228E" w:rsidRDefault="007A2659">
      <w:pPr>
        <w:pStyle w:val="FootnoteText"/>
        <w:rPr>
          <w:sz w:val="16"/>
          <w:szCs w:val="16"/>
        </w:rPr>
      </w:pPr>
      <w:r w:rsidRPr="0058228E">
        <w:rPr>
          <w:rStyle w:val="FootnoteReference"/>
          <w:sz w:val="16"/>
          <w:szCs w:val="16"/>
        </w:rPr>
        <w:footnoteRef/>
      </w:r>
      <w:r w:rsidRPr="0058228E">
        <w:rPr>
          <w:sz w:val="16"/>
          <w:szCs w:val="16"/>
        </w:rPr>
        <w:t xml:space="preserve"> </w:t>
      </w:r>
      <w:r w:rsidR="00451257" w:rsidRPr="0058228E">
        <w:rPr>
          <w:sz w:val="16"/>
          <w:szCs w:val="16"/>
        </w:rPr>
        <w:t>HTG</w:t>
      </w:r>
      <w:r w:rsidRPr="0058228E">
        <w:rPr>
          <w:sz w:val="16"/>
          <w:szCs w:val="16"/>
        </w:rPr>
        <w:t xml:space="preserve"> is </w:t>
      </w:r>
      <w:r w:rsidR="00C0719B" w:rsidRPr="0058228E">
        <w:rPr>
          <w:sz w:val="16"/>
          <w:szCs w:val="16"/>
        </w:rPr>
        <w:t>a provider</w:t>
      </w:r>
      <w:r w:rsidR="0016032C" w:rsidRPr="0058228E">
        <w:rPr>
          <w:sz w:val="16"/>
          <w:szCs w:val="16"/>
        </w:rPr>
        <w:t xml:space="preserve"> of</w:t>
      </w:r>
      <w:r w:rsidR="004F2B9B" w:rsidRPr="0058228E">
        <w:rPr>
          <w:sz w:val="16"/>
          <w:szCs w:val="16"/>
        </w:rPr>
        <w:t xml:space="preserve"> specialist </w:t>
      </w:r>
      <w:r w:rsidR="006D261C" w:rsidRPr="0058228E">
        <w:rPr>
          <w:sz w:val="16"/>
          <w:szCs w:val="16"/>
        </w:rPr>
        <w:t xml:space="preserve">healthcare </w:t>
      </w:r>
      <w:r w:rsidR="008E59A4" w:rsidRPr="0058228E">
        <w:rPr>
          <w:sz w:val="16"/>
          <w:szCs w:val="16"/>
        </w:rPr>
        <w:t>transport services</w:t>
      </w:r>
      <w:r w:rsidRPr="0058228E">
        <w:rPr>
          <w:sz w:val="16"/>
          <w:szCs w:val="16"/>
        </w:rPr>
        <w:t xml:space="preserve">. Further information </w:t>
      </w:r>
      <w:r w:rsidR="007777DB">
        <w:rPr>
          <w:sz w:val="16"/>
          <w:szCs w:val="16"/>
        </w:rPr>
        <w:t xml:space="preserve">about HTG </w:t>
      </w:r>
      <w:r w:rsidRPr="0058228E">
        <w:rPr>
          <w:sz w:val="16"/>
          <w:szCs w:val="16"/>
        </w:rPr>
        <w:t xml:space="preserve">can be found on its website at </w:t>
      </w:r>
      <w:hyperlink r:id="rId1" w:history="1">
        <w:r w:rsidR="00B80445" w:rsidRPr="00AF3959">
          <w:rPr>
            <w:rStyle w:val="Hyperlink"/>
            <w:sz w:val="16"/>
            <w:szCs w:val="16"/>
          </w:rPr>
          <w:t>https://www.htg-uk.com/</w:t>
        </w:r>
      </w:hyperlink>
      <w:r w:rsidR="00B80445">
        <w:rPr>
          <w:sz w:val="16"/>
          <w:szCs w:val="16"/>
        </w:rPr>
        <w:t xml:space="preserve">. </w:t>
      </w:r>
    </w:p>
  </w:footnote>
  <w:footnote w:id="3">
    <w:p w14:paraId="68D729F1" w14:textId="7B9251B4" w:rsidR="00BB51EC" w:rsidRPr="0057408B" w:rsidRDefault="00BB51EC">
      <w:pPr>
        <w:pStyle w:val="FootnoteText"/>
        <w:rPr>
          <w:sz w:val="16"/>
          <w:szCs w:val="16"/>
        </w:rPr>
      </w:pPr>
      <w:r w:rsidRPr="0057408B">
        <w:rPr>
          <w:rStyle w:val="FootnoteReference"/>
          <w:sz w:val="16"/>
          <w:szCs w:val="16"/>
        </w:rPr>
        <w:footnoteRef/>
      </w:r>
      <w:r w:rsidRPr="0057408B">
        <w:rPr>
          <w:sz w:val="16"/>
          <w:szCs w:val="16"/>
        </w:rPr>
        <w:t xml:space="preserve"> BNSSG is the statutory body responsible for planning health services for Bristol, North Somerset and South Gloucestershire and managing the budget for these services. Further information </w:t>
      </w:r>
      <w:r w:rsidR="00A471D0">
        <w:rPr>
          <w:sz w:val="16"/>
          <w:szCs w:val="16"/>
        </w:rPr>
        <w:t>about BNSSG</w:t>
      </w:r>
      <w:r w:rsidRPr="0057408B">
        <w:rPr>
          <w:sz w:val="16"/>
          <w:szCs w:val="16"/>
        </w:rPr>
        <w:t xml:space="preserve"> can be found on its website at </w:t>
      </w:r>
      <w:hyperlink r:id="rId2" w:history="1">
        <w:r w:rsidRPr="0057408B">
          <w:rPr>
            <w:rStyle w:val="Hyperlink"/>
            <w:sz w:val="16"/>
            <w:szCs w:val="16"/>
          </w:rPr>
          <w:t>https://bnssg.icb.nhs.uk/</w:t>
        </w:r>
      </w:hyperlink>
      <w:r w:rsidR="00B80445" w:rsidRPr="0057408B">
        <w:rPr>
          <w:sz w:val="16"/>
          <w:szCs w:val="16"/>
        </w:rPr>
        <w:t xml:space="preserve">. </w:t>
      </w:r>
    </w:p>
  </w:footnote>
  <w:footnote w:id="4">
    <w:p w14:paraId="65B920AF" w14:textId="783BE3A7" w:rsidR="00451257" w:rsidRPr="0058228E" w:rsidRDefault="00451257">
      <w:pPr>
        <w:pStyle w:val="FootnoteText"/>
        <w:rPr>
          <w:sz w:val="16"/>
          <w:szCs w:val="16"/>
        </w:rPr>
      </w:pPr>
      <w:r w:rsidRPr="0058228E">
        <w:rPr>
          <w:rStyle w:val="FootnoteReference"/>
          <w:sz w:val="16"/>
          <w:szCs w:val="16"/>
        </w:rPr>
        <w:footnoteRef/>
      </w:r>
      <w:r w:rsidRPr="0058228E">
        <w:rPr>
          <w:sz w:val="16"/>
          <w:szCs w:val="16"/>
        </w:rPr>
        <w:t xml:space="preserve"> BAEMS is </w:t>
      </w:r>
      <w:r w:rsidR="002456D5" w:rsidRPr="0058228E">
        <w:rPr>
          <w:sz w:val="16"/>
          <w:szCs w:val="16"/>
        </w:rPr>
        <w:t>a provider of</w:t>
      </w:r>
      <w:r w:rsidRPr="0058228E">
        <w:rPr>
          <w:sz w:val="16"/>
          <w:szCs w:val="16"/>
        </w:rPr>
        <w:t xml:space="preserve"> </w:t>
      </w:r>
      <w:r w:rsidR="00873B97" w:rsidRPr="0058228E">
        <w:rPr>
          <w:sz w:val="16"/>
          <w:szCs w:val="16"/>
        </w:rPr>
        <w:t xml:space="preserve">emergency </w:t>
      </w:r>
      <w:r w:rsidR="00740004" w:rsidRPr="0058228E">
        <w:rPr>
          <w:sz w:val="16"/>
          <w:szCs w:val="16"/>
        </w:rPr>
        <w:t xml:space="preserve">and routine </w:t>
      </w:r>
      <w:r w:rsidR="00C56DDC" w:rsidRPr="0058228E">
        <w:rPr>
          <w:sz w:val="16"/>
          <w:szCs w:val="16"/>
        </w:rPr>
        <w:t xml:space="preserve">medical </w:t>
      </w:r>
      <w:r w:rsidR="001F7153" w:rsidRPr="0058228E">
        <w:rPr>
          <w:sz w:val="16"/>
          <w:szCs w:val="16"/>
        </w:rPr>
        <w:t>ambulance services</w:t>
      </w:r>
      <w:r w:rsidR="005C7FBD" w:rsidRPr="0058228E">
        <w:rPr>
          <w:sz w:val="16"/>
          <w:szCs w:val="16"/>
        </w:rPr>
        <w:t>.</w:t>
      </w:r>
      <w:r w:rsidRPr="0058228E">
        <w:rPr>
          <w:sz w:val="16"/>
          <w:szCs w:val="16"/>
        </w:rPr>
        <w:t xml:space="preserve"> Further information </w:t>
      </w:r>
      <w:r w:rsidR="00A471D0">
        <w:rPr>
          <w:sz w:val="16"/>
          <w:szCs w:val="16"/>
        </w:rPr>
        <w:t xml:space="preserve">about BAEMS </w:t>
      </w:r>
      <w:r w:rsidRPr="0058228E">
        <w:rPr>
          <w:sz w:val="16"/>
          <w:szCs w:val="16"/>
        </w:rPr>
        <w:t>can be found on its website at</w:t>
      </w:r>
      <w:r w:rsidR="002456D5" w:rsidRPr="0058228E">
        <w:rPr>
          <w:sz w:val="16"/>
          <w:szCs w:val="16"/>
        </w:rPr>
        <w:t xml:space="preserve"> https://bristolambulance.co.uk/</w:t>
      </w:r>
    </w:p>
  </w:footnote>
  <w:footnote w:id="5">
    <w:p w14:paraId="34E0E446" w14:textId="3DAED22C" w:rsidR="00D552EE" w:rsidRPr="0058228E" w:rsidRDefault="00D552EE">
      <w:pPr>
        <w:pStyle w:val="FootnoteText"/>
        <w:rPr>
          <w:sz w:val="16"/>
          <w:szCs w:val="16"/>
        </w:rPr>
      </w:pPr>
      <w:r w:rsidRPr="0058228E">
        <w:rPr>
          <w:rStyle w:val="FootnoteReference"/>
          <w:sz w:val="16"/>
          <w:szCs w:val="16"/>
        </w:rPr>
        <w:footnoteRef/>
      </w:r>
      <w:r w:rsidRPr="0058228E">
        <w:rPr>
          <w:sz w:val="16"/>
          <w:szCs w:val="16"/>
        </w:rPr>
        <w:t xml:space="preserve"> The Panel’s case acceptance criteria are available at </w:t>
      </w:r>
      <w:hyperlink r:id="rId3" w:history="1">
        <w:r w:rsidRPr="0058228E">
          <w:rPr>
            <w:rStyle w:val="Hyperlink"/>
            <w:rFonts w:cs="Arial"/>
            <w:sz w:val="16"/>
            <w:szCs w:val="16"/>
          </w:rPr>
          <w:t>https://www.england.nhs.uk/commissioning/how-commissioning-is-changing/nhs-provider-selection-regime/independent-patient-choice-and-procurement-panel/</w:t>
        </w:r>
      </w:hyperlink>
      <w:r w:rsidRPr="0058228E">
        <w:rPr>
          <w:sz w:val="16"/>
          <w:szCs w:val="16"/>
        </w:rPr>
        <w:t>.</w:t>
      </w:r>
    </w:p>
  </w:footnote>
  <w:footnote w:id="6">
    <w:p w14:paraId="3E3A5621" w14:textId="17EC9CEF" w:rsidR="009640E5" w:rsidRPr="00A37FA3" w:rsidRDefault="009640E5">
      <w:pPr>
        <w:pStyle w:val="FootnoteText"/>
        <w:rPr>
          <w:sz w:val="16"/>
          <w:szCs w:val="16"/>
        </w:rPr>
      </w:pPr>
      <w:r w:rsidRPr="00A37FA3">
        <w:rPr>
          <w:rStyle w:val="FootnoteReference"/>
          <w:sz w:val="16"/>
          <w:szCs w:val="16"/>
        </w:rPr>
        <w:footnoteRef/>
      </w:r>
      <w:r w:rsidRPr="00A37FA3">
        <w:rPr>
          <w:sz w:val="16"/>
          <w:szCs w:val="16"/>
        </w:rPr>
        <w:t xml:space="preserve"> Biographies of Panel members are available at </w:t>
      </w:r>
      <w:hyperlink r:id="rId4" w:history="1">
        <w:r w:rsidRPr="00A37FA3">
          <w:rPr>
            <w:rStyle w:val="Hyperlink"/>
            <w:rFonts w:cs="Arial"/>
            <w:sz w:val="16"/>
            <w:szCs w:val="16"/>
          </w:rPr>
          <w:t>https://www.england.nhs.uk/commissioning/how-commissioning-is-changing/nhs-provider-selection-regime/independent-patient-choice-and-procurement-panel/panel-members/</w:t>
        </w:r>
      </w:hyperlink>
      <w:r w:rsidRPr="00A37FA3">
        <w:rPr>
          <w:rFonts w:cs="Arial"/>
          <w:sz w:val="16"/>
          <w:szCs w:val="16"/>
        </w:rPr>
        <w:t>.</w:t>
      </w:r>
    </w:p>
  </w:footnote>
  <w:footnote w:id="7">
    <w:p w14:paraId="6E309A28" w14:textId="3069E4ED" w:rsidR="00250A56" w:rsidRPr="00A37FA3" w:rsidRDefault="00250A56">
      <w:pPr>
        <w:pStyle w:val="FootnoteText"/>
        <w:rPr>
          <w:sz w:val="16"/>
          <w:szCs w:val="16"/>
        </w:rPr>
      </w:pPr>
      <w:r w:rsidRPr="00A37FA3">
        <w:rPr>
          <w:rStyle w:val="FootnoteReference"/>
          <w:sz w:val="16"/>
          <w:szCs w:val="16"/>
        </w:rPr>
        <w:footnoteRef/>
      </w:r>
      <w:r w:rsidRPr="00A37FA3">
        <w:rPr>
          <w:sz w:val="16"/>
          <w:szCs w:val="16"/>
        </w:rPr>
        <w:t xml:space="preserve"> The Panel’s Standard Operating Procedures are available at </w:t>
      </w:r>
      <w:hyperlink r:id="rId5" w:history="1">
        <w:r w:rsidRPr="00A37FA3">
          <w:rPr>
            <w:rStyle w:val="Hyperlink"/>
            <w:rFonts w:cs="Arial"/>
            <w:sz w:val="16"/>
            <w:szCs w:val="16"/>
          </w:rPr>
          <w:t>https://www.england.nhs.uk/commissioning/how-commissioning-is-changing/nhs-provider-selection-regime/independent-patient-choice-and-procurement-panel/</w:t>
        </w:r>
      </w:hyperlink>
      <w:r w:rsidRPr="00A37FA3">
        <w:rPr>
          <w:rFonts w:cs="Arial"/>
          <w:sz w:val="16"/>
          <w:szCs w:val="16"/>
        </w:rPr>
        <w:t>.</w:t>
      </w:r>
    </w:p>
  </w:footnote>
  <w:footnote w:id="8">
    <w:p w14:paraId="25DEA76F" w14:textId="2B9B1842" w:rsidR="006D226F" w:rsidRPr="00A37FA3" w:rsidRDefault="006D226F">
      <w:pPr>
        <w:pStyle w:val="FootnoteText"/>
        <w:rPr>
          <w:sz w:val="16"/>
          <w:szCs w:val="16"/>
        </w:rPr>
      </w:pPr>
      <w:r w:rsidRPr="00A37FA3">
        <w:rPr>
          <w:rStyle w:val="FootnoteReference"/>
          <w:sz w:val="16"/>
          <w:szCs w:val="16"/>
        </w:rPr>
        <w:footnoteRef/>
      </w:r>
      <w:r w:rsidRPr="00A37FA3">
        <w:rPr>
          <w:sz w:val="16"/>
          <w:szCs w:val="16"/>
        </w:rPr>
        <w:t xml:space="preserve"> The Panel’s advice is provided under paragraph 23 of the PSR Regulations and takes account of the representations made to the Panel prior to forming its opinion.</w:t>
      </w:r>
    </w:p>
  </w:footnote>
  <w:footnote w:id="9">
    <w:p w14:paraId="75AE157E" w14:textId="67649178" w:rsidR="006C643B" w:rsidRPr="006C643B" w:rsidRDefault="006C643B">
      <w:pPr>
        <w:pStyle w:val="FootnoteText"/>
        <w:rPr>
          <w:sz w:val="16"/>
          <w:szCs w:val="16"/>
        </w:rPr>
      </w:pPr>
      <w:r w:rsidRPr="006C643B">
        <w:rPr>
          <w:rStyle w:val="FootnoteReference"/>
          <w:sz w:val="16"/>
          <w:szCs w:val="16"/>
        </w:rPr>
        <w:footnoteRef/>
      </w:r>
      <w:r w:rsidRPr="006C643B">
        <w:rPr>
          <w:sz w:val="16"/>
          <w:szCs w:val="16"/>
        </w:rPr>
        <w:t xml:space="preserve"> The PSR regulations</w:t>
      </w:r>
      <w:r w:rsidR="000255A0">
        <w:rPr>
          <w:sz w:val="16"/>
          <w:szCs w:val="16"/>
        </w:rPr>
        <w:t>, issued under the Health and Care Act 2022, are formally known as</w:t>
      </w:r>
      <w:r w:rsidRPr="006C643B">
        <w:rPr>
          <w:sz w:val="16"/>
          <w:szCs w:val="16"/>
        </w:rPr>
        <w:t xml:space="preserve"> the Health Care Services (Provider Selection Regime) Regulations 2023.</w:t>
      </w:r>
    </w:p>
  </w:footnote>
  <w:footnote w:id="10">
    <w:p w14:paraId="35E6C093" w14:textId="77777777" w:rsidR="004E02B5" w:rsidRPr="00A37FA3" w:rsidRDefault="004E02B5" w:rsidP="004E02B5">
      <w:pPr>
        <w:pStyle w:val="FootnoteText"/>
        <w:rPr>
          <w:sz w:val="16"/>
          <w:szCs w:val="16"/>
        </w:rPr>
      </w:pPr>
      <w:r w:rsidRPr="00A37FA3">
        <w:rPr>
          <w:rStyle w:val="FootnoteReference"/>
          <w:sz w:val="16"/>
          <w:szCs w:val="16"/>
        </w:rPr>
        <w:footnoteRef/>
      </w:r>
      <w:r w:rsidRPr="00A37FA3">
        <w:rPr>
          <w:sz w:val="16"/>
          <w:szCs w:val="16"/>
        </w:rPr>
        <w:t xml:space="preserve"> The PSR Regulations are available at </w:t>
      </w:r>
      <w:hyperlink r:id="rId6" w:history="1">
        <w:r w:rsidRPr="00A37FA3">
          <w:rPr>
            <w:rStyle w:val="Hyperlink"/>
            <w:rFonts w:cs="Arial"/>
            <w:sz w:val="16"/>
            <w:szCs w:val="16"/>
          </w:rPr>
          <w:t>https://www.legislation.gov.uk/uksi/2023/1348/contents/made</w:t>
        </w:r>
      </w:hyperlink>
      <w:r w:rsidRPr="00A37FA3">
        <w:rPr>
          <w:rFonts w:cs="Arial"/>
          <w:sz w:val="16"/>
          <w:szCs w:val="16"/>
        </w:rPr>
        <w:t xml:space="preserve"> and the accompanying statutory guidance is available at NHS England, </w:t>
      </w:r>
      <w:r w:rsidRPr="00A37FA3">
        <w:rPr>
          <w:rFonts w:cs="Arial"/>
          <w:i/>
          <w:iCs/>
          <w:sz w:val="16"/>
          <w:szCs w:val="16"/>
        </w:rPr>
        <w:t>The Provider Selection Regime: statutory guidance</w:t>
      </w:r>
      <w:r w:rsidRPr="00A37FA3">
        <w:rPr>
          <w:rFonts w:cs="Arial"/>
          <w:sz w:val="16"/>
          <w:szCs w:val="16"/>
        </w:rPr>
        <w:t xml:space="preserve">, </w:t>
      </w:r>
      <w:hyperlink r:id="rId7" w:history="1">
        <w:r w:rsidRPr="00A37FA3">
          <w:rPr>
            <w:rStyle w:val="Hyperlink"/>
            <w:rFonts w:cs="Arial"/>
            <w:sz w:val="16"/>
            <w:szCs w:val="16"/>
          </w:rPr>
          <w:t>https://www.england.nhs.uk/long-read/the-provider-selection-regime-statutory-guidance/</w:t>
        </w:r>
      </w:hyperlink>
    </w:p>
  </w:footnote>
  <w:footnote w:id="11">
    <w:p w14:paraId="2CE420CA" w14:textId="07E13895" w:rsidR="007462C2" w:rsidRPr="00F4082D" w:rsidRDefault="007462C2" w:rsidP="007462C2">
      <w:pPr>
        <w:pStyle w:val="FootnoteText"/>
        <w:rPr>
          <w:sz w:val="16"/>
          <w:szCs w:val="16"/>
        </w:rPr>
      </w:pPr>
      <w:r w:rsidRPr="00F4082D">
        <w:rPr>
          <w:rStyle w:val="FootnoteReference"/>
          <w:sz w:val="16"/>
          <w:szCs w:val="16"/>
        </w:rPr>
        <w:footnoteRef/>
      </w:r>
      <w:r w:rsidRPr="00F4082D">
        <w:rPr>
          <w:sz w:val="16"/>
          <w:szCs w:val="16"/>
        </w:rPr>
        <w:t xml:space="preserve"> </w:t>
      </w:r>
      <w:r w:rsidR="00664EB4">
        <w:rPr>
          <w:sz w:val="16"/>
          <w:szCs w:val="16"/>
        </w:rPr>
        <w:t>BNSSG</w:t>
      </w:r>
      <w:r w:rsidRPr="00F4082D">
        <w:rPr>
          <w:i/>
          <w:iCs/>
          <w:sz w:val="16"/>
          <w:szCs w:val="16"/>
        </w:rPr>
        <w:t>, Presentation to the Panel</w:t>
      </w:r>
      <w:r w:rsidRPr="00F4082D">
        <w:rPr>
          <w:sz w:val="16"/>
          <w:szCs w:val="16"/>
        </w:rPr>
        <w:t>, 15 December 2025.</w:t>
      </w:r>
    </w:p>
  </w:footnote>
  <w:footnote w:id="12">
    <w:p w14:paraId="5315757E" w14:textId="0E05A2A6" w:rsidR="00487A39" w:rsidRPr="00425557" w:rsidRDefault="00487A39">
      <w:pPr>
        <w:pStyle w:val="FootnoteText"/>
        <w:rPr>
          <w:sz w:val="16"/>
          <w:szCs w:val="16"/>
        </w:rPr>
      </w:pPr>
      <w:r w:rsidRPr="00425557">
        <w:rPr>
          <w:rStyle w:val="FootnoteReference"/>
          <w:sz w:val="16"/>
          <w:szCs w:val="16"/>
        </w:rPr>
        <w:footnoteRef/>
      </w:r>
      <w:r w:rsidRPr="00425557">
        <w:rPr>
          <w:sz w:val="16"/>
          <w:szCs w:val="16"/>
        </w:rPr>
        <w:t xml:space="preserve"> </w:t>
      </w:r>
      <w:r w:rsidR="0003498D">
        <w:rPr>
          <w:sz w:val="16"/>
          <w:szCs w:val="16"/>
        </w:rPr>
        <w:t xml:space="preserve">Within its commissioning exercise, </w:t>
      </w:r>
      <w:r w:rsidRPr="00425557">
        <w:rPr>
          <w:sz w:val="16"/>
          <w:szCs w:val="16"/>
        </w:rPr>
        <w:t xml:space="preserve">BNSSG referred to these NEPTS contracts as “Lots”, </w:t>
      </w:r>
      <w:r w:rsidR="008C223A" w:rsidRPr="00425557">
        <w:rPr>
          <w:sz w:val="16"/>
          <w:szCs w:val="16"/>
        </w:rPr>
        <w:t>namely Lot 1 Haemodialysis taxi service, Lot 2 Planned NEPTS, Lot 3</w:t>
      </w:r>
      <w:r w:rsidR="00F56552" w:rsidRPr="00425557">
        <w:rPr>
          <w:sz w:val="16"/>
          <w:szCs w:val="16"/>
        </w:rPr>
        <w:t xml:space="preserve"> Patient transport hub, and Lot 4 Ad hoc NEPTS. </w:t>
      </w:r>
      <w:r w:rsidR="00F56552" w:rsidRPr="00F56552">
        <w:rPr>
          <w:sz w:val="16"/>
          <w:szCs w:val="16"/>
        </w:rPr>
        <w:t xml:space="preserve">BNSSG, </w:t>
      </w:r>
      <w:r w:rsidR="00F56552" w:rsidRPr="00F56552">
        <w:rPr>
          <w:i/>
          <w:iCs/>
          <w:sz w:val="16"/>
          <w:szCs w:val="16"/>
        </w:rPr>
        <w:t>Response to Panel questions</w:t>
      </w:r>
      <w:r w:rsidR="00F56552" w:rsidRPr="00F56552">
        <w:rPr>
          <w:sz w:val="16"/>
          <w:szCs w:val="16"/>
        </w:rPr>
        <w:t>, 22 December 2025</w:t>
      </w:r>
      <w:r w:rsidR="00F56552" w:rsidRPr="00425557">
        <w:rPr>
          <w:sz w:val="16"/>
          <w:szCs w:val="16"/>
        </w:rPr>
        <w:t xml:space="preserve"> </w:t>
      </w:r>
      <w:r w:rsidR="008C223A" w:rsidRPr="00425557">
        <w:rPr>
          <w:sz w:val="16"/>
          <w:szCs w:val="16"/>
        </w:rPr>
        <w:t xml:space="preserve"> </w:t>
      </w:r>
    </w:p>
  </w:footnote>
  <w:footnote w:id="13">
    <w:p w14:paraId="32C542FD" w14:textId="7E10724A" w:rsidR="00034D6F" w:rsidRPr="00052D6D" w:rsidRDefault="00034D6F">
      <w:pPr>
        <w:pStyle w:val="FootnoteText"/>
        <w:rPr>
          <w:sz w:val="16"/>
          <w:szCs w:val="16"/>
        </w:rPr>
      </w:pPr>
      <w:r w:rsidRPr="00052D6D">
        <w:rPr>
          <w:rStyle w:val="FootnoteReference"/>
          <w:sz w:val="16"/>
          <w:szCs w:val="16"/>
        </w:rPr>
        <w:footnoteRef/>
      </w:r>
      <w:r w:rsidRPr="00052D6D">
        <w:rPr>
          <w:sz w:val="16"/>
          <w:szCs w:val="16"/>
        </w:rPr>
        <w:t xml:space="preserve"> </w:t>
      </w:r>
      <w:r w:rsidR="00C74CCB">
        <w:rPr>
          <w:sz w:val="16"/>
          <w:szCs w:val="16"/>
        </w:rPr>
        <w:t xml:space="preserve">Ad Hoc NEPTS provides patient transport services that are arranged </w:t>
      </w:r>
      <w:r w:rsidR="002D7637">
        <w:rPr>
          <w:sz w:val="16"/>
          <w:szCs w:val="16"/>
        </w:rPr>
        <w:t>on the</w:t>
      </w:r>
      <w:r w:rsidR="00C74CCB">
        <w:rPr>
          <w:sz w:val="16"/>
          <w:szCs w:val="16"/>
        </w:rPr>
        <w:t xml:space="preserve"> day rather than pre-booked. </w:t>
      </w:r>
      <w:r w:rsidR="001220F6">
        <w:rPr>
          <w:sz w:val="16"/>
          <w:szCs w:val="16"/>
        </w:rPr>
        <w:t>(</w:t>
      </w:r>
      <w:r w:rsidR="00C74CCB">
        <w:rPr>
          <w:sz w:val="16"/>
          <w:szCs w:val="16"/>
        </w:rPr>
        <w:t>This service was established when a previous provider was encountering challenges in running Planned and Ad Hoc NEPTS together as part of the same service.</w:t>
      </w:r>
      <w:r w:rsidR="001220F6">
        <w:rPr>
          <w:sz w:val="16"/>
          <w:szCs w:val="16"/>
        </w:rPr>
        <w:t>)</w:t>
      </w:r>
      <w:r w:rsidR="00C74CCB">
        <w:rPr>
          <w:sz w:val="16"/>
          <w:szCs w:val="16"/>
        </w:rPr>
        <w:t xml:space="preserve"> The Patient Transport Hub pro</w:t>
      </w:r>
      <w:r w:rsidR="00A70BCA">
        <w:rPr>
          <w:sz w:val="16"/>
          <w:szCs w:val="16"/>
        </w:rPr>
        <w:t xml:space="preserve">motes access to healthcare provision </w:t>
      </w:r>
      <w:r w:rsidR="00125477">
        <w:rPr>
          <w:sz w:val="16"/>
          <w:szCs w:val="16"/>
        </w:rPr>
        <w:t xml:space="preserve">for </w:t>
      </w:r>
      <w:r w:rsidR="00F960EB">
        <w:rPr>
          <w:sz w:val="16"/>
          <w:szCs w:val="16"/>
        </w:rPr>
        <w:t xml:space="preserve">qualifying </w:t>
      </w:r>
      <w:r w:rsidR="00F41D78">
        <w:rPr>
          <w:sz w:val="16"/>
          <w:szCs w:val="16"/>
        </w:rPr>
        <w:t>patients</w:t>
      </w:r>
      <w:r w:rsidR="00A70BCA">
        <w:rPr>
          <w:sz w:val="16"/>
          <w:szCs w:val="16"/>
        </w:rPr>
        <w:t xml:space="preserve"> through NHS funded transport service</w:t>
      </w:r>
      <w:r w:rsidR="00DC6C42">
        <w:rPr>
          <w:sz w:val="16"/>
          <w:szCs w:val="16"/>
        </w:rPr>
        <w:t>s</w:t>
      </w:r>
      <w:r w:rsidR="00C74CCB">
        <w:rPr>
          <w:sz w:val="16"/>
          <w:szCs w:val="16"/>
        </w:rPr>
        <w:t xml:space="preserve">. </w:t>
      </w:r>
      <w:r w:rsidR="00515A9D">
        <w:rPr>
          <w:sz w:val="16"/>
          <w:szCs w:val="16"/>
        </w:rPr>
        <w:t>The Haem</w:t>
      </w:r>
      <w:r w:rsidR="00B81EF6">
        <w:rPr>
          <w:sz w:val="16"/>
          <w:szCs w:val="16"/>
        </w:rPr>
        <w:t xml:space="preserve">odialysis Taxi Service is a specialist patient transport service for haemodialysis patients </w:t>
      </w:r>
      <w:r w:rsidR="00647662">
        <w:rPr>
          <w:sz w:val="16"/>
          <w:szCs w:val="16"/>
        </w:rPr>
        <w:t>(</w:t>
      </w:r>
      <w:r w:rsidR="00664EB4">
        <w:rPr>
          <w:sz w:val="16"/>
          <w:szCs w:val="16"/>
        </w:rPr>
        <w:t>BNSSG</w:t>
      </w:r>
      <w:r w:rsidRPr="00052D6D">
        <w:rPr>
          <w:sz w:val="16"/>
          <w:szCs w:val="16"/>
        </w:rPr>
        <w:t xml:space="preserve">, </w:t>
      </w:r>
      <w:r w:rsidRPr="00052D6D">
        <w:rPr>
          <w:i/>
          <w:iCs/>
          <w:sz w:val="16"/>
          <w:szCs w:val="16"/>
        </w:rPr>
        <w:t>Response to Panel questions</w:t>
      </w:r>
      <w:r w:rsidRPr="00052D6D">
        <w:rPr>
          <w:sz w:val="16"/>
          <w:szCs w:val="16"/>
        </w:rPr>
        <w:t xml:space="preserve">, </w:t>
      </w:r>
      <w:r w:rsidR="00FF7B04" w:rsidRPr="00052D6D">
        <w:rPr>
          <w:sz w:val="16"/>
          <w:szCs w:val="16"/>
        </w:rPr>
        <w:t>22 December 2025</w:t>
      </w:r>
      <w:r w:rsidR="00993E1D">
        <w:rPr>
          <w:sz w:val="16"/>
          <w:szCs w:val="16"/>
        </w:rPr>
        <w:t xml:space="preserve"> and </w:t>
      </w:r>
      <w:r w:rsidR="008C6C37">
        <w:rPr>
          <w:sz w:val="16"/>
          <w:szCs w:val="16"/>
        </w:rPr>
        <w:t xml:space="preserve">BAEMS, </w:t>
      </w:r>
      <w:r w:rsidR="008C6C37" w:rsidRPr="0073662C">
        <w:rPr>
          <w:i/>
          <w:iCs/>
          <w:sz w:val="16"/>
          <w:szCs w:val="16"/>
        </w:rPr>
        <w:t>Panel meeting</w:t>
      </w:r>
      <w:r w:rsidR="008C6C37">
        <w:rPr>
          <w:sz w:val="16"/>
          <w:szCs w:val="16"/>
        </w:rPr>
        <w:t xml:space="preserve">, </w:t>
      </w:r>
      <w:r w:rsidR="00076252">
        <w:rPr>
          <w:sz w:val="16"/>
          <w:szCs w:val="16"/>
        </w:rPr>
        <w:t>5 December 2025</w:t>
      </w:r>
      <w:r w:rsidR="00647662">
        <w:rPr>
          <w:sz w:val="16"/>
          <w:szCs w:val="16"/>
        </w:rPr>
        <w:t>)</w:t>
      </w:r>
      <w:r w:rsidR="00FF7B04" w:rsidRPr="00052D6D">
        <w:rPr>
          <w:sz w:val="16"/>
          <w:szCs w:val="16"/>
        </w:rPr>
        <w:t>.</w:t>
      </w:r>
    </w:p>
  </w:footnote>
  <w:footnote w:id="14">
    <w:p w14:paraId="17C00299" w14:textId="21024CE7" w:rsidR="00CD2A2C" w:rsidRPr="00052D6D" w:rsidRDefault="00CD2A2C">
      <w:pPr>
        <w:pStyle w:val="FootnoteText"/>
        <w:rPr>
          <w:sz w:val="16"/>
          <w:szCs w:val="16"/>
        </w:rPr>
      </w:pPr>
      <w:r w:rsidRPr="00052D6D">
        <w:rPr>
          <w:rStyle w:val="FootnoteReference"/>
          <w:sz w:val="16"/>
          <w:szCs w:val="16"/>
        </w:rPr>
        <w:footnoteRef/>
      </w:r>
      <w:r w:rsidRPr="00052D6D">
        <w:rPr>
          <w:sz w:val="16"/>
          <w:szCs w:val="16"/>
        </w:rPr>
        <w:t xml:space="preserve"> </w:t>
      </w:r>
      <w:r w:rsidRPr="00CD2A2C">
        <w:rPr>
          <w:sz w:val="16"/>
          <w:szCs w:val="16"/>
        </w:rPr>
        <w:t xml:space="preserve">EMED is a provider of specialist transport services to health and social care services. Further information can be found on its website at </w:t>
      </w:r>
      <w:hyperlink r:id="rId8" w:history="1">
        <w:r w:rsidRPr="00CD2A2C">
          <w:rPr>
            <w:rStyle w:val="Hyperlink"/>
            <w:sz w:val="16"/>
            <w:szCs w:val="16"/>
          </w:rPr>
          <w:t>https://www.emedgroup.co.uk/</w:t>
        </w:r>
      </w:hyperlink>
      <w:r w:rsidRPr="00CD2A2C">
        <w:rPr>
          <w:sz w:val="16"/>
          <w:szCs w:val="16"/>
        </w:rPr>
        <w:t>.</w:t>
      </w:r>
    </w:p>
  </w:footnote>
  <w:footnote w:id="15">
    <w:p w14:paraId="582A5617" w14:textId="77777777" w:rsidR="00766766" w:rsidRPr="00D00197" w:rsidRDefault="00766766" w:rsidP="00766766">
      <w:pPr>
        <w:pStyle w:val="FootnoteText"/>
        <w:rPr>
          <w:sz w:val="16"/>
          <w:szCs w:val="16"/>
        </w:rPr>
      </w:pPr>
      <w:r w:rsidRPr="00D00197">
        <w:rPr>
          <w:rStyle w:val="FootnoteReference"/>
          <w:sz w:val="16"/>
          <w:szCs w:val="16"/>
        </w:rPr>
        <w:footnoteRef/>
      </w:r>
      <w:r w:rsidRPr="00D00197">
        <w:rPr>
          <w:sz w:val="16"/>
          <w:szCs w:val="16"/>
        </w:rPr>
        <w:t xml:space="preserve"> SVL was a provider of emergency and non-emergency ambulance services.</w:t>
      </w:r>
    </w:p>
  </w:footnote>
  <w:footnote w:id="16">
    <w:p w14:paraId="655C7380" w14:textId="44217CFC" w:rsidR="0055013E" w:rsidRDefault="0055013E">
      <w:pPr>
        <w:pStyle w:val="FootnoteText"/>
      </w:pPr>
      <w:r w:rsidRPr="0073662C">
        <w:rPr>
          <w:rStyle w:val="FootnoteReference"/>
          <w:sz w:val="16"/>
          <w:szCs w:val="16"/>
        </w:rPr>
        <w:footnoteRef/>
      </w:r>
      <w:r w:rsidRPr="0073662C">
        <w:rPr>
          <w:sz w:val="16"/>
          <w:szCs w:val="16"/>
        </w:rPr>
        <w:t xml:space="preserve"> The Haemodialysis Taxi Service is not listed here as it </w:t>
      </w:r>
      <w:r w:rsidR="0073662C" w:rsidRPr="0073662C">
        <w:rPr>
          <w:sz w:val="16"/>
          <w:szCs w:val="16"/>
        </w:rPr>
        <w:t>is not relevant to this report.</w:t>
      </w:r>
    </w:p>
  </w:footnote>
  <w:footnote w:id="17">
    <w:p w14:paraId="73D1B90D" w14:textId="26162896" w:rsidR="006F4A96" w:rsidRPr="0073662C" w:rsidRDefault="006F4A96">
      <w:pPr>
        <w:pStyle w:val="FootnoteText"/>
        <w:rPr>
          <w:sz w:val="16"/>
          <w:szCs w:val="16"/>
        </w:rPr>
      </w:pPr>
      <w:r w:rsidRPr="0073662C">
        <w:rPr>
          <w:rStyle w:val="FootnoteReference"/>
          <w:sz w:val="16"/>
          <w:szCs w:val="16"/>
        </w:rPr>
        <w:footnoteRef/>
      </w:r>
      <w:r w:rsidRPr="0073662C">
        <w:rPr>
          <w:sz w:val="16"/>
          <w:szCs w:val="16"/>
        </w:rPr>
        <w:t xml:space="preserve"> </w:t>
      </w:r>
      <w:r w:rsidR="00BC718E" w:rsidRPr="00BC718E">
        <w:rPr>
          <w:sz w:val="16"/>
          <w:szCs w:val="16"/>
        </w:rPr>
        <w:t>Panel meeting with BAEMS, 5 December 2025.</w:t>
      </w:r>
    </w:p>
  </w:footnote>
  <w:footnote w:id="18">
    <w:p w14:paraId="0799AFF0" w14:textId="4D313029" w:rsidR="002209BA" w:rsidRPr="00741CB9" w:rsidRDefault="002209BA" w:rsidP="002209BA">
      <w:pPr>
        <w:pStyle w:val="FootnoteText"/>
        <w:rPr>
          <w:sz w:val="16"/>
          <w:szCs w:val="16"/>
        </w:rPr>
      </w:pPr>
      <w:r w:rsidRPr="00741CB9">
        <w:rPr>
          <w:rStyle w:val="FootnoteReference"/>
          <w:sz w:val="16"/>
          <w:szCs w:val="16"/>
        </w:rPr>
        <w:footnoteRef/>
      </w:r>
      <w:r w:rsidRPr="00741CB9">
        <w:rPr>
          <w:sz w:val="16"/>
          <w:szCs w:val="16"/>
        </w:rPr>
        <w:t xml:space="preserve"> I.e. the contract for Lot 4 (see paragraph </w:t>
      </w:r>
      <w:r w:rsidRPr="00741CB9">
        <w:rPr>
          <w:sz w:val="16"/>
          <w:szCs w:val="16"/>
        </w:rPr>
        <w:fldChar w:fldCharType="begin"/>
      </w:r>
      <w:r w:rsidRPr="00741CB9">
        <w:rPr>
          <w:sz w:val="16"/>
          <w:szCs w:val="16"/>
        </w:rPr>
        <w:instrText xml:space="preserve"> REF _Ref218517561 \r \h </w:instrText>
      </w:r>
      <w:r>
        <w:rPr>
          <w:sz w:val="16"/>
          <w:szCs w:val="16"/>
        </w:rPr>
        <w:instrText xml:space="preserve"> \* MERGEFORMAT </w:instrText>
      </w:r>
      <w:r w:rsidRPr="00741CB9">
        <w:rPr>
          <w:sz w:val="16"/>
          <w:szCs w:val="16"/>
        </w:rPr>
      </w:r>
      <w:r w:rsidRPr="00741CB9">
        <w:rPr>
          <w:sz w:val="16"/>
          <w:szCs w:val="16"/>
        </w:rPr>
        <w:fldChar w:fldCharType="separate"/>
      </w:r>
      <w:r w:rsidR="00785E99">
        <w:rPr>
          <w:sz w:val="16"/>
          <w:szCs w:val="16"/>
        </w:rPr>
        <w:t>26</w:t>
      </w:r>
      <w:r w:rsidRPr="00741CB9">
        <w:rPr>
          <w:sz w:val="16"/>
          <w:szCs w:val="16"/>
        </w:rPr>
        <w:fldChar w:fldCharType="end"/>
      </w:r>
      <w:r w:rsidRPr="00741CB9">
        <w:rPr>
          <w:sz w:val="16"/>
          <w:szCs w:val="16"/>
        </w:rPr>
        <w:t xml:space="preserve">) </w:t>
      </w:r>
      <w:r w:rsidRPr="0073662C">
        <w:rPr>
          <w:sz w:val="16"/>
          <w:szCs w:val="16"/>
        </w:rPr>
        <w:t>which BNSSG had awarded to UHBW in 2023</w:t>
      </w:r>
      <w:r w:rsidR="000E7E7E">
        <w:rPr>
          <w:sz w:val="16"/>
          <w:szCs w:val="16"/>
        </w:rPr>
        <w:t>. BNSSG</w:t>
      </w:r>
      <w:r w:rsidR="00ED1183">
        <w:rPr>
          <w:sz w:val="16"/>
          <w:szCs w:val="16"/>
        </w:rPr>
        <w:t xml:space="preserve">, </w:t>
      </w:r>
      <w:r w:rsidR="00ED1183" w:rsidRPr="0073662C">
        <w:rPr>
          <w:i/>
          <w:iCs/>
          <w:sz w:val="16"/>
          <w:szCs w:val="16"/>
        </w:rPr>
        <w:t>Response to Panel questions</w:t>
      </w:r>
      <w:r w:rsidR="00ED1183">
        <w:rPr>
          <w:sz w:val="16"/>
          <w:szCs w:val="16"/>
        </w:rPr>
        <w:t>, 22 December 2025.</w:t>
      </w:r>
      <w:r w:rsidRPr="0073662C">
        <w:rPr>
          <w:sz w:val="16"/>
          <w:szCs w:val="16"/>
        </w:rPr>
        <w:t xml:space="preserve"> </w:t>
      </w:r>
    </w:p>
  </w:footnote>
  <w:footnote w:id="19">
    <w:p w14:paraId="07D2393A" w14:textId="77777777" w:rsidR="00E550A7" w:rsidRPr="00180495" w:rsidRDefault="00E550A7" w:rsidP="00E550A7">
      <w:pPr>
        <w:pStyle w:val="FootnoteText"/>
      </w:pPr>
      <w:r w:rsidRPr="00D91DF8">
        <w:rPr>
          <w:rStyle w:val="FootnoteReference"/>
          <w:sz w:val="16"/>
          <w:szCs w:val="16"/>
        </w:rPr>
        <w:footnoteRef/>
      </w:r>
      <w:r w:rsidRPr="00D91DF8">
        <w:rPr>
          <w:sz w:val="16"/>
          <w:szCs w:val="16"/>
        </w:rPr>
        <w:t xml:space="preserve"> </w:t>
      </w:r>
      <w:r>
        <w:rPr>
          <w:sz w:val="16"/>
          <w:szCs w:val="16"/>
        </w:rPr>
        <w:t xml:space="preserve">BAEMS, </w:t>
      </w:r>
      <w:r w:rsidRPr="0073662C">
        <w:rPr>
          <w:i/>
          <w:iCs/>
          <w:sz w:val="16"/>
          <w:szCs w:val="16"/>
        </w:rPr>
        <w:t>Panel meeting</w:t>
      </w:r>
      <w:r>
        <w:rPr>
          <w:sz w:val="16"/>
          <w:szCs w:val="16"/>
        </w:rPr>
        <w:t>, 5 December 2025.</w:t>
      </w:r>
    </w:p>
  </w:footnote>
  <w:footnote w:id="20">
    <w:p w14:paraId="0477CEBB" w14:textId="2761F4D0" w:rsidR="00E10055" w:rsidRPr="00741CB9" w:rsidRDefault="00E10055">
      <w:pPr>
        <w:pStyle w:val="FootnoteText"/>
        <w:rPr>
          <w:sz w:val="16"/>
          <w:szCs w:val="16"/>
        </w:rPr>
      </w:pPr>
      <w:r w:rsidRPr="00741CB9">
        <w:rPr>
          <w:rStyle w:val="FootnoteReference"/>
          <w:sz w:val="16"/>
          <w:szCs w:val="16"/>
        </w:rPr>
        <w:footnoteRef/>
      </w:r>
      <w:r w:rsidRPr="00741CB9">
        <w:rPr>
          <w:sz w:val="16"/>
          <w:szCs w:val="16"/>
        </w:rPr>
        <w:t xml:space="preserve"> </w:t>
      </w:r>
      <w:r w:rsidR="00167779" w:rsidRPr="00741CB9">
        <w:rPr>
          <w:sz w:val="16"/>
          <w:szCs w:val="16"/>
        </w:rPr>
        <w:t xml:space="preserve">Panel meeting with </w:t>
      </w:r>
      <w:r w:rsidR="00664EB4">
        <w:rPr>
          <w:sz w:val="16"/>
          <w:szCs w:val="16"/>
        </w:rPr>
        <w:t>BNSSG</w:t>
      </w:r>
      <w:r w:rsidR="00167779" w:rsidRPr="00741CB9">
        <w:rPr>
          <w:sz w:val="16"/>
          <w:szCs w:val="16"/>
        </w:rPr>
        <w:t xml:space="preserve">, </w:t>
      </w:r>
      <w:r w:rsidR="00931732" w:rsidRPr="00741CB9">
        <w:rPr>
          <w:sz w:val="16"/>
          <w:szCs w:val="16"/>
        </w:rPr>
        <w:t>15 December 2025.</w:t>
      </w:r>
    </w:p>
  </w:footnote>
  <w:footnote w:id="21">
    <w:p w14:paraId="2F3109E2" w14:textId="77777777" w:rsidR="00DA009B" w:rsidRPr="00F32F8A" w:rsidRDefault="00DA009B" w:rsidP="00DA009B">
      <w:pPr>
        <w:pStyle w:val="FootnoteText"/>
        <w:rPr>
          <w:sz w:val="16"/>
          <w:szCs w:val="16"/>
        </w:rPr>
      </w:pPr>
      <w:r w:rsidRPr="00F32F8A">
        <w:rPr>
          <w:rStyle w:val="FootnoteReference"/>
          <w:sz w:val="16"/>
          <w:szCs w:val="16"/>
        </w:rPr>
        <w:footnoteRef/>
      </w:r>
      <w:r w:rsidRPr="00F32F8A">
        <w:rPr>
          <w:sz w:val="16"/>
          <w:szCs w:val="16"/>
        </w:rPr>
        <w:t xml:space="preserve"> BNSSG, </w:t>
      </w:r>
      <w:r w:rsidRPr="00F32F8A">
        <w:rPr>
          <w:i/>
          <w:iCs/>
          <w:sz w:val="16"/>
          <w:szCs w:val="16"/>
        </w:rPr>
        <w:t xml:space="preserve">Contract award notice </w:t>
      </w:r>
      <w:r w:rsidRPr="00AB4174">
        <w:rPr>
          <w:sz w:val="16"/>
          <w:szCs w:val="16"/>
        </w:rPr>
        <w:t>on</w:t>
      </w:r>
      <w:r w:rsidRPr="00F32F8A">
        <w:rPr>
          <w:i/>
          <w:iCs/>
          <w:sz w:val="16"/>
          <w:szCs w:val="16"/>
        </w:rPr>
        <w:t xml:space="preserve"> Find a Tender Service</w:t>
      </w:r>
      <w:r w:rsidRPr="00F32F8A">
        <w:rPr>
          <w:sz w:val="16"/>
          <w:szCs w:val="16"/>
        </w:rPr>
        <w:t>, 1 October 2024.</w:t>
      </w:r>
    </w:p>
  </w:footnote>
  <w:footnote w:id="22">
    <w:p w14:paraId="1C8DE900" w14:textId="56505C07" w:rsidR="00D308A0" w:rsidRPr="00D308A0" w:rsidRDefault="00D308A0">
      <w:pPr>
        <w:pStyle w:val="FootnoteText"/>
        <w:rPr>
          <w:sz w:val="16"/>
          <w:szCs w:val="16"/>
        </w:rPr>
      </w:pPr>
      <w:r w:rsidRPr="00FD426A">
        <w:rPr>
          <w:rStyle w:val="FootnoteReference"/>
          <w:sz w:val="16"/>
          <w:szCs w:val="16"/>
        </w:rPr>
        <w:footnoteRef/>
      </w:r>
      <w:r w:rsidRPr="00FD426A">
        <w:rPr>
          <w:sz w:val="16"/>
          <w:szCs w:val="16"/>
        </w:rPr>
        <w:t xml:space="preserve"> </w:t>
      </w:r>
      <w:r w:rsidR="00664EB4">
        <w:rPr>
          <w:sz w:val="16"/>
          <w:szCs w:val="16"/>
        </w:rPr>
        <w:t>BNSSG</w:t>
      </w:r>
      <w:r w:rsidRPr="00FD426A">
        <w:rPr>
          <w:sz w:val="16"/>
          <w:szCs w:val="16"/>
        </w:rPr>
        <w:t xml:space="preserve">, </w:t>
      </w:r>
      <w:r w:rsidRPr="00FD426A">
        <w:rPr>
          <w:i/>
          <w:iCs/>
          <w:sz w:val="16"/>
          <w:szCs w:val="16"/>
        </w:rPr>
        <w:t>Contract Notice,</w:t>
      </w:r>
      <w:r w:rsidRPr="00FD426A">
        <w:rPr>
          <w:sz w:val="16"/>
          <w:szCs w:val="16"/>
        </w:rPr>
        <w:t xml:space="preserve"> </w:t>
      </w:r>
      <w:r w:rsidR="009D3E7D">
        <w:rPr>
          <w:sz w:val="16"/>
          <w:szCs w:val="16"/>
        </w:rPr>
        <w:t xml:space="preserve">2 May </w:t>
      </w:r>
      <w:r w:rsidR="00FD426A" w:rsidRPr="00FD426A">
        <w:rPr>
          <w:sz w:val="16"/>
          <w:szCs w:val="16"/>
        </w:rPr>
        <w:t>2025</w:t>
      </w:r>
      <w:r w:rsidRPr="00FD426A">
        <w:rPr>
          <w:sz w:val="16"/>
          <w:szCs w:val="16"/>
        </w:rPr>
        <w:t>.</w:t>
      </w:r>
    </w:p>
  </w:footnote>
  <w:footnote w:id="23">
    <w:p w14:paraId="2CB637F6" w14:textId="77777777" w:rsidR="003E53AE" w:rsidRPr="00AC7D1F" w:rsidRDefault="003E53AE" w:rsidP="003E53AE">
      <w:pPr>
        <w:pStyle w:val="FootnoteText"/>
        <w:rPr>
          <w:sz w:val="16"/>
          <w:szCs w:val="16"/>
        </w:rPr>
      </w:pPr>
      <w:r w:rsidRPr="00AC7D1F">
        <w:rPr>
          <w:rStyle w:val="FootnoteReference"/>
          <w:sz w:val="16"/>
          <w:szCs w:val="16"/>
        </w:rPr>
        <w:footnoteRef/>
      </w:r>
      <w:r w:rsidRPr="00AC7D1F">
        <w:rPr>
          <w:sz w:val="16"/>
          <w:szCs w:val="16"/>
        </w:rPr>
        <w:t xml:space="preserve"> Two bidders failed initial completeness and compliance checks and their bids were not evaluated further.</w:t>
      </w:r>
    </w:p>
  </w:footnote>
  <w:footnote w:id="24">
    <w:p w14:paraId="2B3BDF0D" w14:textId="7C59EE24" w:rsidR="002B28FD" w:rsidRDefault="002B28FD">
      <w:pPr>
        <w:pStyle w:val="FootnoteText"/>
      </w:pPr>
      <w:r>
        <w:rPr>
          <w:rStyle w:val="FootnoteReference"/>
        </w:rPr>
        <w:footnoteRef/>
      </w:r>
      <w:r>
        <w:t xml:space="preserve"> </w:t>
      </w:r>
      <w:r w:rsidR="00B35564">
        <w:rPr>
          <w:sz w:val="16"/>
          <w:szCs w:val="16"/>
        </w:rPr>
        <w:t>These words have been excised from the report on the basis that the Panel has reasonable grounds to consider that they may be commercially confidential</w:t>
      </w:r>
    </w:p>
  </w:footnote>
  <w:footnote w:id="25">
    <w:p w14:paraId="01AA3CB5" w14:textId="1E22CC83" w:rsidR="00040EC2" w:rsidRPr="00052D6D" w:rsidRDefault="00040EC2" w:rsidP="00040EC2">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w:t>
      </w:r>
      <w:r w:rsidR="005E28FF">
        <w:rPr>
          <w:i/>
          <w:iCs/>
          <w:sz w:val="16"/>
          <w:szCs w:val="16"/>
        </w:rPr>
        <w:t>Letter to the Panel</w:t>
      </w:r>
      <w:r w:rsidRPr="00052D6D">
        <w:rPr>
          <w:sz w:val="16"/>
          <w:szCs w:val="16"/>
        </w:rPr>
        <w:t>, 1</w:t>
      </w:r>
      <w:r w:rsidR="005E28FF">
        <w:rPr>
          <w:sz w:val="16"/>
          <w:szCs w:val="16"/>
        </w:rPr>
        <w:t>9 December 2025</w:t>
      </w:r>
      <w:r w:rsidRPr="00052D6D">
        <w:rPr>
          <w:sz w:val="16"/>
          <w:szCs w:val="16"/>
        </w:rPr>
        <w:t xml:space="preserve">. </w:t>
      </w:r>
    </w:p>
  </w:footnote>
  <w:footnote w:id="26">
    <w:p w14:paraId="5AE33792" w14:textId="0B67CC59" w:rsidR="00E0439E" w:rsidRPr="00052D6D" w:rsidRDefault="00E0439E">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w:t>
      </w:r>
      <w:r w:rsidR="001F3C27" w:rsidRPr="00052D6D">
        <w:rPr>
          <w:i/>
          <w:iCs/>
          <w:sz w:val="16"/>
          <w:szCs w:val="16"/>
        </w:rPr>
        <w:t xml:space="preserve">Closed </w:t>
      </w:r>
      <w:r w:rsidR="00664EB4">
        <w:rPr>
          <w:i/>
          <w:iCs/>
          <w:sz w:val="16"/>
          <w:szCs w:val="16"/>
        </w:rPr>
        <w:t>BNSSG</w:t>
      </w:r>
      <w:r w:rsidR="00A70773" w:rsidRPr="00052D6D">
        <w:rPr>
          <w:i/>
          <w:iCs/>
          <w:sz w:val="16"/>
          <w:szCs w:val="16"/>
        </w:rPr>
        <w:t xml:space="preserve"> Board </w:t>
      </w:r>
      <w:r w:rsidR="007A70ED" w:rsidRPr="00052D6D">
        <w:rPr>
          <w:i/>
          <w:iCs/>
          <w:sz w:val="16"/>
          <w:szCs w:val="16"/>
        </w:rPr>
        <w:t>M</w:t>
      </w:r>
      <w:r w:rsidR="00A70773" w:rsidRPr="00052D6D">
        <w:rPr>
          <w:i/>
          <w:iCs/>
          <w:sz w:val="16"/>
          <w:szCs w:val="16"/>
        </w:rPr>
        <w:t>inutes</w:t>
      </w:r>
      <w:r w:rsidR="003F1B21" w:rsidRPr="00052D6D">
        <w:rPr>
          <w:sz w:val="16"/>
          <w:szCs w:val="16"/>
        </w:rPr>
        <w:t>, 4 September 2025.</w:t>
      </w:r>
    </w:p>
  </w:footnote>
  <w:footnote w:id="27">
    <w:p w14:paraId="76A1243A" w14:textId="1AC728AE" w:rsidR="004D24FD" w:rsidRPr="003E434C" w:rsidRDefault="004D24FD">
      <w:pPr>
        <w:pStyle w:val="FootnoteText"/>
        <w:rPr>
          <w:sz w:val="16"/>
          <w:szCs w:val="16"/>
        </w:rPr>
      </w:pPr>
      <w:r w:rsidRPr="003E434C">
        <w:rPr>
          <w:rStyle w:val="FootnoteReference"/>
          <w:sz w:val="16"/>
          <w:szCs w:val="16"/>
        </w:rPr>
        <w:footnoteRef/>
      </w:r>
      <w:r w:rsidRPr="003E434C">
        <w:rPr>
          <w:sz w:val="16"/>
          <w:szCs w:val="16"/>
        </w:rPr>
        <w:t xml:space="preserve"> The correct reference should be to Regulation 4(1)(b).</w:t>
      </w:r>
    </w:p>
  </w:footnote>
  <w:footnote w:id="28">
    <w:p w14:paraId="45926D8E" w14:textId="30A8B482" w:rsidR="00D7010B" w:rsidRPr="00D7010B" w:rsidRDefault="00D7010B">
      <w:pPr>
        <w:pStyle w:val="FootnoteText"/>
        <w:rPr>
          <w:sz w:val="16"/>
          <w:szCs w:val="16"/>
        </w:rPr>
      </w:pPr>
      <w:r w:rsidRPr="00D7010B">
        <w:rPr>
          <w:rStyle w:val="FootnoteReference"/>
          <w:sz w:val="16"/>
          <w:szCs w:val="16"/>
        </w:rPr>
        <w:footnoteRef/>
      </w:r>
      <w:r w:rsidRPr="00D7010B">
        <w:rPr>
          <w:sz w:val="16"/>
          <w:szCs w:val="16"/>
        </w:rPr>
        <w:t xml:space="preserve"> Paragraph 6(5) sets out the conditions under which the relevant authority may follow Direct Award Process C, while paragraph 6(6) sets out the conditions under which the relevant authority may follow the Most Suitable Provider Process; such choice being at the discretion of the relevant authority.</w:t>
      </w:r>
    </w:p>
  </w:footnote>
  <w:footnote w:id="29">
    <w:p w14:paraId="5E5C4139" w14:textId="63E75D52" w:rsidR="00926E49" w:rsidRPr="00926E49" w:rsidRDefault="00926E49">
      <w:pPr>
        <w:pStyle w:val="FootnoteText"/>
        <w:rPr>
          <w:sz w:val="16"/>
          <w:szCs w:val="16"/>
        </w:rPr>
      </w:pPr>
      <w:r w:rsidRPr="00926E49">
        <w:rPr>
          <w:rStyle w:val="FootnoteReference"/>
          <w:sz w:val="16"/>
          <w:szCs w:val="16"/>
        </w:rPr>
        <w:footnoteRef/>
      </w:r>
      <w:r w:rsidRPr="00926E49">
        <w:rPr>
          <w:sz w:val="16"/>
          <w:szCs w:val="16"/>
        </w:rPr>
        <w:t xml:space="preserve"> NHS England, </w:t>
      </w:r>
      <w:r w:rsidRPr="00926E49">
        <w:rPr>
          <w:i/>
          <w:iCs/>
          <w:sz w:val="16"/>
          <w:szCs w:val="16"/>
        </w:rPr>
        <w:t>The Provider Selection Regime: statutory guidance</w:t>
      </w:r>
      <w:r w:rsidRPr="00926E49">
        <w:rPr>
          <w:sz w:val="16"/>
          <w:szCs w:val="16"/>
        </w:rPr>
        <w:t xml:space="preserve">, </w:t>
      </w:r>
      <w:r w:rsidR="008A50AC">
        <w:rPr>
          <w:sz w:val="16"/>
          <w:szCs w:val="16"/>
        </w:rPr>
        <w:t>April 2025</w:t>
      </w:r>
      <w:r w:rsidRPr="00926E49">
        <w:rPr>
          <w:sz w:val="16"/>
          <w:szCs w:val="16"/>
        </w:rPr>
        <w:t>.</w:t>
      </w:r>
    </w:p>
  </w:footnote>
  <w:footnote w:id="30">
    <w:p w14:paraId="4673D4E4" w14:textId="56FF7227" w:rsidR="0097619B" w:rsidRPr="00425557" w:rsidRDefault="0097619B">
      <w:pPr>
        <w:pStyle w:val="FootnoteText"/>
        <w:rPr>
          <w:sz w:val="16"/>
          <w:szCs w:val="16"/>
        </w:rPr>
      </w:pPr>
      <w:r w:rsidRPr="00425557">
        <w:rPr>
          <w:rStyle w:val="FootnoteReference"/>
          <w:sz w:val="16"/>
          <w:szCs w:val="16"/>
        </w:rPr>
        <w:footnoteRef/>
      </w:r>
      <w:r w:rsidRPr="00425557">
        <w:rPr>
          <w:sz w:val="16"/>
          <w:szCs w:val="16"/>
        </w:rPr>
        <w:t xml:space="preserve"> </w:t>
      </w:r>
      <w:r w:rsidR="00EE689E">
        <w:rPr>
          <w:sz w:val="16"/>
          <w:szCs w:val="16"/>
        </w:rPr>
        <w:t>B</w:t>
      </w:r>
      <w:r w:rsidR="000B3A87" w:rsidRPr="00425557">
        <w:rPr>
          <w:sz w:val="16"/>
          <w:szCs w:val="16"/>
        </w:rPr>
        <w:t>idder</w:t>
      </w:r>
      <w:r w:rsidR="00EE689E">
        <w:rPr>
          <w:sz w:val="16"/>
          <w:szCs w:val="16"/>
        </w:rPr>
        <w:t xml:space="preserve"> A</w:t>
      </w:r>
      <w:r w:rsidR="000B3A87" w:rsidRPr="00425557">
        <w:rPr>
          <w:sz w:val="16"/>
          <w:szCs w:val="16"/>
        </w:rPr>
        <w:t xml:space="preserve">, </w:t>
      </w:r>
      <w:r w:rsidR="000B3A87" w:rsidRPr="00425557">
        <w:rPr>
          <w:i/>
          <w:iCs/>
          <w:sz w:val="16"/>
          <w:szCs w:val="16"/>
        </w:rPr>
        <w:t>Letter to BNSSG</w:t>
      </w:r>
      <w:r w:rsidR="000B3A87" w:rsidRPr="00425557">
        <w:rPr>
          <w:sz w:val="16"/>
          <w:szCs w:val="16"/>
        </w:rPr>
        <w:t>, 2 September 2025.</w:t>
      </w:r>
    </w:p>
  </w:footnote>
  <w:footnote w:id="31">
    <w:p w14:paraId="2C7DADA5" w14:textId="77777777" w:rsidR="002D4083" w:rsidRPr="006A2F7C" w:rsidRDefault="002D4083" w:rsidP="002D4083">
      <w:pPr>
        <w:pStyle w:val="FootnoteText"/>
        <w:rPr>
          <w:sz w:val="16"/>
          <w:szCs w:val="16"/>
        </w:rPr>
      </w:pPr>
      <w:r w:rsidRPr="006A2F7C">
        <w:rPr>
          <w:rStyle w:val="FootnoteReference"/>
          <w:sz w:val="16"/>
          <w:szCs w:val="16"/>
        </w:rPr>
        <w:footnoteRef/>
      </w:r>
      <w:r w:rsidRPr="006A2F7C">
        <w:rPr>
          <w:sz w:val="16"/>
          <w:szCs w:val="16"/>
        </w:rPr>
        <w:t xml:space="preserve"> BNSSG, </w:t>
      </w:r>
      <w:r w:rsidRPr="006A2F7C">
        <w:rPr>
          <w:i/>
          <w:iCs/>
          <w:sz w:val="16"/>
          <w:szCs w:val="16"/>
        </w:rPr>
        <w:t>Letter to the Panel</w:t>
      </w:r>
      <w:r w:rsidRPr="006A2F7C">
        <w:rPr>
          <w:sz w:val="16"/>
          <w:szCs w:val="16"/>
        </w:rPr>
        <w:t>, 19 December 2025.</w:t>
      </w:r>
    </w:p>
  </w:footnote>
  <w:footnote w:id="32">
    <w:p w14:paraId="56D480D2" w14:textId="77777777" w:rsidR="004A7CCE" w:rsidRPr="00B518A4" w:rsidRDefault="004A7CCE" w:rsidP="004A7CCE">
      <w:pPr>
        <w:pStyle w:val="FootnoteText"/>
        <w:rPr>
          <w:sz w:val="16"/>
          <w:szCs w:val="16"/>
        </w:rPr>
      </w:pPr>
      <w:r w:rsidRPr="00B518A4">
        <w:rPr>
          <w:rStyle w:val="FootnoteReference"/>
          <w:sz w:val="16"/>
          <w:szCs w:val="16"/>
        </w:rPr>
        <w:footnoteRef/>
      </w:r>
      <w:r w:rsidRPr="00B518A4">
        <w:rPr>
          <w:sz w:val="16"/>
          <w:szCs w:val="16"/>
        </w:rPr>
        <w:t xml:space="preserve"> BNSSG, </w:t>
      </w:r>
      <w:r w:rsidRPr="00B518A4">
        <w:rPr>
          <w:i/>
          <w:iCs/>
          <w:sz w:val="16"/>
          <w:szCs w:val="16"/>
        </w:rPr>
        <w:t>Letter to the Panel</w:t>
      </w:r>
      <w:r w:rsidRPr="00B518A4">
        <w:rPr>
          <w:sz w:val="16"/>
          <w:szCs w:val="16"/>
        </w:rPr>
        <w:t>, 19 December 2025.</w:t>
      </w:r>
    </w:p>
  </w:footnote>
  <w:footnote w:id="33">
    <w:p w14:paraId="7D4490A4" w14:textId="77777777" w:rsidR="008F5B1E" w:rsidRPr="00FB3C15" w:rsidRDefault="008F5B1E" w:rsidP="008F5B1E">
      <w:pPr>
        <w:pStyle w:val="FootnoteText"/>
        <w:rPr>
          <w:sz w:val="16"/>
          <w:szCs w:val="16"/>
        </w:rPr>
      </w:pPr>
      <w:r w:rsidRPr="00FB3C15">
        <w:rPr>
          <w:rStyle w:val="FootnoteReference"/>
          <w:sz w:val="16"/>
          <w:szCs w:val="16"/>
        </w:rPr>
        <w:footnoteRef/>
      </w:r>
      <w:r w:rsidRPr="00FB3C15">
        <w:rPr>
          <w:sz w:val="16"/>
          <w:szCs w:val="16"/>
        </w:rPr>
        <w:t xml:space="preserve"> </w:t>
      </w:r>
      <w:r w:rsidRPr="00B518A4">
        <w:rPr>
          <w:sz w:val="16"/>
          <w:szCs w:val="16"/>
        </w:rPr>
        <w:t xml:space="preserve">BNSSG, </w:t>
      </w:r>
      <w:r w:rsidRPr="00B518A4">
        <w:rPr>
          <w:i/>
          <w:iCs/>
          <w:sz w:val="16"/>
          <w:szCs w:val="16"/>
        </w:rPr>
        <w:t>Letter to the Panel</w:t>
      </w:r>
      <w:r w:rsidRPr="00B518A4">
        <w:rPr>
          <w:sz w:val="16"/>
          <w:szCs w:val="16"/>
        </w:rPr>
        <w:t>, 19 December 2025.</w:t>
      </w:r>
    </w:p>
  </w:footnote>
  <w:footnote w:id="34">
    <w:p w14:paraId="73A38785" w14:textId="77777777" w:rsidR="009239A4" w:rsidRPr="00425557" w:rsidRDefault="009239A4" w:rsidP="009239A4">
      <w:pPr>
        <w:pStyle w:val="FootnoteText"/>
        <w:rPr>
          <w:sz w:val="16"/>
          <w:szCs w:val="16"/>
        </w:rPr>
      </w:pPr>
      <w:r w:rsidRPr="00425557">
        <w:rPr>
          <w:rStyle w:val="FootnoteReference"/>
          <w:sz w:val="16"/>
          <w:szCs w:val="16"/>
        </w:rPr>
        <w:footnoteRef/>
      </w:r>
      <w:r w:rsidRPr="00425557">
        <w:rPr>
          <w:sz w:val="16"/>
          <w:szCs w:val="16"/>
        </w:rPr>
        <w:t xml:space="preserve"> BNSSG told the Panel that “the Register of Board Members’ Interests was checked prior to the ICB Board meetings at which the NEPTS procurement was considered”</w:t>
      </w:r>
      <w:r>
        <w:rPr>
          <w:sz w:val="16"/>
          <w:szCs w:val="16"/>
        </w:rPr>
        <w:t xml:space="preserve">, and </w:t>
      </w:r>
      <w:r w:rsidRPr="00425557">
        <w:rPr>
          <w:sz w:val="16"/>
          <w:szCs w:val="16"/>
        </w:rPr>
        <w:t>BNSSG identified a potential conflict of interest for one of its Board members</w:t>
      </w:r>
      <w:r>
        <w:rPr>
          <w:sz w:val="16"/>
          <w:szCs w:val="16"/>
        </w:rPr>
        <w:t xml:space="preserve">. This member </w:t>
      </w:r>
      <w:r w:rsidRPr="00425557">
        <w:rPr>
          <w:sz w:val="16"/>
          <w:szCs w:val="16"/>
        </w:rPr>
        <w:t xml:space="preserve">subsequently recused themselves from the </w:t>
      </w:r>
      <w:r>
        <w:rPr>
          <w:sz w:val="16"/>
          <w:szCs w:val="16"/>
        </w:rPr>
        <w:t>discussion of the NEPTS procurement (</w:t>
      </w:r>
      <w:r w:rsidRPr="00981C86">
        <w:rPr>
          <w:sz w:val="16"/>
          <w:szCs w:val="16"/>
        </w:rPr>
        <w:t xml:space="preserve">BNSSG, </w:t>
      </w:r>
      <w:r w:rsidRPr="00981C86">
        <w:rPr>
          <w:i/>
          <w:iCs/>
          <w:sz w:val="16"/>
          <w:szCs w:val="16"/>
        </w:rPr>
        <w:t>Response to Panel questions</w:t>
      </w:r>
      <w:r w:rsidRPr="00981C86">
        <w:rPr>
          <w:sz w:val="16"/>
          <w:szCs w:val="16"/>
        </w:rPr>
        <w:t>, 11 December 2025</w:t>
      </w:r>
      <w:r>
        <w:rPr>
          <w:sz w:val="16"/>
          <w:szCs w:val="16"/>
        </w:rPr>
        <w:t>)</w:t>
      </w:r>
      <w:r w:rsidRPr="00981C86">
        <w:rPr>
          <w:sz w:val="16"/>
          <w:szCs w:val="16"/>
        </w:rPr>
        <w:t>.</w:t>
      </w:r>
    </w:p>
  </w:footnote>
  <w:footnote w:id="35">
    <w:p w14:paraId="38E8A469" w14:textId="77777777" w:rsidR="00AB3C56" w:rsidRPr="006A2F7C" w:rsidRDefault="00AB3C56" w:rsidP="00AB3C56">
      <w:pPr>
        <w:pStyle w:val="FootnoteText"/>
        <w:rPr>
          <w:sz w:val="16"/>
          <w:szCs w:val="16"/>
        </w:rPr>
      </w:pPr>
      <w:r w:rsidRPr="006A2F7C">
        <w:rPr>
          <w:rStyle w:val="FootnoteReference"/>
          <w:sz w:val="16"/>
          <w:szCs w:val="16"/>
        </w:rPr>
        <w:footnoteRef/>
      </w:r>
      <w:r w:rsidRPr="006A2F7C">
        <w:rPr>
          <w:sz w:val="16"/>
          <w:szCs w:val="16"/>
        </w:rPr>
        <w:t xml:space="preserve"> BNSSG, </w:t>
      </w:r>
      <w:r w:rsidRPr="006A2F7C">
        <w:rPr>
          <w:i/>
          <w:iCs/>
          <w:sz w:val="16"/>
          <w:szCs w:val="16"/>
        </w:rPr>
        <w:t>Letter to the Panel</w:t>
      </w:r>
      <w:r w:rsidRPr="006A2F7C">
        <w:rPr>
          <w:sz w:val="16"/>
          <w:szCs w:val="16"/>
        </w:rPr>
        <w:t>, 19 December 2025.</w:t>
      </w:r>
    </w:p>
  </w:footnote>
  <w:footnote w:id="36">
    <w:p w14:paraId="53B0415B" w14:textId="77777777" w:rsidR="002D4083" w:rsidRPr="00FB3C15" w:rsidRDefault="002D4083" w:rsidP="002D4083">
      <w:pPr>
        <w:pStyle w:val="FootnoteText"/>
        <w:rPr>
          <w:sz w:val="16"/>
          <w:szCs w:val="16"/>
        </w:rPr>
      </w:pPr>
      <w:r w:rsidRPr="00FB3C15">
        <w:rPr>
          <w:rStyle w:val="FootnoteReference"/>
          <w:sz w:val="16"/>
          <w:szCs w:val="16"/>
        </w:rPr>
        <w:footnoteRef/>
      </w:r>
      <w:r w:rsidRPr="00FB3C15">
        <w:rPr>
          <w:sz w:val="16"/>
          <w:szCs w:val="16"/>
        </w:rPr>
        <w:t xml:space="preserve"> </w:t>
      </w:r>
      <w:r w:rsidRPr="006A2F7C">
        <w:rPr>
          <w:sz w:val="16"/>
          <w:szCs w:val="16"/>
        </w:rPr>
        <w:t xml:space="preserve">BNSSG, </w:t>
      </w:r>
      <w:r w:rsidRPr="006A2F7C">
        <w:rPr>
          <w:i/>
          <w:iCs/>
          <w:sz w:val="16"/>
          <w:szCs w:val="16"/>
        </w:rPr>
        <w:t>Letter to the Panel</w:t>
      </w:r>
      <w:r w:rsidRPr="006A2F7C">
        <w:rPr>
          <w:sz w:val="16"/>
          <w:szCs w:val="16"/>
        </w:rPr>
        <w:t>, 19 December 2025.</w:t>
      </w:r>
    </w:p>
  </w:footnote>
  <w:footnote w:id="37">
    <w:p w14:paraId="39200100" w14:textId="77777777" w:rsidR="002D4083" w:rsidRPr="00B518A4" w:rsidRDefault="002D4083" w:rsidP="002D4083">
      <w:pPr>
        <w:pStyle w:val="FootnoteText"/>
        <w:rPr>
          <w:sz w:val="16"/>
          <w:szCs w:val="16"/>
        </w:rPr>
      </w:pPr>
      <w:r w:rsidRPr="00B518A4">
        <w:rPr>
          <w:rStyle w:val="FootnoteReference"/>
          <w:sz w:val="16"/>
          <w:szCs w:val="16"/>
        </w:rPr>
        <w:footnoteRef/>
      </w:r>
      <w:r w:rsidRPr="00B518A4">
        <w:rPr>
          <w:sz w:val="16"/>
          <w:szCs w:val="16"/>
        </w:rPr>
        <w:t xml:space="preserve"> BNSSG, </w:t>
      </w:r>
      <w:r w:rsidRPr="00B518A4">
        <w:rPr>
          <w:i/>
          <w:iCs/>
          <w:sz w:val="16"/>
          <w:szCs w:val="16"/>
        </w:rPr>
        <w:t>Response to Panel questions</w:t>
      </w:r>
      <w:r w:rsidRPr="00B518A4">
        <w:rPr>
          <w:sz w:val="16"/>
          <w:szCs w:val="16"/>
        </w:rPr>
        <w:t>, 11 December 2025.</w:t>
      </w:r>
    </w:p>
  </w:footnote>
  <w:footnote w:id="38">
    <w:p w14:paraId="19619C0B" w14:textId="77777777" w:rsidR="00BD2518" w:rsidRPr="006A6AEB" w:rsidRDefault="00BD2518" w:rsidP="00BD2518">
      <w:pPr>
        <w:pStyle w:val="FootnoteText"/>
        <w:rPr>
          <w:sz w:val="16"/>
          <w:szCs w:val="16"/>
        </w:rPr>
      </w:pPr>
      <w:r w:rsidRPr="006A6AEB">
        <w:rPr>
          <w:rStyle w:val="FootnoteReference"/>
          <w:sz w:val="16"/>
          <w:szCs w:val="16"/>
        </w:rPr>
        <w:footnoteRef/>
      </w:r>
      <w:r w:rsidRPr="006A6AEB">
        <w:rPr>
          <w:sz w:val="16"/>
          <w:szCs w:val="16"/>
        </w:rPr>
        <w:t xml:space="preserve"> Panel meeting with BNSSG, 15 December 2025.</w:t>
      </w:r>
    </w:p>
  </w:footnote>
  <w:footnote w:id="39">
    <w:p w14:paraId="1BD32BC1" w14:textId="77777777" w:rsidR="002D4083" w:rsidRPr="00B518A4" w:rsidRDefault="002D4083" w:rsidP="002D4083">
      <w:pPr>
        <w:pStyle w:val="FootnoteText"/>
        <w:rPr>
          <w:sz w:val="16"/>
          <w:szCs w:val="16"/>
        </w:rPr>
      </w:pPr>
      <w:r w:rsidRPr="00B518A4">
        <w:rPr>
          <w:rStyle w:val="FootnoteReference"/>
          <w:sz w:val="16"/>
          <w:szCs w:val="16"/>
        </w:rPr>
        <w:footnoteRef/>
      </w:r>
      <w:r w:rsidRPr="00B518A4">
        <w:rPr>
          <w:sz w:val="16"/>
          <w:szCs w:val="16"/>
        </w:rPr>
        <w:t xml:space="preserve"> BNSSG, </w:t>
      </w:r>
      <w:r w:rsidRPr="00B518A4">
        <w:rPr>
          <w:i/>
          <w:iCs/>
          <w:sz w:val="16"/>
          <w:szCs w:val="16"/>
        </w:rPr>
        <w:t>Letter to the Panel</w:t>
      </w:r>
      <w:r w:rsidRPr="00B518A4">
        <w:rPr>
          <w:sz w:val="16"/>
          <w:szCs w:val="16"/>
        </w:rPr>
        <w:t>, 19 December 2025.</w:t>
      </w:r>
    </w:p>
  </w:footnote>
  <w:footnote w:id="40">
    <w:p w14:paraId="28189601" w14:textId="2BD300D4" w:rsidR="00130209" w:rsidRPr="00130209" w:rsidRDefault="00130209">
      <w:pPr>
        <w:pStyle w:val="FootnoteText"/>
        <w:rPr>
          <w:sz w:val="16"/>
          <w:szCs w:val="16"/>
        </w:rPr>
      </w:pPr>
      <w:r w:rsidRPr="00130209">
        <w:rPr>
          <w:rStyle w:val="FootnoteReference"/>
          <w:sz w:val="16"/>
          <w:szCs w:val="16"/>
        </w:rPr>
        <w:footnoteRef/>
      </w:r>
      <w:r w:rsidR="00086524" w:rsidRPr="00086524">
        <w:rPr>
          <w:sz w:val="16"/>
          <w:szCs w:val="16"/>
        </w:rPr>
        <w:t xml:space="preserve"> </w:t>
      </w:r>
      <w:r w:rsidR="00086524" w:rsidRPr="00B518A4">
        <w:rPr>
          <w:sz w:val="16"/>
          <w:szCs w:val="16"/>
        </w:rPr>
        <w:t xml:space="preserve">BNSSG, </w:t>
      </w:r>
      <w:r w:rsidR="00086524" w:rsidRPr="00B518A4">
        <w:rPr>
          <w:i/>
          <w:iCs/>
          <w:sz w:val="16"/>
          <w:szCs w:val="16"/>
        </w:rPr>
        <w:t>Letter to the Panel</w:t>
      </w:r>
      <w:r w:rsidR="00086524" w:rsidRPr="00B518A4">
        <w:rPr>
          <w:sz w:val="16"/>
          <w:szCs w:val="16"/>
        </w:rPr>
        <w:t>, 19 December 2025.</w:t>
      </w:r>
    </w:p>
  </w:footnote>
  <w:footnote w:id="41">
    <w:p w14:paraId="64368243" w14:textId="05E433E2" w:rsidR="007F0648" w:rsidRDefault="007F0648">
      <w:pPr>
        <w:pStyle w:val="FootnoteText"/>
      </w:pPr>
      <w:r w:rsidRPr="007F0648">
        <w:rPr>
          <w:rStyle w:val="FootnoteReference"/>
          <w:sz w:val="16"/>
          <w:szCs w:val="16"/>
        </w:rPr>
        <w:footnoteRef/>
      </w:r>
      <w:r w:rsidRPr="007F0648">
        <w:rPr>
          <w:sz w:val="16"/>
          <w:szCs w:val="16"/>
        </w:rPr>
        <w:t xml:space="preserve"> BNSSG, </w:t>
      </w:r>
      <w:r w:rsidRPr="007F0648">
        <w:rPr>
          <w:i/>
          <w:iCs/>
          <w:sz w:val="16"/>
          <w:szCs w:val="16"/>
        </w:rPr>
        <w:t>Letter to the Panel</w:t>
      </w:r>
      <w:r w:rsidRPr="007F0648">
        <w:rPr>
          <w:sz w:val="16"/>
          <w:szCs w:val="16"/>
        </w:rPr>
        <w:t>, 19 December 2025</w:t>
      </w:r>
      <w:r w:rsidR="00FE55E8">
        <w:rPr>
          <w:sz w:val="16"/>
          <w:szCs w:val="16"/>
        </w:rPr>
        <w:t>.</w:t>
      </w:r>
    </w:p>
  </w:footnote>
  <w:footnote w:id="42">
    <w:p w14:paraId="4B118E12" w14:textId="77777777" w:rsidR="00934952" w:rsidRPr="00052D6D" w:rsidRDefault="00934952" w:rsidP="00934952">
      <w:pPr>
        <w:pStyle w:val="FootnoteText"/>
        <w:rPr>
          <w:sz w:val="16"/>
          <w:szCs w:val="16"/>
        </w:rPr>
      </w:pPr>
      <w:r w:rsidRPr="00052D6D">
        <w:rPr>
          <w:rStyle w:val="FootnoteReference"/>
          <w:sz w:val="16"/>
          <w:szCs w:val="16"/>
        </w:rPr>
        <w:footnoteRef/>
      </w:r>
      <w:r w:rsidRPr="00052D6D">
        <w:rPr>
          <w:sz w:val="16"/>
          <w:szCs w:val="16"/>
        </w:rPr>
        <w:t xml:space="preserve"> HTG, </w:t>
      </w:r>
      <w:r w:rsidRPr="00052D6D">
        <w:rPr>
          <w:i/>
          <w:iCs/>
          <w:sz w:val="16"/>
          <w:szCs w:val="16"/>
        </w:rPr>
        <w:t xml:space="preserve">Representations letter to </w:t>
      </w:r>
      <w:r>
        <w:rPr>
          <w:i/>
          <w:iCs/>
          <w:sz w:val="16"/>
          <w:szCs w:val="16"/>
        </w:rPr>
        <w:t>BNSSG</w:t>
      </w:r>
      <w:r w:rsidRPr="00052D6D">
        <w:rPr>
          <w:sz w:val="16"/>
          <w:szCs w:val="16"/>
        </w:rPr>
        <w:t>, 2 October 2025.</w:t>
      </w:r>
    </w:p>
  </w:footnote>
  <w:footnote w:id="43">
    <w:p w14:paraId="2901D703" w14:textId="77777777" w:rsidR="0074784F" w:rsidRPr="00052D6D" w:rsidRDefault="0074784F" w:rsidP="0074784F">
      <w:pPr>
        <w:pStyle w:val="FootnoteText"/>
        <w:rPr>
          <w:sz w:val="16"/>
          <w:szCs w:val="16"/>
        </w:rPr>
      </w:pPr>
      <w:r w:rsidRPr="00052D6D">
        <w:rPr>
          <w:rStyle w:val="FootnoteReference"/>
          <w:sz w:val="16"/>
          <w:szCs w:val="16"/>
        </w:rPr>
        <w:footnoteRef/>
      </w:r>
      <w:r w:rsidRPr="00052D6D">
        <w:rPr>
          <w:sz w:val="16"/>
          <w:szCs w:val="16"/>
        </w:rPr>
        <w:t xml:space="preserve"> </w:t>
      </w:r>
      <w:r>
        <w:rPr>
          <w:sz w:val="16"/>
          <w:szCs w:val="16"/>
        </w:rPr>
        <w:t>BNSSG</w:t>
      </w:r>
      <w:r w:rsidRPr="00052D6D">
        <w:rPr>
          <w:sz w:val="16"/>
          <w:szCs w:val="16"/>
        </w:rPr>
        <w:t xml:space="preserve">, </w:t>
      </w:r>
      <w:r w:rsidRPr="00052D6D">
        <w:rPr>
          <w:i/>
          <w:iCs/>
          <w:sz w:val="16"/>
          <w:szCs w:val="16"/>
        </w:rPr>
        <w:t>Further Decision letter to HTG</w:t>
      </w:r>
      <w:r w:rsidRPr="00052D6D">
        <w:rPr>
          <w:sz w:val="16"/>
          <w:szCs w:val="16"/>
        </w:rPr>
        <w:t>, 28 October 2025.</w:t>
      </w:r>
    </w:p>
  </w:footnote>
  <w:footnote w:id="44">
    <w:p w14:paraId="2C97E849" w14:textId="1E922F74" w:rsidR="00CC1C50" w:rsidRPr="00241BF3" w:rsidRDefault="00CC1C50">
      <w:pPr>
        <w:pStyle w:val="FootnoteText"/>
        <w:rPr>
          <w:sz w:val="16"/>
          <w:szCs w:val="16"/>
        </w:rPr>
      </w:pPr>
      <w:r w:rsidRPr="00241BF3">
        <w:rPr>
          <w:rStyle w:val="FootnoteReference"/>
          <w:sz w:val="16"/>
          <w:szCs w:val="16"/>
        </w:rPr>
        <w:footnoteRef/>
      </w:r>
      <w:r w:rsidRPr="00241BF3">
        <w:rPr>
          <w:sz w:val="16"/>
          <w:szCs w:val="16"/>
        </w:rPr>
        <w:t xml:space="preserve"> Panel meeting with HTG, </w:t>
      </w:r>
      <w:r w:rsidR="00241BF3" w:rsidRPr="00241BF3">
        <w:rPr>
          <w:sz w:val="16"/>
          <w:szCs w:val="16"/>
        </w:rPr>
        <w:t>5 December 2025.</w:t>
      </w:r>
    </w:p>
  </w:footnote>
  <w:footnote w:id="45">
    <w:p w14:paraId="17A4E9BD" w14:textId="77777777" w:rsidR="008328A2" w:rsidRPr="000237B2" w:rsidRDefault="008328A2" w:rsidP="008328A2">
      <w:pPr>
        <w:pStyle w:val="FootnoteText"/>
        <w:rPr>
          <w:sz w:val="16"/>
          <w:szCs w:val="16"/>
        </w:rPr>
      </w:pPr>
      <w:r w:rsidRPr="000237B2">
        <w:rPr>
          <w:rStyle w:val="FootnoteReference"/>
          <w:sz w:val="16"/>
          <w:szCs w:val="16"/>
        </w:rPr>
        <w:footnoteRef/>
      </w:r>
      <w:r w:rsidRPr="000237B2">
        <w:rPr>
          <w:sz w:val="16"/>
          <w:szCs w:val="16"/>
        </w:rPr>
        <w:t xml:space="preserve"> Panel meeting with </w:t>
      </w:r>
      <w:r>
        <w:rPr>
          <w:sz w:val="16"/>
          <w:szCs w:val="16"/>
        </w:rPr>
        <w:t>BNSSG</w:t>
      </w:r>
      <w:r w:rsidRPr="000237B2">
        <w:rPr>
          <w:sz w:val="16"/>
          <w:szCs w:val="16"/>
        </w:rPr>
        <w:t>, 15 December 2025.</w:t>
      </w:r>
    </w:p>
  </w:footnote>
  <w:footnote w:id="46">
    <w:p w14:paraId="0899A2B2" w14:textId="77777777" w:rsidR="00B36699" w:rsidRPr="007D244D" w:rsidRDefault="00B36699" w:rsidP="00B36699">
      <w:pPr>
        <w:pStyle w:val="FootnoteText"/>
        <w:rPr>
          <w:sz w:val="16"/>
          <w:szCs w:val="16"/>
        </w:rPr>
      </w:pPr>
      <w:r w:rsidRPr="007D244D">
        <w:rPr>
          <w:rStyle w:val="FootnoteReference"/>
          <w:sz w:val="16"/>
          <w:szCs w:val="16"/>
        </w:rPr>
        <w:footnoteRef/>
      </w:r>
      <w:r w:rsidRPr="007D244D">
        <w:rPr>
          <w:sz w:val="16"/>
          <w:szCs w:val="16"/>
        </w:rPr>
        <w:t xml:space="preserve"> Panel meeting with BNSSG, 15 December 2025.</w:t>
      </w:r>
    </w:p>
  </w:footnote>
  <w:footnote w:id="47">
    <w:p w14:paraId="4AD44985" w14:textId="77777777" w:rsidR="00A5538E" w:rsidRPr="00052D6D" w:rsidRDefault="00A5538E" w:rsidP="00A5538E">
      <w:pPr>
        <w:pStyle w:val="FootnoteText"/>
        <w:rPr>
          <w:sz w:val="16"/>
          <w:szCs w:val="16"/>
        </w:rPr>
      </w:pPr>
      <w:r w:rsidRPr="00052D6D">
        <w:rPr>
          <w:rStyle w:val="FootnoteReference"/>
          <w:sz w:val="16"/>
          <w:szCs w:val="16"/>
        </w:rPr>
        <w:footnoteRef/>
      </w:r>
      <w:r w:rsidRPr="00052D6D">
        <w:rPr>
          <w:sz w:val="16"/>
          <w:szCs w:val="16"/>
        </w:rPr>
        <w:t xml:space="preserve"> </w:t>
      </w:r>
      <w:r>
        <w:rPr>
          <w:sz w:val="16"/>
          <w:szCs w:val="16"/>
        </w:rPr>
        <w:t>BNSSG</w:t>
      </w:r>
      <w:r w:rsidRPr="00052D6D">
        <w:rPr>
          <w:sz w:val="16"/>
          <w:szCs w:val="16"/>
        </w:rPr>
        <w:t xml:space="preserve">, </w:t>
      </w:r>
      <w:r w:rsidRPr="00052D6D">
        <w:rPr>
          <w:i/>
          <w:iCs/>
          <w:sz w:val="16"/>
          <w:szCs w:val="16"/>
        </w:rPr>
        <w:t>NEPTS ITT (fina</w:t>
      </w:r>
      <w:r>
        <w:rPr>
          <w:i/>
          <w:iCs/>
          <w:sz w:val="16"/>
          <w:szCs w:val="16"/>
        </w:rPr>
        <w:t>l)</w:t>
      </w:r>
      <w:r w:rsidRPr="00052D6D">
        <w:rPr>
          <w:sz w:val="16"/>
          <w:szCs w:val="16"/>
        </w:rPr>
        <w:t>, 2 May 2025.</w:t>
      </w:r>
    </w:p>
  </w:footnote>
  <w:footnote w:id="48">
    <w:p w14:paraId="0DBFFEB3" w14:textId="77777777" w:rsidR="00BD0E44" w:rsidRPr="006B2DCD" w:rsidRDefault="00BD0E44" w:rsidP="00BD0E44">
      <w:pPr>
        <w:pStyle w:val="FootnoteText"/>
        <w:rPr>
          <w:sz w:val="16"/>
          <w:szCs w:val="16"/>
        </w:rPr>
      </w:pPr>
      <w:r w:rsidRPr="006B2DCD">
        <w:rPr>
          <w:rStyle w:val="FootnoteReference"/>
          <w:sz w:val="16"/>
          <w:szCs w:val="16"/>
        </w:rPr>
        <w:footnoteRef/>
      </w:r>
      <w:r w:rsidRPr="006B2DCD">
        <w:rPr>
          <w:sz w:val="16"/>
          <w:szCs w:val="16"/>
        </w:rPr>
        <w:t xml:space="preserve"> </w:t>
      </w:r>
      <w:r>
        <w:rPr>
          <w:sz w:val="16"/>
          <w:szCs w:val="16"/>
        </w:rPr>
        <w:t>BNSSG</w:t>
      </w:r>
      <w:r w:rsidRPr="006B2DCD">
        <w:rPr>
          <w:sz w:val="16"/>
          <w:szCs w:val="16"/>
        </w:rPr>
        <w:t xml:space="preserve">, </w:t>
      </w:r>
      <w:r w:rsidRPr="006B2DCD">
        <w:rPr>
          <w:i/>
          <w:iCs/>
          <w:sz w:val="16"/>
          <w:szCs w:val="16"/>
        </w:rPr>
        <w:t>Contract Award Recommendation Report</w:t>
      </w:r>
      <w:r w:rsidRPr="006B2DCD">
        <w:rPr>
          <w:sz w:val="16"/>
          <w:szCs w:val="16"/>
        </w:rPr>
        <w:t>, 4 September 2025.</w:t>
      </w:r>
    </w:p>
  </w:footnote>
  <w:footnote w:id="49">
    <w:p w14:paraId="199ADD97" w14:textId="77777777" w:rsidR="00BD0E44" w:rsidRPr="00512FC7" w:rsidRDefault="00BD0E44" w:rsidP="00BD0E44">
      <w:pPr>
        <w:pStyle w:val="FootnoteText"/>
        <w:rPr>
          <w:sz w:val="16"/>
          <w:szCs w:val="16"/>
        </w:rPr>
      </w:pPr>
      <w:r w:rsidRPr="00512FC7">
        <w:rPr>
          <w:rStyle w:val="FootnoteReference"/>
          <w:sz w:val="16"/>
          <w:szCs w:val="16"/>
        </w:rPr>
        <w:footnoteRef/>
      </w:r>
      <w:r w:rsidRPr="00512FC7">
        <w:rPr>
          <w:sz w:val="16"/>
          <w:szCs w:val="16"/>
        </w:rPr>
        <w:t xml:space="preserve"> Panel meeting with BNSSG, 15 December 2025.</w:t>
      </w:r>
    </w:p>
  </w:footnote>
  <w:footnote w:id="50">
    <w:p w14:paraId="669BA262" w14:textId="475D2489" w:rsidR="00D141E6" w:rsidRPr="00D141E6" w:rsidRDefault="00D141E6">
      <w:pPr>
        <w:pStyle w:val="FootnoteText"/>
        <w:rPr>
          <w:sz w:val="16"/>
          <w:szCs w:val="16"/>
        </w:rPr>
      </w:pPr>
      <w:r w:rsidRPr="00233BBF">
        <w:rPr>
          <w:rStyle w:val="FootnoteReference"/>
          <w:sz w:val="16"/>
          <w:szCs w:val="16"/>
        </w:rPr>
        <w:footnoteRef/>
      </w:r>
      <w:r w:rsidRPr="00233BBF">
        <w:rPr>
          <w:sz w:val="16"/>
          <w:szCs w:val="16"/>
        </w:rPr>
        <w:t xml:space="preserve"> </w:t>
      </w:r>
      <w:r w:rsidR="00233BBF" w:rsidRPr="00233BBF">
        <w:rPr>
          <w:sz w:val="16"/>
          <w:szCs w:val="16"/>
        </w:rPr>
        <w:t>BNSSG</w:t>
      </w:r>
      <w:r w:rsidR="00233BBF">
        <w:rPr>
          <w:sz w:val="16"/>
          <w:szCs w:val="16"/>
        </w:rPr>
        <w:t xml:space="preserve">, </w:t>
      </w:r>
      <w:r w:rsidR="00233BBF" w:rsidRPr="00233BBF">
        <w:rPr>
          <w:i/>
          <w:iCs/>
          <w:sz w:val="16"/>
          <w:szCs w:val="16"/>
        </w:rPr>
        <w:t xml:space="preserve">NEPTS </w:t>
      </w:r>
      <w:r w:rsidR="0082646B">
        <w:rPr>
          <w:i/>
          <w:iCs/>
          <w:sz w:val="16"/>
          <w:szCs w:val="16"/>
        </w:rPr>
        <w:t xml:space="preserve">- </w:t>
      </w:r>
      <w:r w:rsidR="00233BBF" w:rsidRPr="00233BBF">
        <w:rPr>
          <w:i/>
          <w:iCs/>
          <w:sz w:val="16"/>
          <w:szCs w:val="16"/>
        </w:rPr>
        <w:t>ITT (final)</w:t>
      </w:r>
      <w:r w:rsidR="00233BBF">
        <w:rPr>
          <w:sz w:val="16"/>
          <w:szCs w:val="16"/>
        </w:rPr>
        <w:t>, 2 May 2025</w:t>
      </w:r>
    </w:p>
  </w:footnote>
  <w:footnote w:id="51">
    <w:p w14:paraId="0E5507B1" w14:textId="180DC922" w:rsidR="000B05CD" w:rsidRPr="0078097A" w:rsidRDefault="000B05CD" w:rsidP="000B05CD">
      <w:pPr>
        <w:pStyle w:val="FootnoteText"/>
        <w:rPr>
          <w:sz w:val="16"/>
          <w:szCs w:val="16"/>
        </w:rPr>
      </w:pPr>
      <w:r w:rsidRPr="00A26AC4">
        <w:rPr>
          <w:rStyle w:val="FootnoteReference"/>
          <w:sz w:val="16"/>
          <w:szCs w:val="16"/>
        </w:rPr>
        <w:footnoteRef/>
      </w:r>
      <w:r w:rsidRPr="00A26AC4">
        <w:rPr>
          <w:sz w:val="16"/>
          <w:szCs w:val="16"/>
        </w:rPr>
        <w:t xml:space="preserve"> </w:t>
      </w:r>
      <w:r w:rsidR="00573B7F" w:rsidRPr="00A26AC4">
        <w:rPr>
          <w:sz w:val="16"/>
          <w:szCs w:val="16"/>
        </w:rPr>
        <w:t xml:space="preserve">BNSSG, </w:t>
      </w:r>
      <w:r w:rsidR="009410B2" w:rsidRPr="00A26AC4">
        <w:rPr>
          <w:i/>
          <w:iCs/>
          <w:sz w:val="16"/>
          <w:szCs w:val="16"/>
        </w:rPr>
        <w:t>Q</w:t>
      </w:r>
      <w:r w:rsidR="00A26AC4" w:rsidRPr="00A26AC4">
        <w:rPr>
          <w:i/>
          <w:iCs/>
          <w:sz w:val="16"/>
          <w:szCs w:val="16"/>
        </w:rPr>
        <w:t>.</w:t>
      </w:r>
      <w:r w:rsidR="009410B2" w:rsidRPr="00A26AC4">
        <w:rPr>
          <w:i/>
          <w:iCs/>
          <w:sz w:val="16"/>
          <w:szCs w:val="16"/>
        </w:rPr>
        <w:t xml:space="preserve">7 </w:t>
      </w:r>
      <w:r w:rsidR="00A26AC4" w:rsidRPr="00A26AC4">
        <w:rPr>
          <w:i/>
          <w:iCs/>
          <w:sz w:val="16"/>
          <w:szCs w:val="16"/>
        </w:rPr>
        <w:t>Moderation Notes</w:t>
      </w:r>
      <w:r w:rsidR="00A26AC4" w:rsidRPr="00A26AC4">
        <w:rPr>
          <w:sz w:val="16"/>
          <w:szCs w:val="16"/>
        </w:rPr>
        <w:t>, 18 July 2025.</w:t>
      </w:r>
    </w:p>
  </w:footnote>
  <w:footnote w:id="52">
    <w:p w14:paraId="2F6F7E7D" w14:textId="77777777" w:rsidR="00D52A35" w:rsidRPr="00C74952" w:rsidRDefault="00D52A35" w:rsidP="00D52A35">
      <w:pPr>
        <w:pStyle w:val="FootnoteText"/>
        <w:rPr>
          <w:sz w:val="16"/>
          <w:szCs w:val="16"/>
        </w:rPr>
      </w:pPr>
      <w:r w:rsidRPr="00C74952">
        <w:rPr>
          <w:rStyle w:val="FootnoteReference"/>
          <w:sz w:val="16"/>
          <w:szCs w:val="16"/>
        </w:rPr>
        <w:footnoteRef/>
      </w:r>
      <w:r w:rsidRPr="00C74952">
        <w:rPr>
          <w:sz w:val="16"/>
          <w:szCs w:val="16"/>
        </w:rPr>
        <w:t xml:space="preserve"> BNSSG</w:t>
      </w:r>
      <w:r w:rsidRPr="00C74952">
        <w:rPr>
          <w:i/>
          <w:iCs/>
          <w:sz w:val="16"/>
          <w:szCs w:val="16"/>
        </w:rPr>
        <w:t>, Response to Panel questions</w:t>
      </w:r>
      <w:r w:rsidRPr="00C74952">
        <w:rPr>
          <w:sz w:val="16"/>
          <w:szCs w:val="16"/>
        </w:rPr>
        <w:t>, 7 January 2026.</w:t>
      </w:r>
    </w:p>
  </w:footnote>
  <w:footnote w:id="53">
    <w:p w14:paraId="0EB84138" w14:textId="77BA01E5" w:rsidR="00DF5FCE" w:rsidRDefault="00DF5FCE">
      <w:pPr>
        <w:pStyle w:val="FootnoteText"/>
      </w:pPr>
      <w:r w:rsidRPr="00DF5FCE">
        <w:rPr>
          <w:rStyle w:val="FootnoteReference"/>
          <w:sz w:val="16"/>
          <w:szCs w:val="16"/>
        </w:rPr>
        <w:footnoteRef/>
      </w:r>
      <w:r w:rsidRPr="00DF5FCE">
        <w:rPr>
          <w:sz w:val="16"/>
          <w:szCs w:val="16"/>
        </w:rPr>
        <w:t xml:space="preserve"> Panel meeting with BNSSG, 15 December 2025.</w:t>
      </w:r>
    </w:p>
  </w:footnote>
  <w:footnote w:id="54">
    <w:p w14:paraId="2DFE2E60" w14:textId="77777777" w:rsidR="00B655A1" w:rsidRPr="00183C5D" w:rsidRDefault="00B655A1" w:rsidP="00B655A1">
      <w:pPr>
        <w:pStyle w:val="FootnoteText"/>
        <w:rPr>
          <w:sz w:val="16"/>
          <w:szCs w:val="16"/>
        </w:rPr>
      </w:pPr>
      <w:r w:rsidRPr="00792620">
        <w:rPr>
          <w:rStyle w:val="FootnoteReference"/>
          <w:sz w:val="16"/>
          <w:szCs w:val="16"/>
        </w:rPr>
        <w:footnoteRef/>
      </w:r>
      <w:r w:rsidRPr="00792620">
        <w:rPr>
          <w:sz w:val="16"/>
          <w:szCs w:val="16"/>
        </w:rPr>
        <w:t xml:space="preserve"> BAEMS, </w:t>
      </w:r>
      <w:r w:rsidRPr="00792620">
        <w:rPr>
          <w:i/>
          <w:sz w:val="16"/>
          <w:szCs w:val="16"/>
        </w:rPr>
        <w:t>Representations to BNSSG</w:t>
      </w:r>
      <w:r w:rsidRPr="00792620">
        <w:rPr>
          <w:sz w:val="16"/>
          <w:szCs w:val="16"/>
        </w:rPr>
        <w:t>, 17 September 2025.</w:t>
      </w:r>
    </w:p>
  </w:footnote>
  <w:footnote w:id="55">
    <w:p w14:paraId="61EE4BB1" w14:textId="77777777" w:rsidR="00B3425A" w:rsidRPr="00052D6D" w:rsidRDefault="00B3425A" w:rsidP="00B3425A">
      <w:pPr>
        <w:pStyle w:val="FootnoteText"/>
        <w:rPr>
          <w:sz w:val="16"/>
          <w:szCs w:val="16"/>
        </w:rPr>
      </w:pPr>
      <w:r w:rsidRPr="00052D6D">
        <w:rPr>
          <w:rStyle w:val="FootnoteReference"/>
          <w:sz w:val="16"/>
          <w:szCs w:val="16"/>
        </w:rPr>
        <w:footnoteRef/>
      </w:r>
      <w:r w:rsidRPr="00052D6D">
        <w:rPr>
          <w:sz w:val="16"/>
          <w:szCs w:val="16"/>
        </w:rPr>
        <w:t xml:space="preserve"> HTG, </w:t>
      </w:r>
      <w:r w:rsidRPr="00052D6D">
        <w:rPr>
          <w:i/>
          <w:iCs/>
          <w:sz w:val="16"/>
          <w:szCs w:val="16"/>
        </w:rPr>
        <w:t xml:space="preserve">Representations letter to </w:t>
      </w:r>
      <w:r>
        <w:rPr>
          <w:i/>
          <w:iCs/>
          <w:sz w:val="16"/>
          <w:szCs w:val="16"/>
        </w:rPr>
        <w:t>BNSSG</w:t>
      </w:r>
      <w:r w:rsidRPr="00052D6D">
        <w:rPr>
          <w:sz w:val="16"/>
          <w:szCs w:val="16"/>
        </w:rPr>
        <w:t>, 2 October 2025.</w:t>
      </w:r>
    </w:p>
  </w:footnote>
  <w:footnote w:id="56">
    <w:p w14:paraId="70508B32" w14:textId="17FAB9FB" w:rsidR="007E11A8" w:rsidRPr="00052D6D" w:rsidRDefault="007E11A8">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told the Panel that </w:t>
      </w:r>
      <w:r w:rsidR="004E6D90" w:rsidRPr="00052D6D">
        <w:rPr>
          <w:sz w:val="16"/>
          <w:szCs w:val="16"/>
        </w:rPr>
        <w:t>“</w:t>
      </w:r>
      <w:r w:rsidR="00750914" w:rsidRPr="00052D6D">
        <w:rPr>
          <w:sz w:val="16"/>
          <w:szCs w:val="16"/>
        </w:rPr>
        <w:t>Where redactions were made to protect privileged or irrelevant material, the redacted material has not been disclosed to EMED or members of the confidentiality ring. Where redactions were applied to protect commercially sensitive information that may have an impact on future competitions, only redacted copies were disclosed to EMED.</w:t>
      </w:r>
      <w:r w:rsidR="00750914">
        <w:rPr>
          <w:sz w:val="16"/>
          <w:szCs w:val="16"/>
        </w:rPr>
        <w:t xml:space="preserve">” </w:t>
      </w:r>
      <w:r w:rsidR="00664EB4">
        <w:rPr>
          <w:sz w:val="16"/>
          <w:szCs w:val="16"/>
        </w:rPr>
        <w:t>BNSSG</w:t>
      </w:r>
      <w:r w:rsidR="00750914">
        <w:rPr>
          <w:sz w:val="16"/>
          <w:szCs w:val="16"/>
        </w:rPr>
        <w:t xml:space="preserve">, </w:t>
      </w:r>
      <w:r w:rsidR="00750914" w:rsidRPr="00052D6D">
        <w:rPr>
          <w:i/>
          <w:iCs/>
          <w:sz w:val="16"/>
          <w:szCs w:val="16"/>
        </w:rPr>
        <w:t>Response to Panel questions</w:t>
      </w:r>
      <w:r w:rsidR="00750914">
        <w:rPr>
          <w:sz w:val="16"/>
          <w:szCs w:val="16"/>
        </w:rPr>
        <w:t xml:space="preserve">, </w:t>
      </w:r>
      <w:r w:rsidR="00B14496">
        <w:rPr>
          <w:sz w:val="16"/>
          <w:szCs w:val="16"/>
        </w:rPr>
        <w:t>11 December 2025.</w:t>
      </w:r>
    </w:p>
  </w:footnote>
  <w:footnote w:id="57">
    <w:p w14:paraId="4D4B4F94" w14:textId="77777777" w:rsidR="00B0092C" w:rsidRPr="00052D6D" w:rsidRDefault="00B0092C" w:rsidP="00B0092C">
      <w:pPr>
        <w:pStyle w:val="FootnoteText"/>
        <w:rPr>
          <w:sz w:val="16"/>
          <w:szCs w:val="16"/>
        </w:rPr>
      </w:pPr>
      <w:r w:rsidRPr="00052D6D">
        <w:rPr>
          <w:rStyle w:val="FootnoteReference"/>
          <w:sz w:val="16"/>
          <w:szCs w:val="16"/>
        </w:rPr>
        <w:footnoteRef/>
      </w:r>
      <w:r w:rsidRPr="00052D6D">
        <w:rPr>
          <w:sz w:val="16"/>
          <w:szCs w:val="16"/>
        </w:rPr>
        <w:t xml:space="preserve"> </w:t>
      </w:r>
      <w:r>
        <w:rPr>
          <w:sz w:val="16"/>
          <w:szCs w:val="16"/>
        </w:rPr>
        <w:t>BNSSG</w:t>
      </w:r>
      <w:r w:rsidRPr="00052D6D">
        <w:rPr>
          <w:sz w:val="16"/>
          <w:szCs w:val="16"/>
        </w:rPr>
        <w:t xml:space="preserve"> told the Panel that the unredacted documents disclosed into the "external lawyers only" confidentiality ring “to the best of the ICB's knowledge, has not been seen by anyone from EMED”. </w:t>
      </w:r>
      <w:r>
        <w:rPr>
          <w:sz w:val="16"/>
          <w:szCs w:val="16"/>
        </w:rPr>
        <w:t>BNSSG</w:t>
      </w:r>
      <w:r w:rsidRPr="00052D6D">
        <w:rPr>
          <w:sz w:val="16"/>
          <w:szCs w:val="16"/>
        </w:rPr>
        <w:t xml:space="preserve">, </w:t>
      </w:r>
      <w:r w:rsidRPr="00052D6D">
        <w:rPr>
          <w:i/>
          <w:iCs/>
          <w:sz w:val="16"/>
          <w:szCs w:val="16"/>
        </w:rPr>
        <w:t>Response to Panel questions</w:t>
      </w:r>
      <w:r w:rsidRPr="00052D6D">
        <w:rPr>
          <w:sz w:val="16"/>
          <w:szCs w:val="16"/>
        </w:rPr>
        <w:t>, 11 December 2025.</w:t>
      </w:r>
    </w:p>
  </w:footnote>
  <w:footnote w:id="58">
    <w:p w14:paraId="76CBC2D8" w14:textId="1210E52B" w:rsidR="00F5480F" w:rsidRPr="00052D6D" w:rsidRDefault="00F5480F">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w:t>
      </w:r>
      <w:r w:rsidRPr="00052D6D">
        <w:rPr>
          <w:i/>
          <w:iCs/>
          <w:sz w:val="16"/>
          <w:szCs w:val="16"/>
        </w:rPr>
        <w:t>Response to Panel questions</w:t>
      </w:r>
      <w:r w:rsidRPr="00052D6D">
        <w:rPr>
          <w:sz w:val="16"/>
          <w:szCs w:val="16"/>
        </w:rPr>
        <w:t>, 11 December 2025.</w:t>
      </w:r>
    </w:p>
  </w:footnote>
  <w:footnote w:id="59">
    <w:p w14:paraId="7246EA78" w14:textId="73F18283" w:rsidR="00557F44" w:rsidRPr="00FA2043" w:rsidRDefault="00557F44" w:rsidP="00557F44">
      <w:pPr>
        <w:pStyle w:val="FootnoteText"/>
        <w:rPr>
          <w:sz w:val="16"/>
          <w:szCs w:val="16"/>
        </w:rPr>
      </w:pPr>
      <w:r w:rsidRPr="00FA2043">
        <w:rPr>
          <w:rStyle w:val="FootnoteReference"/>
          <w:sz w:val="16"/>
          <w:szCs w:val="16"/>
        </w:rPr>
        <w:footnoteRef/>
      </w:r>
      <w:r w:rsidRPr="00FA2043">
        <w:rPr>
          <w:sz w:val="16"/>
          <w:szCs w:val="16"/>
        </w:rPr>
        <w:t xml:space="preserve"> BAEMS, </w:t>
      </w:r>
      <w:r w:rsidRPr="00FA2043">
        <w:rPr>
          <w:i/>
          <w:iCs/>
          <w:sz w:val="16"/>
          <w:szCs w:val="16"/>
        </w:rPr>
        <w:t xml:space="preserve">Representations to </w:t>
      </w:r>
      <w:r w:rsidR="00664EB4">
        <w:rPr>
          <w:i/>
          <w:iCs/>
          <w:sz w:val="16"/>
          <w:szCs w:val="16"/>
        </w:rPr>
        <w:t>BNSSG</w:t>
      </w:r>
      <w:r w:rsidRPr="00FA2043">
        <w:rPr>
          <w:sz w:val="16"/>
          <w:szCs w:val="16"/>
        </w:rPr>
        <w:t>, 17 September 2025.</w:t>
      </w:r>
    </w:p>
  </w:footnote>
  <w:footnote w:id="60">
    <w:p w14:paraId="1244A3FF" w14:textId="5574982F" w:rsidR="00600000" w:rsidRPr="00600000" w:rsidRDefault="00600000">
      <w:pPr>
        <w:pStyle w:val="FootnoteText"/>
        <w:rPr>
          <w:sz w:val="16"/>
          <w:szCs w:val="16"/>
        </w:rPr>
      </w:pPr>
      <w:r w:rsidRPr="00600000">
        <w:rPr>
          <w:rStyle w:val="FootnoteReference"/>
          <w:sz w:val="16"/>
          <w:szCs w:val="16"/>
        </w:rPr>
        <w:footnoteRef/>
      </w:r>
      <w:r w:rsidRPr="00600000">
        <w:rPr>
          <w:sz w:val="16"/>
          <w:szCs w:val="16"/>
        </w:rPr>
        <w:t xml:space="preserve"> </w:t>
      </w:r>
      <w:r w:rsidRPr="00600000">
        <w:rPr>
          <w:sz w:val="16"/>
          <w:szCs w:val="16"/>
        </w:rPr>
        <w:t>The</w:t>
      </w:r>
      <w:r w:rsidRPr="00600000">
        <w:rPr>
          <w:sz w:val="16"/>
          <w:szCs w:val="16"/>
          <w:vertAlign w:val="superscript"/>
        </w:rPr>
        <w:t xml:space="preserve"> </w:t>
      </w:r>
      <w:r w:rsidRPr="00600000">
        <w:rPr>
          <w:sz w:val="16"/>
          <w:szCs w:val="16"/>
        </w:rPr>
        <w:t xml:space="preserve">NHS Somerset ICB report is publicly available at </w:t>
      </w:r>
      <w:hyperlink r:id="rId9" w:history="1">
        <w:r w:rsidRPr="00600000">
          <w:rPr>
            <w:rStyle w:val="Hyperlink"/>
            <w:sz w:val="16"/>
            <w:szCs w:val="16"/>
          </w:rPr>
          <w:t>Enc-J-Exception-Report-Quadrant_May_25-inc-Quality-and-Finance.pdf</w:t>
        </w:r>
      </w:hyperlink>
      <w:r>
        <w:rPr>
          <w:sz w:val="16"/>
          <w:szCs w:val="16"/>
        </w:rPr>
        <w:t>.</w:t>
      </w:r>
    </w:p>
  </w:footnote>
  <w:footnote w:id="61">
    <w:p w14:paraId="12042268" w14:textId="70703BC6" w:rsidR="00FE5782" w:rsidRPr="00514B0D" w:rsidRDefault="00FE5782" w:rsidP="00FE5782">
      <w:pPr>
        <w:pStyle w:val="FootnoteText"/>
        <w:rPr>
          <w:sz w:val="16"/>
          <w:szCs w:val="16"/>
        </w:rPr>
      </w:pPr>
      <w:r w:rsidRPr="00D560CB">
        <w:rPr>
          <w:rStyle w:val="FootnoteReference"/>
          <w:sz w:val="16"/>
          <w:szCs w:val="16"/>
        </w:rPr>
        <w:footnoteRef/>
      </w:r>
      <w:r w:rsidRPr="00D560CB">
        <w:rPr>
          <w:sz w:val="16"/>
          <w:szCs w:val="16"/>
        </w:rPr>
        <w:t xml:space="preserve"> NHS England, PSR Statutory Guidance p.31, April 2025</w:t>
      </w:r>
      <w:r w:rsidR="00E51D33">
        <w:rPr>
          <w:sz w:val="16"/>
          <w:szCs w:val="16"/>
        </w:rPr>
        <w:t>.</w:t>
      </w:r>
      <w:r w:rsidRPr="00514B0D">
        <w:rPr>
          <w:sz w:val="16"/>
          <w:szCs w:val="16"/>
        </w:rPr>
        <w:t xml:space="preserve"> </w:t>
      </w:r>
    </w:p>
  </w:footnote>
  <w:footnote w:id="62">
    <w:p w14:paraId="39B985E0" w14:textId="725B2ACD" w:rsidR="00557F44" w:rsidRPr="00537180" w:rsidRDefault="00557F44" w:rsidP="00557F44">
      <w:pPr>
        <w:pStyle w:val="FootnoteText"/>
        <w:rPr>
          <w:sz w:val="16"/>
          <w:szCs w:val="16"/>
        </w:rPr>
      </w:pPr>
      <w:r w:rsidRPr="00537180">
        <w:rPr>
          <w:rStyle w:val="FootnoteReference"/>
          <w:sz w:val="16"/>
          <w:szCs w:val="16"/>
        </w:rPr>
        <w:footnoteRef/>
      </w:r>
      <w:r w:rsidRPr="00537180">
        <w:rPr>
          <w:sz w:val="16"/>
          <w:szCs w:val="16"/>
        </w:rPr>
        <w:t xml:space="preserve"> </w:t>
      </w:r>
      <w:r w:rsidR="00664EB4">
        <w:rPr>
          <w:sz w:val="16"/>
          <w:szCs w:val="16"/>
        </w:rPr>
        <w:t>BNSSG</w:t>
      </w:r>
      <w:r w:rsidRPr="00537180">
        <w:rPr>
          <w:sz w:val="16"/>
          <w:szCs w:val="16"/>
        </w:rPr>
        <w:t xml:space="preserve">, </w:t>
      </w:r>
      <w:r w:rsidRPr="00537180">
        <w:rPr>
          <w:i/>
          <w:iCs/>
          <w:sz w:val="16"/>
          <w:szCs w:val="16"/>
        </w:rPr>
        <w:t>NEPTS ITT (final),</w:t>
      </w:r>
      <w:r w:rsidRPr="00537180">
        <w:rPr>
          <w:sz w:val="16"/>
          <w:szCs w:val="16"/>
        </w:rPr>
        <w:t xml:space="preserve"> 2 May 2025.</w:t>
      </w:r>
    </w:p>
  </w:footnote>
  <w:footnote w:id="63">
    <w:p w14:paraId="7F1AA92B" w14:textId="396C77E4" w:rsidR="00D116B6" w:rsidRPr="00052D6D" w:rsidRDefault="00D116B6">
      <w:pPr>
        <w:pStyle w:val="FootnoteText"/>
        <w:rPr>
          <w:sz w:val="16"/>
          <w:szCs w:val="16"/>
        </w:rPr>
      </w:pPr>
      <w:r w:rsidRPr="00052D6D">
        <w:rPr>
          <w:rStyle w:val="FootnoteReference"/>
          <w:sz w:val="16"/>
          <w:szCs w:val="16"/>
        </w:rPr>
        <w:footnoteRef/>
      </w:r>
      <w:r w:rsidRPr="00052D6D">
        <w:rPr>
          <w:sz w:val="16"/>
          <w:szCs w:val="16"/>
        </w:rPr>
        <w:t xml:space="preserve"> </w:t>
      </w:r>
      <w:r w:rsidR="00664EB4">
        <w:rPr>
          <w:sz w:val="16"/>
          <w:szCs w:val="16"/>
        </w:rPr>
        <w:t>BNSSG</w:t>
      </w:r>
      <w:r w:rsidRPr="00052D6D">
        <w:rPr>
          <w:sz w:val="16"/>
          <w:szCs w:val="16"/>
        </w:rPr>
        <w:t xml:space="preserve">, </w:t>
      </w:r>
      <w:r w:rsidRPr="00052D6D">
        <w:rPr>
          <w:i/>
          <w:iCs/>
          <w:sz w:val="16"/>
          <w:szCs w:val="16"/>
        </w:rPr>
        <w:t>Response to Panel questions</w:t>
      </w:r>
      <w:r w:rsidRPr="00052D6D">
        <w:rPr>
          <w:sz w:val="16"/>
          <w:szCs w:val="16"/>
        </w:rPr>
        <w:t>, 11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64E6" w14:textId="77777777" w:rsidR="000B1670" w:rsidRDefault="000B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BBB"/>
    <w:multiLevelType w:val="hybridMultilevel"/>
    <w:tmpl w:val="476A05E8"/>
    <w:lvl w:ilvl="0" w:tplc="0C0814B8">
      <w:start w:val="1"/>
      <w:numFmt w:val="lowerLetter"/>
      <w:lvlText w:val="%1)"/>
      <w:lvlJc w:val="left"/>
      <w:pPr>
        <w:ind w:left="1020" w:hanging="360"/>
      </w:pPr>
    </w:lvl>
    <w:lvl w:ilvl="1" w:tplc="4CE2E4AE">
      <w:start w:val="1"/>
      <w:numFmt w:val="lowerLetter"/>
      <w:lvlText w:val="%2)"/>
      <w:lvlJc w:val="left"/>
      <w:pPr>
        <w:ind w:left="1020" w:hanging="360"/>
      </w:pPr>
    </w:lvl>
    <w:lvl w:ilvl="2" w:tplc="927ABBCC">
      <w:start w:val="1"/>
      <w:numFmt w:val="lowerLetter"/>
      <w:lvlText w:val="%3)"/>
      <w:lvlJc w:val="left"/>
      <w:pPr>
        <w:ind w:left="1020" w:hanging="360"/>
      </w:pPr>
    </w:lvl>
    <w:lvl w:ilvl="3" w:tplc="3072F450">
      <w:start w:val="1"/>
      <w:numFmt w:val="lowerLetter"/>
      <w:lvlText w:val="%4)"/>
      <w:lvlJc w:val="left"/>
      <w:pPr>
        <w:ind w:left="1020" w:hanging="360"/>
      </w:pPr>
    </w:lvl>
    <w:lvl w:ilvl="4" w:tplc="212E4E6C">
      <w:start w:val="1"/>
      <w:numFmt w:val="lowerLetter"/>
      <w:lvlText w:val="%5)"/>
      <w:lvlJc w:val="left"/>
      <w:pPr>
        <w:ind w:left="1020" w:hanging="360"/>
      </w:pPr>
    </w:lvl>
    <w:lvl w:ilvl="5" w:tplc="EF7AAFFA">
      <w:start w:val="1"/>
      <w:numFmt w:val="lowerLetter"/>
      <w:lvlText w:val="%6)"/>
      <w:lvlJc w:val="left"/>
      <w:pPr>
        <w:ind w:left="1020" w:hanging="360"/>
      </w:pPr>
    </w:lvl>
    <w:lvl w:ilvl="6" w:tplc="A5089C8A">
      <w:start w:val="1"/>
      <w:numFmt w:val="lowerLetter"/>
      <w:lvlText w:val="%7)"/>
      <w:lvlJc w:val="left"/>
      <w:pPr>
        <w:ind w:left="1020" w:hanging="360"/>
      </w:pPr>
    </w:lvl>
    <w:lvl w:ilvl="7" w:tplc="DF9C1686">
      <w:start w:val="1"/>
      <w:numFmt w:val="lowerLetter"/>
      <w:lvlText w:val="%8)"/>
      <w:lvlJc w:val="left"/>
      <w:pPr>
        <w:ind w:left="1020" w:hanging="360"/>
      </w:pPr>
    </w:lvl>
    <w:lvl w:ilvl="8" w:tplc="57ACCE10">
      <w:start w:val="1"/>
      <w:numFmt w:val="lowerLetter"/>
      <w:lvlText w:val="%9)"/>
      <w:lvlJc w:val="left"/>
      <w:pPr>
        <w:ind w:left="1020" w:hanging="360"/>
      </w:pPr>
    </w:lvl>
  </w:abstractNum>
  <w:abstractNum w:abstractNumId="1" w15:restartNumberingAfterBreak="0">
    <w:nsid w:val="09CA42DF"/>
    <w:multiLevelType w:val="hybridMultilevel"/>
    <w:tmpl w:val="72E8A22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2" w15:restartNumberingAfterBreak="0">
    <w:nsid w:val="0BFE5036"/>
    <w:multiLevelType w:val="hybridMultilevel"/>
    <w:tmpl w:val="0090FD1C"/>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D176A7A"/>
    <w:multiLevelType w:val="hybridMultilevel"/>
    <w:tmpl w:val="3A32D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18499D"/>
    <w:multiLevelType w:val="multilevel"/>
    <w:tmpl w:val="89AACCC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2123D5"/>
    <w:multiLevelType w:val="hybridMultilevel"/>
    <w:tmpl w:val="C986CE14"/>
    <w:lvl w:ilvl="0" w:tplc="E88C09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7EDB"/>
    <w:multiLevelType w:val="hybridMultilevel"/>
    <w:tmpl w:val="D8EC7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905FD"/>
    <w:multiLevelType w:val="hybridMultilevel"/>
    <w:tmpl w:val="E2E4C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CC307F"/>
    <w:multiLevelType w:val="hybridMultilevel"/>
    <w:tmpl w:val="798A0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07C9B"/>
    <w:multiLevelType w:val="hybridMultilevel"/>
    <w:tmpl w:val="0090FD1C"/>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FCB6ED7"/>
    <w:multiLevelType w:val="multilevel"/>
    <w:tmpl w:val="F99E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ED5B42"/>
    <w:multiLevelType w:val="multilevel"/>
    <w:tmpl w:val="95EA96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79643F"/>
    <w:multiLevelType w:val="hybridMultilevel"/>
    <w:tmpl w:val="35D6BA0C"/>
    <w:lvl w:ilvl="0" w:tplc="545E28D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8631430"/>
    <w:multiLevelType w:val="multilevel"/>
    <w:tmpl w:val="7868CA7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AC91F19"/>
    <w:multiLevelType w:val="hybridMultilevel"/>
    <w:tmpl w:val="57327004"/>
    <w:lvl w:ilvl="0" w:tplc="E3501A90">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C84068"/>
    <w:multiLevelType w:val="multilevel"/>
    <w:tmpl w:val="3FD4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8D45E2"/>
    <w:multiLevelType w:val="multilevel"/>
    <w:tmpl w:val="62502D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4E1A24"/>
    <w:multiLevelType w:val="hybridMultilevel"/>
    <w:tmpl w:val="493C100E"/>
    <w:lvl w:ilvl="0" w:tplc="358CB5B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25A365A"/>
    <w:multiLevelType w:val="hybridMultilevel"/>
    <w:tmpl w:val="9CA4AB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401121F"/>
    <w:multiLevelType w:val="hybridMultilevel"/>
    <w:tmpl w:val="EBA6EFD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4BF06A0"/>
    <w:multiLevelType w:val="hybridMultilevel"/>
    <w:tmpl w:val="B2D65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2D045B"/>
    <w:multiLevelType w:val="hybridMultilevel"/>
    <w:tmpl w:val="99386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241EE6"/>
    <w:multiLevelType w:val="hybridMultilevel"/>
    <w:tmpl w:val="3A4E41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C3E37B1"/>
    <w:multiLevelType w:val="multilevel"/>
    <w:tmpl w:val="87D8E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DD1054"/>
    <w:multiLevelType w:val="hybridMultilevel"/>
    <w:tmpl w:val="46EE8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0D2F9F"/>
    <w:multiLevelType w:val="multilevel"/>
    <w:tmpl w:val="28F0FB8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E500EEB"/>
    <w:multiLevelType w:val="hybridMultilevel"/>
    <w:tmpl w:val="F6666B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F4A128C"/>
    <w:multiLevelType w:val="multilevel"/>
    <w:tmpl w:val="702C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F13D7"/>
    <w:multiLevelType w:val="hybridMultilevel"/>
    <w:tmpl w:val="A77A727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51B85970"/>
    <w:multiLevelType w:val="hybridMultilevel"/>
    <w:tmpl w:val="0090FD1C"/>
    <w:lvl w:ilvl="0" w:tplc="74A082A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30D6AC9"/>
    <w:multiLevelType w:val="multilevel"/>
    <w:tmpl w:val="B89857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31A4D45"/>
    <w:multiLevelType w:val="multilevel"/>
    <w:tmpl w:val="416665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34C5B01"/>
    <w:multiLevelType w:val="hybridMultilevel"/>
    <w:tmpl w:val="196CC3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71D4A84"/>
    <w:multiLevelType w:val="multilevel"/>
    <w:tmpl w:val="EE3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40700A"/>
    <w:multiLevelType w:val="hybridMultilevel"/>
    <w:tmpl w:val="848C797A"/>
    <w:lvl w:ilvl="0" w:tplc="F7121582">
      <w:start w:val="1"/>
      <w:numFmt w:val="lowerLetter"/>
      <w:lvlText w:val="(%1)"/>
      <w:lvlJc w:val="left"/>
      <w:pPr>
        <w:ind w:left="1443" w:hanging="876"/>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57E52BDA"/>
    <w:multiLevelType w:val="multilevel"/>
    <w:tmpl w:val="ED103E4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8586E22"/>
    <w:multiLevelType w:val="hybridMultilevel"/>
    <w:tmpl w:val="D360A29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B18795C"/>
    <w:multiLevelType w:val="multilevel"/>
    <w:tmpl w:val="05B0B1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C46181"/>
    <w:multiLevelType w:val="hybridMultilevel"/>
    <w:tmpl w:val="CFC06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9677A2"/>
    <w:multiLevelType w:val="multilevel"/>
    <w:tmpl w:val="88A6AE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9E83F4A"/>
    <w:multiLevelType w:val="multilevel"/>
    <w:tmpl w:val="608EB8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CAB2230"/>
    <w:multiLevelType w:val="multilevel"/>
    <w:tmpl w:val="6BD2B4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DBE71CD"/>
    <w:multiLevelType w:val="multilevel"/>
    <w:tmpl w:val="51A0BFA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B554A1"/>
    <w:multiLevelType w:val="hybridMultilevel"/>
    <w:tmpl w:val="51246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331EC2"/>
    <w:multiLevelType w:val="multilevel"/>
    <w:tmpl w:val="852EB2B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4220C3B"/>
    <w:multiLevelType w:val="hybridMultilevel"/>
    <w:tmpl w:val="AE6CF4A4"/>
    <w:lvl w:ilvl="0" w:tplc="D15408C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75B20286"/>
    <w:multiLevelType w:val="hybridMultilevel"/>
    <w:tmpl w:val="E0524E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5F87971"/>
    <w:multiLevelType w:val="hybridMultilevel"/>
    <w:tmpl w:val="741E0D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7500CB9"/>
    <w:multiLevelType w:val="multilevel"/>
    <w:tmpl w:val="88243C2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77E86359"/>
    <w:multiLevelType w:val="hybridMultilevel"/>
    <w:tmpl w:val="78E440A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DA864B9"/>
    <w:multiLevelType w:val="hybridMultilevel"/>
    <w:tmpl w:val="9A58CE8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7DC42BDA"/>
    <w:multiLevelType w:val="multilevel"/>
    <w:tmpl w:val="1B5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8C5F3B"/>
    <w:multiLevelType w:val="multilevel"/>
    <w:tmpl w:val="43E05F9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5452540">
    <w:abstractNumId w:val="35"/>
  </w:num>
  <w:num w:numId="2" w16cid:durableId="900334188">
    <w:abstractNumId w:val="14"/>
  </w:num>
  <w:num w:numId="3" w16cid:durableId="1793481299">
    <w:abstractNumId w:val="46"/>
  </w:num>
  <w:num w:numId="4" w16cid:durableId="2054231302">
    <w:abstractNumId w:val="21"/>
  </w:num>
  <w:num w:numId="5" w16cid:durableId="1308901028">
    <w:abstractNumId w:val="24"/>
  </w:num>
  <w:num w:numId="6" w16cid:durableId="126898089">
    <w:abstractNumId w:val="20"/>
  </w:num>
  <w:num w:numId="7" w16cid:durableId="1550723874">
    <w:abstractNumId w:val="43"/>
  </w:num>
  <w:num w:numId="8" w16cid:durableId="737557888">
    <w:abstractNumId w:val="3"/>
  </w:num>
  <w:num w:numId="9" w16cid:durableId="102071616">
    <w:abstractNumId w:val="26"/>
  </w:num>
  <w:num w:numId="10" w16cid:durableId="377706893">
    <w:abstractNumId w:val="28"/>
  </w:num>
  <w:num w:numId="11" w16cid:durableId="1530028636">
    <w:abstractNumId w:val="29"/>
  </w:num>
  <w:num w:numId="12" w16cid:durableId="2011130118">
    <w:abstractNumId w:val="0"/>
  </w:num>
  <w:num w:numId="13" w16cid:durableId="1704118">
    <w:abstractNumId w:val="5"/>
  </w:num>
  <w:num w:numId="14" w16cid:durableId="1416172334">
    <w:abstractNumId w:val="6"/>
  </w:num>
  <w:num w:numId="15" w16cid:durableId="1603801842">
    <w:abstractNumId w:val="19"/>
  </w:num>
  <w:num w:numId="16" w16cid:durableId="1392537924">
    <w:abstractNumId w:val="7"/>
  </w:num>
  <w:num w:numId="17" w16cid:durableId="461778125">
    <w:abstractNumId w:val="23"/>
  </w:num>
  <w:num w:numId="18" w16cid:durableId="1878614608">
    <w:abstractNumId w:val="40"/>
  </w:num>
  <w:num w:numId="19" w16cid:durableId="328140713">
    <w:abstractNumId w:val="30"/>
  </w:num>
  <w:num w:numId="20" w16cid:durableId="871109765">
    <w:abstractNumId w:val="11"/>
  </w:num>
  <w:num w:numId="21" w16cid:durableId="349261236">
    <w:abstractNumId w:val="41"/>
  </w:num>
  <w:num w:numId="22" w16cid:durableId="998071897">
    <w:abstractNumId w:val="16"/>
  </w:num>
  <w:num w:numId="23" w16cid:durableId="1110080296">
    <w:abstractNumId w:val="31"/>
  </w:num>
  <w:num w:numId="24" w16cid:durableId="905409433">
    <w:abstractNumId w:val="52"/>
  </w:num>
  <w:num w:numId="25" w16cid:durableId="124275021">
    <w:abstractNumId w:val="4"/>
  </w:num>
  <w:num w:numId="26" w16cid:durableId="150103781">
    <w:abstractNumId w:val="37"/>
  </w:num>
  <w:num w:numId="27" w16cid:durableId="657421175">
    <w:abstractNumId w:val="38"/>
  </w:num>
  <w:num w:numId="28" w16cid:durableId="2097243970">
    <w:abstractNumId w:val="51"/>
  </w:num>
  <w:num w:numId="29" w16cid:durableId="1038359202">
    <w:abstractNumId w:val="10"/>
  </w:num>
  <w:num w:numId="30" w16cid:durableId="651370492">
    <w:abstractNumId w:val="22"/>
  </w:num>
  <w:num w:numId="31" w16cid:durableId="1358240404">
    <w:abstractNumId w:val="27"/>
  </w:num>
  <w:num w:numId="32" w16cid:durableId="893739112">
    <w:abstractNumId w:val="33"/>
  </w:num>
  <w:num w:numId="33" w16cid:durableId="481504201">
    <w:abstractNumId w:val="15"/>
  </w:num>
  <w:num w:numId="34" w16cid:durableId="1934775992">
    <w:abstractNumId w:val="1"/>
  </w:num>
  <w:num w:numId="35" w16cid:durableId="886599108">
    <w:abstractNumId w:val="18"/>
  </w:num>
  <w:num w:numId="36" w16cid:durableId="2095585019">
    <w:abstractNumId w:val="39"/>
  </w:num>
  <w:num w:numId="37" w16cid:durableId="815148924">
    <w:abstractNumId w:val="25"/>
  </w:num>
  <w:num w:numId="38" w16cid:durableId="1023869779">
    <w:abstractNumId w:val="48"/>
  </w:num>
  <w:num w:numId="39" w16cid:durableId="1064834925">
    <w:abstractNumId w:val="13"/>
  </w:num>
  <w:num w:numId="40" w16cid:durableId="1431511048">
    <w:abstractNumId w:val="44"/>
  </w:num>
  <w:num w:numId="41" w16cid:durableId="112143089">
    <w:abstractNumId w:val="8"/>
  </w:num>
  <w:num w:numId="42" w16cid:durableId="1977565657">
    <w:abstractNumId w:val="36"/>
  </w:num>
  <w:num w:numId="43" w16cid:durableId="196937792">
    <w:abstractNumId w:val="49"/>
  </w:num>
  <w:num w:numId="44" w16cid:durableId="558516855">
    <w:abstractNumId w:val="50"/>
  </w:num>
  <w:num w:numId="45" w16cid:durableId="1635021370">
    <w:abstractNumId w:val="47"/>
  </w:num>
  <w:num w:numId="46" w16cid:durableId="1867449009">
    <w:abstractNumId w:val="45"/>
  </w:num>
  <w:num w:numId="47" w16cid:durableId="198513867">
    <w:abstractNumId w:val="32"/>
  </w:num>
  <w:num w:numId="48" w16cid:durableId="1419403136">
    <w:abstractNumId w:val="34"/>
  </w:num>
  <w:num w:numId="49" w16cid:durableId="2027436236">
    <w:abstractNumId w:val="17"/>
  </w:num>
  <w:num w:numId="50" w16cid:durableId="252596406">
    <w:abstractNumId w:val="12"/>
  </w:num>
  <w:num w:numId="51" w16cid:durableId="146635279">
    <w:abstractNumId w:val="42"/>
  </w:num>
  <w:num w:numId="52" w16cid:durableId="626011130">
    <w:abstractNumId w:val="9"/>
  </w:num>
  <w:num w:numId="53" w16cid:durableId="9724340">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UcJITdXlyaz/22KpcMdTJW+i3aXpQ5iD1726qEb9Ti8BL/59ueDyMrK1gbUFIW89jQLsP2kTXs35ydQi+E89g==" w:salt="PEkLeM4u3h0sisHLjLH3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4453346"/>
    <w:docVar w:name="DMSDocVersion" w:val="1"/>
    <w:docVar w:name="FSAuthorLogon" w:val="HILLD"/>
    <w:docVar w:name="FSAuthorName" w:val="HILLD | Hill, David"/>
    <w:docVar w:name="FSClientName" w:val="Personal"/>
    <w:docVar w:name="FSClientNumber" w:val="PRIVATE"/>
    <w:docVar w:name="FSDocNumber" w:val="84453346"/>
    <w:docVar w:name="FSDocVersion" w:val="1"/>
    <w:docVar w:name="FSMatterDesc" w:val="Hill, David"/>
    <w:docVar w:name="FSMatterNumber" w:val="HILLD"/>
  </w:docVars>
  <w:rsids>
    <w:rsidRoot w:val="001A3618"/>
    <w:rsid w:val="000000A0"/>
    <w:rsid w:val="000008B8"/>
    <w:rsid w:val="000018E7"/>
    <w:rsid w:val="000019A8"/>
    <w:rsid w:val="00001EC8"/>
    <w:rsid w:val="00001EF5"/>
    <w:rsid w:val="000022AD"/>
    <w:rsid w:val="000022EE"/>
    <w:rsid w:val="00002718"/>
    <w:rsid w:val="00002E2F"/>
    <w:rsid w:val="0000309A"/>
    <w:rsid w:val="00003210"/>
    <w:rsid w:val="0000329D"/>
    <w:rsid w:val="000032BD"/>
    <w:rsid w:val="00003814"/>
    <w:rsid w:val="00003BDD"/>
    <w:rsid w:val="00004179"/>
    <w:rsid w:val="000047A5"/>
    <w:rsid w:val="000049B6"/>
    <w:rsid w:val="00004B1A"/>
    <w:rsid w:val="00004EE3"/>
    <w:rsid w:val="0000517F"/>
    <w:rsid w:val="00005B77"/>
    <w:rsid w:val="00005D78"/>
    <w:rsid w:val="00005EF0"/>
    <w:rsid w:val="00006616"/>
    <w:rsid w:val="00006D73"/>
    <w:rsid w:val="00006D87"/>
    <w:rsid w:val="00007ADF"/>
    <w:rsid w:val="00010899"/>
    <w:rsid w:val="0001130B"/>
    <w:rsid w:val="00011667"/>
    <w:rsid w:val="00011813"/>
    <w:rsid w:val="000119C8"/>
    <w:rsid w:val="00011C0A"/>
    <w:rsid w:val="00012234"/>
    <w:rsid w:val="00012358"/>
    <w:rsid w:val="00012382"/>
    <w:rsid w:val="0001252B"/>
    <w:rsid w:val="0001293E"/>
    <w:rsid w:val="00013216"/>
    <w:rsid w:val="00013576"/>
    <w:rsid w:val="000135CA"/>
    <w:rsid w:val="0001360B"/>
    <w:rsid w:val="00013811"/>
    <w:rsid w:val="00013A14"/>
    <w:rsid w:val="000141FC"/>
    <w:rsid w:val="000156CC"/>
    <w:rsid w:val="000156DF"/>
    <w:rsid w:val="00015C6C"/>
    <w:rsid w:val="00015DF6"/>
    <w:rsid w:val="00015EEC"/>
    <w:rsid w:val="00016C64"/>
    <w:rsid w:val="00016CE8"/>
    <w:rsid w:val="0001712B"/>
    <w:rsid w:val="0001738C"/>
    <w:rsid w:val="00017686"/>
    <w:rsid w:val="0001782A"/>
    <w:rsid w:val="00017BE7"/>
    <w:rsid w:val="00017D4C"/>
    <w:rsid w:val="00017DB2"/>
    <w:rsid w:val="00017DD9"/>
    <w:rsid w:val="00017E7E"/>
    <w:rsid w:val="0002038C"/>
    <w:rsid w:val="00020CAB"/>
    <w:rsid w:val="00020D50"/>
    <w:rsid w:val="00020DD3"/>
    <w:rsid w:val="000212AD"/>
    <w:rsid w:val="0002158E"/>
    <w:rsid w:val="00021BF1"/>
    <w:rsid w:val="00021C7A"/>
    <w:rsid w:val="00021EA4"/>
    <w:rsid w:val="00021F2B"/>
    <w:rsid w:val="000222DB"/>
    <w:rsid w:val="00022328"/>
    <w:rsid w:val="00022537"/>
    <w:rsid w:val="00022A45"/>
    <w:rsid w:val="00022E2B"/>
    <w:rsid w:val="00023C87"/>
    <w:rsid w:val="00023F81"/>
    <w:rsid w:val="000241FB"/>
    <w:rsid w:val="000249A9"/>
    <w:rsid w:val="00025304"/>
    <w:rsid w:val="00025504"/>
    <w:rsid w:val="00025596"/>
    <w:rsid w:val="000255A0"/>
    <w:rsid w:val="00025674"/>
    <w:rsid w:val="000258BA"/>
    <w:rsid w:val="00025BA4"/>
    <w:rsid w:val="00025D5F"/>
    <w:rsid w:val="00025E3C"/>
    <w:rsid w:val="00025F58"/>
    <w:rsid w:val="0002603F"/>
    <w:rsid w:val="000260F6"/>
    <w:rsid w:val="0002644A"/>
    <w:rsid w:val="00026899"/>
    <w:rsid w:val="000269FF"/>
    <w:rsid w:val="00027113"/>
    <w:rsid w:val="000278F4"/>
    <w:rsid w:val="00030323"/>
    <w:rsid w:val="000304AF"/>
    <w:rsid w:val="000308B1"/>
    <w:rsid w:val="00030A86"/>
    <w:rsid w:val="00030AF7"/>
    <w:rsid w:val="00030B0E"/>
    <w:rsid w:val="00030C8A"/>
    <w:rsid w:val="00030FC2"/>
    <w:rsid w:val="0003103F"/>
    <w:rsid w:val="000312E1"/>
    <w:rsid w:val="00031762"/>
    <w:rsid w:val="00031BDA"/>
    <w:rsid w:val="000325F1"/>
    <w:rsid w:val="00032CEA"/>
    <w:rsid w:val="0003498D"/>
    <w:rsid w:val="00034D6F"/>
    <w:rsid w:val="00034EF0"/>
    <w:rsid w:val="000351F0"/>
    <w:rsid w:val="00035936"/>
    <w:rsid w:val="00035BE2"/>
    <w:rsid w:val="00036111"/>
    <w:rsid w:val="0003618C"/>
    <w:rsid w:val="000366BA"/>
    <w:rsid w:val="00036FDC"/>
    <w:rsid w:val="0003730F"/>
    <w:rsid w:val="00037B05"/>
    <w:rsid w:val="00037B12"/>
    <w:rsid w:val="00037B3E"/>
    <w:rsid w:val="00037D5D"/>
    <w:rsid w:val="00037DB6"/>
    <w:rsid w:val="0003E999"/>
    <w:rsid w:val="000408E3"/>
    <w:rsid w:val="00040E20"/>
    <w:rsid w:val="00040EC2"/>
    <w:rsid w:val="000417EF"/>
    <w:rsid w:val="00041839"/>
    <w:rsid w:val="0004199A"/>
    <w:rsid w:val="000419F6"/>
    <w:rsid w:val="00041A43"/>
    <w:rsid w:val="00041C17"/>
    <w:rsid w:val="0004260A"/>
    <w:rsid w:val="000426B7"/>
    <w:rsid w:val="00042BC3"/>
    <w:rsid w:val="0004305F"/>
    <w:rsid w:val="00043444"/>
    <w:rsid w:val="00043567"/>
    <w:rsid w:val="00043806"/>
    <w:rsid w:val="000438C8"/>
    <w:rsid w:val="00043A58"/>
    <w:rsid w:val="00043D13"/>
    <w:rsid w:val="0004406E"/>
    <w:rsid w:val="00044110"/>
    <w:rsid w:val="000443A2"/>
    <w:rsid w:val="00044598"/>
    <w:rsid w:val="00044A74"/>
    <w:rsid w:val="00044B32"/>
    <w:rsid w:val="000452A5"/>
    <w:rsid w:val="000453D3"/>
    <w:rsid w:val="00045417"/>
    <w:rsid w:val="00046168"/>
    <w:rsid w:val="0004647A"/>
    <w:rsid w:val="0004729F"/>
    <w:rsid w:val="000472B2"/>
    <w:rsid w:val="000473E6"/>
    <w:rsid w:val="00047B24"/>
    <w:rsid w:val="00047B47"/>
    <w:rsid w:val="00047DB0"/>
    <w:rsid w:val="000500DC"/>
    <w:rsid w:val="000504A2"/>
    <w:rsid w:val="00050869"/>
    <w:rsid w:val="0005129E"/>
    <w:rsid w:val="000513CF"/>
    <w:rsid w:val="00051DC6"/>
    <w:rsid w:val="00051FCA"/>
    <w:rsid w:val="000523F4"/>
    <w:rsid w:val="0005262E"/>
    <w:rsid w:val="00052765"/>
    <w:rsid w:val="00052B02"/>
    <w:rsid w:val="00052B1C"/>
    <w:rsid w:val="00052C59"/>
    <w:rsid w:val="00052D6D"/>
    <w:rsid w:val="000532E4"/>
    <w:rsid w:val="0005366B"/>
    <w:rsid w:val="00053994"/>
    <w:rsid w:val="00053C77"/>
    <w:rsid w:val="00053E2B"/>
    <w:rsid w:val="000540FB"/>
    <w:rsid w:val="00054743"/>
    <w:rsid w:val="00054BF4"/>
    <w:rsid w:val="00054BF7"/>
    <w:rsid w:val="00055082"/>
    <w:rsid w:val="00055265"/>
    <w:rsid w:val="000555D8"/>
    <w:rsid w:val="00055794"/>
    <w:rsid w:val="000557E2"/>
    <w:rsid w:val="00055931"/>
    <w:rsid w:val="000559AC"/>
    <w:rsid w:val="00055F2D"/>
    <w:rsid w:val="00056348"/>
    <w:rsid w:val="0005637C"/>
    <w:rsid w:val="0005648B"/>
    <w:rsid w:val="0005658D"/>
    <w:rsid w:val="000566FD"/>
    <w:rsid w:val="00056873"/>
    <w:rsid w:val="00056B8E"/>
    <w:rsid w:val="00056E57"/>
    <w:rsid w:val="00057016"/>
    <w:rsid w:val="00057108"/>
    <w:rsid w:val="000573A8"/>
    <w:rsid w:val="0005755F"/>
    <w:rsid w:val="0005758A"/>
    <w:rsid w:val="0006042C"/>
    <w:rsid w:val="000607BA"/>
    <w:rsid w:val="000607F1"/>
    <w:rsid w:val="00060851"/>
    <w:rsid w:val="00060B6D"/>
    <w:rsid w:val="00060C03"/>
    <w:rsid w:val="00060D0B"/>
    <w:rsid w:val="00060E34"/>
    <w:rsid w:val="00061304"/>
    <w:rsid w:val="00061AF3"/>
    <w:rsid w:val="00061BFE"/>
    <w:rsid w:val="00061D4D"/>
    <w:rsid w:val="0006205A"/>
    <w:rsid w:val="0006287C"/>
    <w:rsid w:val="000629B2"/>
    <w:rsid w:val="00062FC3"/>
    <w:rsid w:val="00062FCA"/>
    <w:rsid w:val="00063A07"/>
    <w:rsid w:val="000641FF"/>
    <w:rsid w:val="0006426A"/>
    <w:rsid w:val="0006435F"/>
    <w:rsid w:val="00064517"/>
    <w:rsid w:val="00064605"/>
    <w:rsid w:val="00064853"/>
    <w:rsid w:val="00064EFA"/>
    <w:rsid w:val="000652A2"/>
    <w:rsid w:val="000656C5"/>
    <w:rsid w:val="00065DBF"/>
    <w:rsid w:val="00065EC3"/>
    <w:rsid w:val="0006624A"/>
    <w:rsid w:val="000664F4"/>
    <w:rsid w:val="000665ED"/>
    <w:rsid w:val="000666E5"/>
    <w:rsid w:val="00066800"/>
    <w:rsid w:val="0006719C"/>
    <w:rsid w:val="000672B7"/>
    <w:rsid w:val="00067424"/>
    <w:rsid w:val="00067534"/>
    <w:rsid w:val="000678E2"/>
    <w:rsid w:val="00067A88"/>
    <w:rsid w:val="00067BA3"/>
    <w:rsid w:val="00067D80"/>
    <w:rsid w:val="0007076A"/>
    <w:rsid w:val="000707C2"/>
    <w:rsid w:val="00070949"/>
    <w:rsid w:val="00070BF5"/>
    <w:rsid w:val="00070EFE"/>
    <w:rsid w:val="00070F54"/>
    <w:rsid w:val="00071363"/>
    <w:rsid w:val="000714C3"/>
    <w:rsid w:val="0007202A"/>
    <w:rsid w:val="00072771"/>
    <w:rsid w:val="000731AA"/>
    <w:rsid w:val="00073444"/>
    <w:rsid w:val="00073523"/>
    <w:rsid w:val="00073DDF"/>
    <w:rsid w:val="000740BC"/>
    <w:rsid w:val="00074713"/>
    <w:rsid w:val="0007521A"/>
    <w:rsid w:val="00075514"/>
    <w:rsid w:val="0007558E"/>
    <w:rsid w:val="0007572D"/>
    <w:rsid w:val="00075825"/>
    <w:rsid w:val="0007588F"/>
    <w:rsid w:val="00076252"/>
    <w:rsid w:val="00076752"/>
    <w:rsid w:val="00076BED"/>
    <w:rsid w:val="00077585"/>
    <w:rsid w:val="00077A25"/>
    <w:rsid w:val="00077BDC"/>
    <w:rsid w:val="0008003D"/>
    <w:rsid w:val="000800FA"/>
    <w:rsid w:val="000803C9"/>
    <w:rsid w:val="000805BE"/>
    <w:rsid w:val="00080F34"/>
    <w:rsid w:val="000810A2"/>
    <w:rsid w:val="00081C69"/>
    <w:rsid w:val="000822DC"/>
    <w:rsid w:val="000828FF"/>
    <w:rsid w:val="00082AA9"/>
    <w:rsid w:val="00082B33"/>
    <w:rsid w:val="00082B7D"/>
    <w:rsid w:val="00083226"/>
    <w:rsid w:val="00083330"/>
    <w:rsid w:val="000833F8"/>
    <w:rsid w:val="000839F5"/>
    <w:rsid w:val="0008472C"/>
    <w:rsid w:val="00084B44"/>
    <w:rsid w:val="00084CE8"/>
    <w:rsid w:val="00084E01"/>
    <w:rsid w:val="00084E2B"/>
    <w:rsid w:val="00084F2F"/>
    <w:rsid w:val="00085197"/>
    <w:rsid w:val="00085328"/>
    <w:rsid w:val="00085349"/>
    <w:rsid w:val="00085379"/>
    <w:rsid w:val="000853E4"/>
    <w:rsid w:val="0008548F"/>
    <w:rsid w:val="000858B7"/>
    <w:rsid w:val="000859A9"/>
    <w:rsid w:val="00085A93"/>
    <w:rsid w:val="00086069"/>
    <w:rsid w:val="00086302"/>
    <w:rsid w:val="0008643A"/>
    <w:rsid w:val="00086524"/>
    <w:rsid w:val="000867CB"/>
    <w:rsid w:val="000874E9"/>
    <w:rsid w:val="0008789A"/>
    <w:rsid w:val="00087FF7"/>
    <w:rsid w:val="00090120"/>
    <w:rsid w:val="00090B56"/>
    <w:rsid w:val="00090E9C"/>
    <w:rsid w:val="00090EC7"/>
    <w:rsid w:val="00092AB7"/>
    <w:rsid w:val="00092FA5"/>
    <w:rsid w:val="00092FE4"/>
    <w:rsid w:val="00093174"/>
    <w:rsid w:val="000932C1"/>
    <w:rsid w:val="00093D31"/>
    <w:rsid w:val="00093E42"/>
    <w:rsid w:val="00094075"/>
    <w:rsid w:val="000943AB"/>
    <w:rsid w:val="000945BB"/>
    <w:rsid w:val="00094855"/>
    <w:rsid w:val="00094B06"/>
    <w:rsid w:val="00095055"/>
    <w:rsid w:val="0009525C"/>
    <w:rsid w:val="00095AE5"/>
    <w:rsid w:val="00095AEC"/>
    <w:rsid w:val="00095B10"/>
    <w:rsid w:val="000965AB"/>
    <w:rsid w:val="000965BF"/>
    <w:rsid w:val="000965D1"/>
    <w:rsid w:val="000973C7"/>
    <w:rsid w:val="0009753C"/>
    <w:rsid w:val="000A01AF"/>
    <w:rsid w:val="000A065E"/>
    <w:rsid w:val="000A07C4"/>
    <w:rsid w:val="000A0C95"/>
    <w:rsid w:val="000A0E8B"/>
    <w:rsid w:val="000A11F4"/>
    <w:rsid w:val="000A13D6"/>
    <w:rsid w:val="000A144F"/>
    <w:rsid w:val="000A1501"/>
    <w:rsid w:val="000A1708"/>
    <w:rsid w:val="000A184D"/>
    <w:rsid w:val="000A1855"/>
    <w:rsid w:val="000A1B4F"/>
    <w:rsid w:val="000A20EE"/>
    <w:rsid w:val="000A2382"/>
    <w:rsid w:val="000A278E"/>
    <w:rsid w:val="000A2B23"/>
    <w:rsid w:val="000A2E6D"/>
    <w:rsid w:val="000A2E72"/>
    <w:rsid w:val="000A2F34"/>
    <w:rsid w:val="000A3206"/>
    <w:rsid w:val="000A325B"/>
    <w:rsid w:val="000A3444"/>
    <w:rsid w:val="000A3E90"/>
    <w:rsid w:val="000A41B2"/>
    <w:rsid w:val="000A47D9"/>
    <w:rsid w:val="000A4B31"/>
    <w:rsid w:val="000A50B9"/>
    <w:rsid w:val="000A54A1"/>
    <w:rsid w:val="000A55E9"/>
    <w:rsid w:val="000A560A"/>
    <w:rsid w:val="000A5679"/>
    <w:rsid w:val="000A57DF"/>
    <w:rsid w:val="000A5927"/>
    <w:rsid w:val="000A5CC0"/>
    <w:rsid w:val="000A5CEF"/>
    <w:rsid w:val="000A5F4B"/>
    <w:rsid w:val="000A6087"/>
    <w:rsid w:val="000A60C0"/>
    <w:rsid w:val="000A6422"/>
    <w:rsid w:val="000A67E9"/>
    <w:rsid w:val="000A6AA7"/>
    <w:rsid w:val="000A6D3B"/>
    <w:rsid w:val="000A6EC3"/>
    <w:rsid w:val="000A6F0C"/>
    <w:rsid w:val="000A6FBA"/>
    <w:rsid w:val="000A753F"/>
    <w:rsid w:val="000A76C0"/>
    <w:rsid w:val="000A7902"/>
    <w:rsid w:val="000B03FE"/>
    <w:rsid w:val="000B05CD"/>
    <w:rsid w:val="000B08BA"/>
    <w:rsid w:val="000B0BF5"/>
    <w:rsid w:val="000B0C3B"/>
    <w:rsid w:val="000B108A"/>
    <w:rsid w:val="000B10DD"/>
    <w:rsid w:val="000B111F"/>
    <w:rsid w:val="000B1670"/>
    <w:rsid w:val="000B1A3F"/>
    <w:rsid w:val="000B1C56"/>
    <w:rsid w:val="000B1C90"/>
    <w:rsid w:val="000B2379"/>
    <w:rsid w:val="000B263D"/>
    <w:rsid w:val="000B2A68"/>
    <w:rsid w:val="000B2BD4"/>
    <w:rsid w:val="000B30C7"/>
    <w:rsid w:val="000B399D"/>
    <w:rsid w:val="000B3A87"/>
    <w:rsid w:val="000B3D5F"/>
    <w:rsid w:val="000B4374"/>
    <w:rsid w:val="000B442C"/>
    <w:rsid w:val="000B4985"/>
    <w:rsid w:val="000B4B7C"/>
    <w:rsid w:val="000B4DE4"/>
    <w:rsid w:val="000B57E2"/>
    <w:rsid w:val="000B5AC0"/>
    <w:rsid w:val="000B5B47"/>
    <w:rsid w:val="000B640C"/>
    <w:rsid w:val="000B645F"/>
    <w:rsid w:val="000B693C"/>
    <w:rsid w:val="000B6D8F"/>
    <w:rsid w:val="000B7A60"/>
    <w:rsid w:val="000B7C73"/>
    <w:rsid w:val="000B7D7F"/>
    <w:rsid w:val="000B7F3F"/>
    <w:rsid w:val="000C01BB"/>
    <w:rsid w:val="000C03F4"/>
    <w:rsid w:val="000C058F"/>
    <w:rsid w:val="000C06C1"/>
    <w:rsid w:val="000C15B5"/>
    <w:rsid w:val="000C17F6"/>
    <w:rsid w:val="000C19F1"/>
    <w:rsid w:val="000C1AB9"/>
    <w:rsid w:val="000C23C0"/>
    <w:rsid w:val="000C2429"/>
    <w:rsid w:val="000C247D"/>
    <w:rsid w:val="000C26AD"/>
    <w:rsid w:val="000C280D"/>
    <w:rsid w:val="000C2F9B"/>
    <w:rsid w:val="000C3447"/>
    <w:rsid w:val="000C41FC"/>
    <w:rsid w:val="000C4506"/>
    <w:rsid w:val="000C45C9"/>
    <w:rsid w:val="000C4C2A"/>
    <w:rsid w:val="000C504A"/>
    <w:rsid w:val="000C51EF"/>
    <w:rsid w:val="000C5C58"/>
    <w:rsid w:val="000C6574"/>
    <w:rsid w:val="000C69ED"/>
    <w:rsid w:val="000C7329"/>
    <w:rsid w:val="000C74EB"/>
    <w:rsid w:val="000D00EB"/>
    <w:rsid w:val="000D0228"/>
    <w:rsid w:val="000D0349"/>
    <w:rsid w:val="000D0418"/>
    <w:rsid w:val="000D052B"/>
    <w:rsid w:val="000D0619"/>
    <w:rsid w:val="000D089A"/>
    <w:rsid w:val="000D095C"/>
    <w:rsid w:val="000D0EEE"/>
    <w:rsid w:val="000D1372"/>
    <w:rsid w:val="000D1449"/>
    <w:rsid w:val="000D146F"/>
    <w:rsid w:val="000D1D22"/>
    <w:rsid w:val="000D1F68"/>
    <w:rsid w:val="000D205C"/>
    <w:rsid w:val="000D22FD"/>
    <w:rsid w:val="000D26A1"/>
    <w:rsid w:val="000D2960"/>
    <w:rsid w:val="000D2CC3"/>
    <w:rsid w:val="000D2DF4"/>
    <w:rsid w:val="000D2DFA"/>
    <w:rsid w:val="000D3374"/>
    <w:rsid w:val="000D35DA"/>
    <w:rsid w:val="000D3984"/>
    <w:rsid w:val="000D3D99"/>
    <w:rsid w:val="000D3F95"/>
    <w:rsid w:val="000D43E3"/>
    <w:rsid w:val="000D47B4"/>
    <w:rsid w:val="000D47F4"/>
    <w:rsid w:val="000D4C45"/>
    <w:rsid w:val="000D533F"/>
    <w:rsid w:val="000D5B94"/>
    <w:rsid w:val="000D5E51"/>
    <w:rsid w:val="000D5F69"/>
    <w:rsid w:val="000D6139"/>
    <w:rsid w:val="000D615E"/>
    <w:rsid w:val="000D6736"/>
    <w:rsid w:val="000D7155"/>
    <w:rsid w:val="000D782E"/>
    <w:rsid w:val="000D7BB6"/>
    <w:rsid w:val="000E07A5"/>
    <w:rsid w:val="000E0B9F"/>
    <w:rsid w:val="000E0D70"/>
    <w:rsid w:val="000E0F60"/>
    <w:rsid w:val="000E1A1A"/>
    <w:rsid w:val="000E2129"/>
    <w:rsid w:val="000E2226"/>
    <w:rsid w:val="000E2729"/>
    <w:rsid w:val="000E2C23"/>
    <w:rsid w:val="000E307A"/>
    <w:rsid w:val="000E3C00"/>
    <w:rsid w:val="000E3D02"/>
    <w:rsid w:val="000E3D85"/>
    <w:rsid w:val="000E41C7"/>
    <w:rsid w:val="000E42C9"/>
    <w:rsid w:val="000E4644"/>
    <w:rsid w:val="000E4975"/>
    <w:rsid w:val="000E4C01"/>
    <w:rsid w:val="000E5342"/>
    <w:rsid w:val="000E5414"/>
    <w:rsid w:val="000E54DE"/>
    <w:rsid w:val="000E59D7"/>
    <w:rsid w:val="000E5BB2"/>
    <w:rsid w:val="000E6397"/>
    <w:rsid w:val="000E6B47"/>
    <w:rsid w:val="000E6B7D"/>
    <w:rsid w:val="000E7171"/>
    <w:rsid w:val="000E766F"/>
    <w:rsid w:val="000E77E8"/>
    <w:rsid w:val="000E7DA6"/>
    <w:rsid w:val="000E7E7E"/>
    <w:rsid w:val="000F078D"/>
    <w:rsid w:val="000F0A46"/>
    <w:rsid w:val="000F0EB2"/>
    <w:rsid w:val="000F1A2C"/>
    <w:rsid w:val="000F1CEE"/>
    <w:rsid w:val="000F1D19"/>
    <w:rsid w:val="000F21FD"/>
    <w:rsid w:val="000F26C2"/>
    <w:rsid w:val="000F26D0"/>
    <w:rsid w:val="000F2772"/>
    <w:rsid w:val="000F2A04"/>
    <w:rsid w:val="000F327A"/>
    <w:rsid w:val="000F339C"/>
    <w:rsid w:val="000F35C1"/>
    <w:rsid w:val="000F36EA"/>
    <w:rsid w:val="000F4ACA"/>
    <w:rsid w:val="000F4AFA"/>
    <w:rsid w:val="000F53D1"/>
    <w:rsid w:val="000F544F"/>
    <w:rsid w:val="000F5894"/>
    <w:rsid w:val="000F5A29"/>
    <w:rsid w:val="000F5ED5"/>
    <w:rsid w:val="000F6E4F"/>
    <w:rsid w:val="000F7165"/>
    <w:rsid w:val="000F7179"/>
    <w:rsid w:val="000F7304"/>
    <w:rsid w:val="000F7A5F"/>
    <w:rsid w:val="001000B9"/>
    <w:rsid w:val="00100269"/>
    <w:rsid w:val="0010039D"/>
    <w:rsid w:val="001003D5"/>
    <w:rsid w:val="00100483"/>
    <w:rsid w:val="00100591"/>
    <w:rsid w:val="0010064F"/>
    <w:rsid w:val="001006BE"/>
    <w:rsid w:val="00100C40"/>
    <w:rsid w:val="0010117C"/>
    <w:rsid w:val="0010130D"/>
    <w:rsid w:val="001016F2"/>
    <w:rsid w:val="001016F7"/>
    <w:rsid w:val="00101BB2"/>
    <w:rsid w:val="00101DA1"/>
    <w:rsid w:val="00102323"/>
    <w:rsid w:val="00102839"/>
    <w:rsid w:val="001031C7"/>
    <w:rsid w:val="0010346C"/>
    <w:rsid w:val="00103DD8"/>
    <w:rsid w:val="00103E11"/>
    <w:rsid w:val="00103E83"/>
    <w:rsid w:val="001046F8"/>
    <w:rsid w:val="00104ECF"/>
    <w:rsid w:val="0010535F"/>
    <w:rsid w:val="00105B08"/>
    <w:rsid w:val="00105D24"/>
    <w:rsid w:val="00105E26"/>
    <w:rsid w:val="00105F4D"/>
    <w:rsid w:val="00106088"/>
    <w:rsid w:val="0010622B"/>
    <w:rsid w:val="00106316"/>
    <w:rsid w:val="00106342"/>
    <w:rsid w:val="00106DBB"/>
    <w:rsid w:val="0010777D"/>
    <w:rsid w:val="00107ABF"/>
    <w:rsid w:val="00107B7A"/>
    <w:rsid w:val="0011029E"/>
    <w:rsid w:val="001104FC"/>
    <w:rsid w:val="00110E8A"/>
    <w:rsid w:val="0011104C"/>
    <w:rsid w:val="001113AD"/>
    <w:rsid w:val="0011176F"/>
    <w:rsid w:val="0011189D"/>
    <w:rsid w:val="0011191F"/>
    <w:rsid w:val="00111A07"/>
    <w:rsid w:val="00111B40"/>
    <w:rsid w:val="00111CB8"/>
    <w:rsid w:val="00111F86"/>
    <w:rsid w:val="0011225D"/>
    <w:rsid w:val="00112932"/>
    <w:rsid w:val="00113706"/>
    <w:rsid w:val="00113D06"/>
    <w:rsid w:val="001143D2"/>
    <w:rsid w:val="001147A0"/>
    <w:rsid w:val="0011483E"/>
    <w:rsid w:val="00114BCF"/>
    <w:rsid w:val="00114C14"/>
    <w:rsid w:val="00114CBC"/>
    <w:rsid w:val="00115BA1"/>
    <w:rsid w:val="00115C11"/>
    <w:rsid w:val="00115CE0"/>
    <w:rsid w:val="001166AF"/>
    <w:rsid w:val="0011670E"/>
    <w:rsid w:val="00116868"/>
    <w:rsid w:val="00116A6A"/>
    <w:rsid w:val="00116B4B"/>
    <w:rsid w:val="00116EB6"/>
    <w:rsid w:val="00117071"/>
    <w:rsid w:val="00117224"/>
    <w:rsid w:val="001173B9"/>
    <w:rsid w:val="00117695"/>
    <w:rsid w:val="00117A83"/>
    <w:rsid w:val="00117BFB"/>
    <w:rsid w:val="00117D3B"/>
    <w:rsid w:val="00120676"/>
    <w:rsid w:val="001206CB"/>
    <w:rsid w:val="00120BB9"/>
    <w:rsid w:val="0012101F"/>
    <w:rsid w:val="00121253"/>
    <w:rsid w:val="001218C1"/>
    <w:rsid w:val="00121DDF"/>
    <w:rsid w:val="001220F6"/>
    <w:rsid w:val="001228B7"/>
    <w:rsid w:val="00122D7C"/>
    <w:rsid w:val="00122DD3"/>
    <w:rsid w:val="00123592"/>
    <w:rsid w:val="001238AE"/>
    <w:rsid w:val="00123B5B"/>
    <w:rsid w:val="001240C4"/>
    <w:rsid w:val="00124169"/>
    <w:rsid w:val="001245D6"/>
    <w:rsid w:val="0012481F"/>
    <w:rsid w:val="00124985"/>
    <w:rsid w:val="00124AC8"/>
    <w:rsid w:val="00124FF7"/>
    <w:rsid w:val="0012519F"/>
    <w:rsid w:val="001253A3"/>
    <w:rsid w:val="00125477"/>
    <w:rsid w:val="00126271"/>
    <w:rsid w:val="0012651E"/>
    <w:rsid w:val="00126638"/>
    <w:rsid w:val="00127161"/>
    <w:rsid w:val="0012739A"/>
    <w:rsid w:val="00127850"/>
    <w:rsid w:val="00127C75"/>
    <w:rsid w:val="00127DA0"/>
    <w:rsid w:val="00127E36"/>
    <w:rsid w:val="00127F68"/>
    <w:rsid w:val="00127FED"/>
    <w:rsid w:val="00130209"/>
    <w:rsid w:val="00130845"/>
    <w:rsid w:val="001310A0"/>
    <w:rsid w:val="00131209"/>
    <w:rsid w:val="001313CC"/>
    <w:rsid w:val="001313E7"/>
    <w:rsid w:val="00131775"/>
    <w:rsid w:val="001318E2"/>
    <w:rsid w:val="00131A64"/>
    <w:rsid w:val="00131D9D"/>
    <w:rsid w:val="0013203F"/>
    <w:rsid w:val="00132802"/>
    <w:rsid w:val="0013296C"/>
    <w:rsid w:val="00133164"/>
    <w:rsid w:val="001331D6"/>
    <w:rsid w:val="001333AE"/>
    <w:rsid w:val="00133692"/>
    <w:rsid w:val="00133976"/>
    <w:rsid w:val="00133CE8"/>
    <w:rsid w:val="00134504"/>
    <w:rsid w:val="001345E3"/>
    <w:rsid w:val="00134613"/>
    <w:rsid w:val="00134F52"/>
    <w:rsid w:val="0013565B"/>
    <w:rsid w:val="001356FD"/>
    <w:rsid w:val="0013590E"/>
    <w:rsid w:val="00135DFF"/>
    <w:rsid w:val="001361F4"/>
    <w:rsid w:val="001362BA"/>
    <w:rsid w:val="0013644E"/>
    <w:rsid w:val="001366C9"/>
    <w:rsid w:val="00136873"/>
    <w:rsid w:val="00136893"/>
    <w:rsid w:val="001370B7"/>
    <w:rsid w:val="00137213"/>
    <w:rsid w:val="001373A9"/>
    <w:rsid w:val="0013748C"/>
    <w:rsid w:val="00137739"/>
    <w:rsid w:val="00137F2B"/>
    <w:rsid w:val="00137FC2"/>
    <w:rsid w:val="00140C07"/>
    <w:rsid w:val="00140C2C"/>
    <w:rsid w:val="00140D03"/>
    <w:rsid w:val="00141455"/>
    <w:rsid w:val="001418E8"/>
    <w:rsid w:val="001418FE"/>
    <w:rsid w:val="00141B5B"/>
    <w:rsid w:val="00141EB7"/>
    <w:rsid w:val="00142208"/>
    <w:rsid w:val="00142F53"/>
    <w:rsid w:val="0014310A"/>
    <w:rsid w:val="0014370F"/>
    <w:rsid w:val="00143890"/>
    <w:rsid w:val="0014396B"/>
    <w:rsid w:val="00143E8D"/>
    <w:rsid w:val="00143EFC"/>
    <w:rsid w:val="00143FA0"/>
    <w:rsid w:val="00144237"/>
    <w:rsid w:val="001442FF"/>
    <w:rsid w:val="0014437E"/>
    <w:rsid w:val="001446C4"/>
    <w:rsid w:val="001447D7"/>
    <w:rsid w:val="001453ED"/>
    <w:rsid w:val="001455C8"/>
    <w:rsid w:val="00145C00"/>
    <w:rsid w:val="00145C0F"/>
    <w:rsid w:val="00145FD7"/>
    <w:rsid w:val="00146DE9"/>
    <w:rsid w:val="00147222"/>
    <w:rsid w:val="001479F5"/>
    <w:rsid w:val="00147D19"/>
    <w:rsid w:val="00147E9F"/>
    <w:rsid w:val="00150A99"/>
    <w:rsid w:val="00150B87"/>
    <w:rsid w:val="001517F1"/>
    <w:rsid w:val="00151A95"/>
    <w:rsid w:val="00151B10"/>
    <w:rsid w:val="00152AA7"/>
    <w:rsid w:val="00152BA0"/>
    <w:rsid w:val="00152C38"/>
    <w:rsid w:val="00152E40"/>
    <w:rsid w:val="0015336D"/>
    <w:rsid w:val="001534CA"/>
    <w:rsid w:val="0015373E"/>
    <w:rsid w:val="001537D3"/>
    <w:rsid w:val="001539DC"/>
    <w:rsid w:val="00153DD6"/>
    <w:rsid w:val="001541D4"/>
    <w:rsid w:val="00154384"/>
    <w:rsid w:val="001547E0"/>
    <w:rsid w:val="00154C28"/>
    <w:rsid w:val="00154DE3"/>
    <w:rsid w:val="00154F21"/>
    <w:rsid w:val="00155076"/>
    <w:rsid w:val="001551FE"/>
    <w:rsid w:val="00155EBE"/>
    <w:rsid w:val="00155FE8"/>
    <w:rsid w:val="00156031"/>
    <w:rsid w:val="00156985"/>
    <w:rsid w:val="00156B95"/>
    <w:rsid w:val="00156E7D"/>
    <w:rsid w:val="0015788F"/>
    <w:rsid w:val="00157B30"/>
    <w:rsid w:val="00157CC0"/>
    <w:rsid w:val="0016032C"/>
    <w:rsid w:val="00160493"/>
    <w:rsid w:val="001606E5"/>
    <w:rsid w:val="001609BB"/>
    <w:rsid w:val="00160C1B"/>
    <w:rsid w:val="00160C21"/>
    <w:rsid w:val="0016123E"/>
    <w:rsid w:val="0016133F"/>
    <w:rsid w:val="00161608"/>
    <w:rsid w:val="001617A1"/>
    <w:rsid w:val="001619A0"/>
    <w:rsid w:val="00161AC7"/>
    <w:rsid w:val="00161B15"/>
    <w:rsid w:val="00161EE1"/>
    <w:rsid w:val="001621E6"/>
    <w:rsid w:val="0016223F"/>
    <w:rsid w:val="001623BC"/>
    <w:rsid w:val="00162459"/>
    <w:rsid w:val="00162A3D"/>
    <w:rsid w:val="00162EC0"/>
    <w:rsid w:val="0016353A"/>
    <w:rsid w:val="0016362F"/>
    <w:rsid w:val="001636C9"/>
    <w:rsid w:val="0016381C"/>
    <w:rsid w:val="00163CB9"/>
    <w:rsid w:val="00163E70"/>
    <w:rsid w:val="001641CC"/>
    <w:rsid w:val="001642E8"/>
    <w:rsid w:val="00164398"/>
    <w:rsid w:val="001647D4"/>
    <w:rsid w:val="001658FF"/>
    <w:rsid w:val="0016591C"/>
    <w:rsid w:val="00165FFB"/>
    <w:rsid w:val="00166870"/>
    <w:rsid w:val="00166878"/>
    <w:rsid w:val="00166B90"/>
    <w:rsid w:val="0016705E"/>
    <w:rsid w:val="00167179"/>
    <w:rsid w:val="001671F0"/>
    <w:rsid w:val="001673D0"/>
    <w:rsid w:val="00167487"/>
    <w:rsid w:val="00167779"/>
    <w:rsid w:val="00170313"/>
    <w:rsid w:val="0017032C"/>
    <w:rsid w:val="001703E9"/>
    <w:rsid w:val="00170782"/>
    <w:rsid w:val="001716C4"/>
    <w:rsid w:val="001717FD"/>
    <w:rsid w:val="00171E61"/>
    <w:rsid w:val="00171F4D"/>
    <w:rsid w:val="00172367"/>
    <w:rsid w:val="00172391"/>
    <w:rsid w:val="00172456"/>
    <w:rsid w:val="0017275D"/>
    <w:rsid w:val="00172919"/>
    <w:rsid w:val="00172E1A"/>
    <w:rsid w:val="001733EC"/>
    <w:rsid w:val="001736C3"/>
    <w:rsid w:val="0017397B"/>
    <w:rsid w:val="00173D71"/>
    <w:rsid w:val="00173E9F"/>
    <w:rsid w:val="00173F50"/>
    <w:rsid w:val="00174315"/>
    <w:rsid w:val="001745A0"/>
    <w:rsid w:val="001747DF"/>
    <w:rsid w:val="001748C9"/>
    <w:rsid w:val="00174A88"/>
    <w:rsid w:val="00174B36"/>
    <w:rsid w:val="00174F4B"/>
    <w:rsid w:val="001758CA"/>
    <w:rsid w:val="001761EA"/>
    <w:rsid w:val="0017622A"/>
    <w:rsid w:val="00176438"/>
    <w:rsid w:val="00176B87"/>
    <w:rsid w:val="00177083"/>
    <w:rsid w:val="00177169"/>
    <w:rsid w:val="00177B35"/>
    <w:rsid w:val="00177C10"/>
    <w:rsid w:val="00177FE0"/>
    <w:rsid w:val="00180495"/>
    <w:rsid w:val="00180873"/>
    <w:rsid w:val="0018096B"/>
    <w:rsid w:val="00180C3A"/>
    <w:rsid w:val="00180E9B"/>
    <w:rsid w:val="001813D9"/>
    <w:rsid w:val="00181674"/>
    <w:rsid w:val="0018210F"/>
    <w:rsid w:val="001821C6"/>
    <w:rsid w:val="0018223D"/>
    <w:rsid w:val="001829A5"/>
    <w:rsid w:val="001829E0"/>
    <w:rsid w:val="00182A4C"/>
    <w:rsid w:val="00182CBC"/>
    <w:rsid w:val="00182CC8"/>
    <w:rsid w:val="00182D10"/>
    <w:rsid w:val="00183350"/>
    <w:rsid w:val="00183BCA"/>
    <w:rsid w:val="00183BF3"/>
    <w:rsid w:val="0018444A"/>
    <w:rsid w:val="00184821"/>
    <w:rsid w:val="00184A38"/>
    <w:rsid w:val="0018504D"/>
    <w:rsid w:val="0018528F"/>
    <w:rsid w:val="0018577D"/>
    <w:rsid w:val="00185814"/>
    <w:rsid w:val="00185AF2"/>
    <w:rsid w:val="00186266"/>
    <w:rsid w:val="001864C3"/>
    <w:rsid w:val="00187413"/>
    <w:rsid w:val="001877B5"/>
    <w:rsid w:val="00187B8C"/>
    <w:rsid w:val="00187DE1"/>
    <w:rsid w:val="00187E1B"/>
    <w:rsid w:val="001900EB"/>
    <w:rsid w:val="00191AB0"/>
    <w:rsid w:val="00191EB6"/>
    <w:rsid w:val="00192253"/>
    <w:rsid w:val="00192563"/>
    <w:rsid w:val="00193311"/>
    <w:rsid w:val="001938DE"/>
    <w:rsid w:val="00193BDE"/>
    <w:rsid w:val="00193C78"/>
    <w:rsid w:val="00193D5A"/>
    <w:rsid w:val="0019418C"/>
    <w:rsid w:val="001945B5"/>
    <w:rsid w:val="00194897"/>
    <w:rsid w:val="00194DA6"/>
    <w:rsid w:val="001950FB"/>
    <w:rsid w:val="00195718"/>
    <w:rsid w:val="00195822"/>
    <w:rsid w:val="00195C81"/>
    <w:rsid w:val="00195FBA"/>
    <w:rsid w:val="00196404"/>
    <w:rsid w:val="00196A31"/>
    <w:rsid w:val="00196A4A"/>
    <w:rsid w:val="00196BF1"/>
    <w:rsid w:val="00196C90"/>
    <w:rsid w:val="00196D32"/>
    <w:rsid w:val="00196E3D"/>
    <w:rsid w:val="00197376"/>
    <w:rsid w:val="0019749A"/>
    <w:rsid w:val="001975F9"/>
    <w:rsid w:val="001A00B4"/>
    <w:rsid w:val="001A0485"/>
    <w:rsid w:val="001A0B24"/>
    <w:rsid w:val="001A1191"/>
    <w:rsid w:val="001A1816"/>
    <w:rsid w:val="001A19EF"/>
    <w:rsid w:val="001A1A32"/>
    <w:rsid w:val="001A1F62"/>
    <w:rsid w:val="001A22CD"/>
    <w:rsid w:val="001A2C76"/>
    <w:rsid w:val="001A3618"/>
    <w:rsid w:val="001A3985"/>
    <w:rsid w:val="001A3A76"/>
    <w:rsid w:val="001A3A8E"/>
    <w:rsid w:val="001A3F05"/>
    <w:rsid w:val="001A44BB"/>
    <w:rsid w:val="001A4E8C"/>
    <w:rsid w:val="001A51CC"/>
    <w:rsid w:val="001A540E"/>
    <w:rsid w:val="001A571F"/>
    <w:rsid w:val="001A57CB"/>
    <w:rsid w:val="001A58F6"/>
    <w:rsid w:val="001A5E52"/>
    <w:rsid w:val="001A5EA7"/>
    <w:rsid w:val="001A5F59"/>
    <w:rsid w:val="001A66A4"/>
    <w:rsid w:val="001A66EF"/>
    <w:rsid w:val="001A6AC5"/>
    <w:rsid w:val="001A72B7"/>
    <w:rsid w:val="001A7943"/>
    <w:rsid w:val="001A7E33"/>
    <w:rsid w:val="001B00D9"/>
    <w:rsid w:val="001B03E8"/>
    <w:rsid w:val="001B0A59"/>
    <w:rsid w:val="001B0A7B"/>
    <w:rsid w:val="001B0B27"/>
    <w:rsid w:val="001B0D62"/>
    <w:rsid w:val="001B0FC6"/>
    <w:rsid w:val="001B1337"/>
    <w:rsid w:val="001B17E1"/>
    <w:rsid w:val="001B1BE1"/>
    <w:rsid w:val="001B1E76"/>
    <w:rsid w:val="001B2AEF"/>
    <w:rsid w:val="001B2ED9"/>
    <w:rsid w:val="001B2F52"/>
    <w:rsid w:val="001B33C3"/>
    <w:rsid w:val="001B3718"/>
    <w:rsid w:val="001B380C"/>
    <w:rsid w:val="001B3A29"/>
    <w:rsid w:val="001B4345"/>
    <w:rsid w:val="001B4440"/>
    <w:rsid w:val="001B4777"/>
    <w:rsid w:val="001B4859"/>
    <w:rsid w:val="001B4B89"/>
    <w:rsid w:val="001B4BA1"/>
    <w:rsid w:val="001B500E"/>
    <w:rsid w:val="001B50FB"/>
    <w:rsid w:val="001B51A9"/>
    <w:rsid w:val="001B5310"/>
    <w:rsid w:val="001B5489"/>
    <w:rsid w:val="001B7D4A"/>
    <w:rsid w:val="001C0218"/>
    <w:rsid w:val="001C0363"/>
    <w:rsid w:val="001C0933"/>
    <w:rsid w:val="001C0AF5"/>
    <w:rsid w:val="001C0C67"/>
    <w:rsid w:val="001C10F5"/>
    <w:rsid w:val="001C124D"/>
    <w:rsid w:val="001C152E"/>
    <w:rsid w:val="001C1826"/>
    <w:rsid w:val="001C184C"/>
    <w:rsid w:val="001C1D38"/>
    <w:rsid w:val="001C1EAA"/>
    <w:rsid w:val="001C2416"/>
    <w:rsid w:val="001C2442"/>
    <w:rsid w:val="001C264D"/>
    <w:rsid w:val="001C280E"/>
    <w:rsid w:val="001C2AE7"/>
    <w:rsid w:val="001C2FF2"/>
    <w:rsid w:val="001C322C"/>
    <w:rsid w:val="001C42EF"/>
    <w:rsid w:val="001C46C2"/>
    <w:rsid w:val="001C4E76"/>
    <w:rsid w:val="001C5098"/>
    <w:rsid w:val="001C52A4"/>
    <w:rsid w:val="001C550B"/>
    <w:rsid w:val="001C5B2A"/>
    <w:rsid w:val="001C6311"/>
    <w:rsid w:val="001C65C3"/>
    <w:rsid w:val="001C6734"/>
    <w:rsid w:val="001C6889"/>
    <w:rsid w:val="001C6A41"/>
    <w:rsid w:val="001C6BB3"/>
    <w:rsid w:val="001C6F98"/>
    <w:rsid w:val="001C6FB2"/>
    <w:rsid w:val="001C759A"/>
    <w:rsid w:val="001C76BD"/>
    <w:rsid w:val="001C7BA5"/>
    <w:rsid w:val="001D0477"/>
    <w:rsid w:val="001D06B6"/>
    <w:rsid w:val="001D0757"/>
    <w:rsid w:val="001D0E60"/>
    <w:rsid w:val="001D103B"/>
    <w:rsid w:val="001D1721"/>
    <w:rsid w:val="001D1C92"/>
    <w:rsid w:val="001D2055"/>
    <w:rsid w:val="001D212A"/>
    <w:rsid w:val="001D23E1"/>
    <w:rsid w:val="001D2750"/>
    <w:rsid w:val="001D29E6"/>
    <w:rsid w:val="001D3147"/>
    <w:rsid w:val="001D3237"/>
    <w:rsid w:val="001D35E8"/>
    <w:rsid w:val="001D37A9"/>
    <w:rsid w:val="001D3870"/>
    <w:rsid w:val="001D3BC3"/>
    <w:rsid w:val="001D3C60"/>
    <w:rsid w:val="001D3D80"/>
    <w:rsid w:val="001D4ECA"/>
    <w:rsid w:val="001D4FE8"/>
    <w:rsid w:val="001D5237"/>
    <w:rsid w:val="001D52D4"/>
    <w:rsid w:val="001D5379"/>
    <w:rsid w:val="001D5386"/>
    <w:rsid w:val="001D5483"/>
    <w:rsid w:val="001D5A4A"/>
    <w:rsid w:val="001D5B24"/>
    <w:rsid w:val="001D6287"/>
    <w:rsid w:val="001D6417"/>
    <w:rsid w:val="001D643E"/>
    <w:rsid w:val="001D6C0E"/>
    <w:rsid w:val="001D6E2B"/>
    <w:rsid w:val="001D73C3"/>
    <w:rsid w:val="001E0369"/>
    <w:rsid w:val="001E051D"/>
    <w:rsid w:val="001E0B19"/>
    <w:rsid w:val="001E1567"/>
    <w:rsid w:val="001E1B94"/>
    <w:rsid w:val="001E1E96"/>
    <w:rsid w:val="001E2040"/>
    <w:rsid w:val="001E25ED"/>
    <w:rsid w:val="001E29FF"/>
    <w:rsid w:val="001E2BB5"/>
    <w:rsid w:val="001E2E6B"/>
    <w:rsid w:val="001E3216"/>
    <w:rsid w:val="001E3AB0"/>
    <w:rsid w:val="001E4116"/>
    <w:rsid w:val="001E42B6"/>
    <w:rsid w:val="001E445C"/>
    <w:rsid w:val="001E485D"/>
    <w:rsid w:val="001E4BD3"/>
    <w:rsid w:val="001E4C09"/>
    <w:rsid w:val="001E519B"/>
    <w:rsid w:val="001E5547"/>
    <w:rsid w:val="001E576F"/>
    <w:rsid w:val="001E5CD4"/>
    <w:rsid w:val="001E5E6A"/>
    <w:rsid w:val="001E6254"/>
    <w:rsid w:val="001E628E"/>
    <w:rsid w:val="001E6523"/>
    <w:rsid w:val="001E667C"/>
    <w:rsid w:val="001E6ECC"/>
    <w:rsid w:val="001E6FB9"/>
    <w:rsid w:val="001E701E"/>
    <w:rsid w:val="001E730B"/>
    <w:rsid w:val="001E7366"/>
    <w:rsid w:val="001E7471"/>
    <w:rsid w:val="001E791A"/>
    <w:rsid w:val="001E7FCF"/>
    <w:rsid w:val="001F0279"/>
    <w:rsid w:val="001F051D"/>
    <w:rsid w:val="001F0560"/>
    <w:rsid w:val="001F0E37"/>
    <w:rsid w:val="001F151F"/>
    <w:rsid w:val="001F1CFB"/>
    <w:rsid w:val="001F1E44"/>
    <w:rsid w:val="001F1F05"/>
    <w:rsid w:val="001F1FB9"/>
    <w:rsid w:val="001F26F6"/>
    <w:rsid w:val="001F2B15"/>
    <w:rsid w:val="001F2BF1"/>
    <w:rsid w:val="001F2E45"/>
    <w:rsid w:val="001F36FF"/>
    <w:rsid w:val="001F3786"/>
    <w:rsid w:val="001F378F"/>
    <w:rsid w:val="001F3BB3"/>
    <w:rsid w:val="001F3BCC"/>
    <w:rsid w:val="001F3C27"/>
    <w:rsid w:val="001F411C"/>
    <w:rsid w:val="001F44A6"/>
    <w:rsid w:val="001F454F"/>
    <w:rsid w:val="001F4875"/>
    <w:rsid w:val="001F48AF"/>
    <w:rsid w:val="001F4A78"/>
    <w:rsid w:val="001F4ECD"/>
    <w:rsid w:val="001F5464"/>
    <w:rsid w:val="001F5788"/>
    <w:rsid w:val="001F5CF4"/>
    <w:rsid w:val="001F6173"/>
    <w:rsid w:val="001F61D4"/>
    <w:rsid w:val="001F6208"/>
    <w:rsid w:val="001F7003"/>
    <w:rsid w:val="001F70AF"/>
    <w:rsid w:val="001F7153"/>
    <w:rsid w:val="001F7172"/>
    <w:rsid w:val="001F762D"/>
    <w:rsid w:val="001F77B5"/>
    <w:rsid w:val="00200005"/>
    <w:rsid w:val="0020008C"/>
    <w:rsid w:val="00200200"/>
    <w:rsid w:val="002009BF"/>
    <w:rsid w:val="00200D5A"/>
    <w:rsid w:val="00200EBA"/>
    <w:rsid w:val="00200F37"/>
    <w:rsid w:val="0020155C"/>
    <w:rsid w:val="0020170A"/>
    <w:rsid w:val="00201D40"/>
    <w:rsid w:val="00201DD7"/>
    <w:rsid w:val="002025B5"/>
    <w:rsid w:val="0020289C"/>
    <w:rsid w:val="002029FC"/>
    <w:rsid w:val="00202DF5"/>
    <w:rsid w:val="002030DE"/>
    <w:rsid w:val="00203369"/>
    <w:rsid w:val="002036D9"/>
    <w:rsid w:val="00203C99"/>
    <w:rsid w:val="00203D49"/>
    <w:rsid w:val="00203EC1"/>
    <w:rsid w:val="00204A06"/>
    <w:rsid w:val="00204D0D"/>
    <w:rsid w:val="00205075"/>
    <w:rsid w:val="00205334"/>
    <w:rsid w:val="0020540A"/>
    <w:rsid w:val="00205FC6"/>
    <w:rsid w:val="002063DA"/>
    <w:rsid w:val="00207297"/>
    <w:rsid w:val="00207435"/>
    <w:rsid w:val="00207F54"/>
    <w:rsid w:val="00210464"/>
    <w:rsid w:val="00210516"/>
    <w:rsid w:val="0021066F"/>
    <w:rsid w:val="00210967"/>
    <w:rsid w:val="002113FF"/>
    <w:rsid w:val="002116A1"/>
    <w:rsid w:val="0021196C"/>
    <w:rsid w:val="00211C77"/>
    <w:rsid w:val="00211FC2"/>
    <w:rsid w:val="002122BE"/>
    <w:rsid w:val="0021231F"/>
    <w:rsid w:val="00212562"/>
    <w:rsid w:val="00212A45"/>
    <w:rsid w:val="00212ADD"/>
    <w:rsid w:val="00212B7D"/>
    <w:rsid w:val="00213742"/>
    <w:rsid w:val="002139BB"/>
    <w:rsid w:val="00213E9A"/>
    <w:rsid w:val="0021401E"/>
    <w:rsid w:val="00214243"/>
    <w:rsid w:val="00214A69"/>
    <w:rsid w:val="00215BF7"/>
    <w:rsid w:val="00216489"/>
    <w:rsid w:val="0021680E"/>
    <w:rsid w:val="00217659"/>
    <w:rsid w:val="00217D28"/>
    <w:rsid w:val="00217F8B"/>
    <w:rsid w:val="00220526"/>
    <w:rsid w:val="00220699"/>
    <w:rsid w:val="002208D0"/>
    <w:rsid w:val="00220983"/>
    <w:rsid w:val="002209BA"/>
    <w:rsid w:val="00220BDA"/>
    <w:rsid w:val="002212F3"/>
    <w:rsid w:val="0022133D"/>
    <w:rsid w:val="00221A6F"/>
    <w:rsid w:val="00221A93"/>
    <w:rsid w:val="00221EA5"/>
    <w:rsid w:val="0022200F"/>
    <w:rsid w:val="00222BF8"/>
    <w:rsid w:val="00222E10"/>
    <w:rsid w:val="00223548"/>
    <w:rsid w:val="002238B7"/>
    <w:rsid w:val="00223C30"/>
    <w:rsid w:val="00223C7D"/>
    <w:rsid w:val="00223EA8"/>
    <w:rsid w:val="002240BC"/>
    <w:rsid w:val="002247D9"/>
    <w:rsid w:val="00224838"/>
    <w:rsid w:val="00224948"/>
    <w:rsid w:val="002258EC"/>
    <w:rsid w:val="00225967"/>
    <w:rsid w:val="00225B03"/>
    <w:rsid w:val="00225D1E"/>
    <w:rsid w:val="00225FBB"/>
    <w:rsid w:val="0022660B"/>
    <w:rsid w:val="002268A3"/>
    <w:rsid w:val="00226AAA"/>
    <w:rsid w:val="00226C2E"/>
    <w:rsid w:val="00227537"/>
    <w:rsid w:val="00227EC0"/>
    <w:rsid w:val="00227FDB"/>
    <w:rsid w:val="0022C3FF"/>
    <w:rsid w:val="00230020"/>
    <w:rsid w:val="002302D8"/>
    <w:rsid w:val="0023038C"/>
    <w:rsid w:val="00230395"/>
    <w:rsid w:val="002304E7"/>
    <w:rsid w:val="002305E8"/>
    <w:rsid w:val="00231667"/>
    <w:rsid w:val="00231A88"/>
    <w:rsid w:val="00231D34"/>
    <w:rsid w:val="00232102"/>
    <w:rsid w:val="00232240"/>
    <w:rsid w:val="00232970"/>
    <w:rsid w:val="00232D4C"/>
    <w:rsid w:val="00232F34"/>
    <w:rsid w:val="002330EF"/>
    <w:rsid w:val="00233472"/>
    <w:rsid w:val="00233632"/>
    <w:rsid w:val="00233792"/>
    <w:rsid w:val="00233910"/>
    <w:rsid w:val="00233A3C"/>
    <w:rsid w:val="00233BBF"/>
    <w:rsid w:val="00233D1A"/>
    <w:rsid w:val="00233F46"/>
    <w:rsid w:val="002342E4"/>
    <w:rsid w:val="00234704"/>
    <w:rsid w:val="0023473B"/>
    <w:rsid w:val="0023473C"/>
    <w:rsid w:val="00234856"/>
    <w:rsid w:val="00234BBB"/>
    <w:rsid w:val="002351E5"/>
    <w:rsid w:val="002354D0"/>
    <w:rsid w:val="0023565B"/>
    <w:rsid w:val="002357CF"/>
    <w:rsid w:val="00235BAC"/>
    <w:rsid w:val="00235BB4"/>
    <w:rsid w:val="00236551"/>
    <w:rsid w:val="00236D82"/>
    <w:rsid w:val="00236E05"/>
    <w:rsid w:val="0023708A"/>
    <w:rsid w:val="00237197"/>
    <w:rsid w:val="0023762B"/>
    <w:rsid w:val="00237C0F"/>
    <w:rsid w:val="00237E69"/>
    <w:rsid w:val="00240427"/>
    <w:rsid w:val="002409F8"/>
    <w:rsid w:val="00240A34"/>
    <w:rsid w:val="00240E3A"/>
    <w:rsid w:val="00240F77"/>
    <w:rsid w:val="0024185B"/>
    <w:rsid w:val="00241B4C"/>
    <w:rsid w:val="00241BF3"/>
    <w:rsid w:val="00241CFE"/>
    <w:rsid w:val="00241EDE"/>
    <w:rsid w:val="002421A4"/>
    <w:rsid w:val="00242A62"/>
    <w:rsid w:val="00242B6B"/>
    <w:rsid w:val="002432DA"/>
    <w:rsid w:val="00243418"/>
    <w:rsid w:val="002438F8"/>
    <w:rsid w:val="00243D56"/>
    <w:rsid w:val="002440AF"/>
    <w:rsid w:val="00244B88"/>
    <w:rsid w:val="00244B8C"/>
    <w:rsid w:val="00244C2E"/>
    <w:rsid w:val="00244D5B"/>
    <w:rsid w:val="00244E59"/>
    <w:rsid w:val="00244EC8"/>
    <w:rsid w:val="0024556D"/>
    <w:rsid w:val="002456D5"/>
    <w:rsid w:val="00245720"/>
    <w:rsid w:val="00245A79"/>
    <w:rsid w:val="00245D39"/>
    <w:rsid w:val="00245E80"/>
    <w:rsid w:val="0024660F"/>
    <w:rsid w:val="002471A0"/>
    <w:rsid w:val="00247967"/>
    <w:rsid w:val="00247BB7"/>
    <w:rsid w:val="00247BB9"/>
    <w:rsid w:val="00247E76"/>
    <w:rsid w:val="00250A56"/>
    <w:rsid w:val="00250C18"/>
    <w:rsid w:val="00250C94"/>
    <w:rsid w:val="00250CC7"/>
    <w:rsid w:val="00251043"/>
    <w:rsid w:val="00251C3A"/>
    <w:rsid w:val="00251CB0"/>
    <w:rsid w:val="0025207E"/>
    <w:rsid w:val="002520B4"/>
    <w:rsid w:val="002525CC"/>
    <w:rsid w:val="00252A8C"/>
    <w:rsid w:val="00252D40"/>
    <w:rsid w:val="0025322A"/>
    <w:rsid w:val="0025386F"/>
    <w:rsid w:val="002538E6"/>
    <w:rsid w:val="00253AE0"/>
    <w:rsid w:val="00253CB2"/>
    <w:rsid w:val="00254115"/>
    <w:rsid w:val="002546D9"/>
    <w:rsid w:val="0025496B"/>
    <w:rsid w:val="00254D5C"/>
    <w:rsid w:val="00254ED5"/>
    <w:rsid w:val="00254F28"/>
    <w:rsid w:val="0025549F"/>
    <w:rsid w:val="00255739"/>
    <w:rsid w:val="00255778"/>
    <w:rsid w:val="00255FAE"/>
    <w:rsid w:val="00256311"/>
    <w:rsid w:val="00256987"/>
    <w:rsid w:val="002574DC"/>
    <w:rsid w:val="002610D0"/>
    <w:rsid w:val="0026110D"/>
    <w:rsid w:val="00261750"/>
    <w:rsid w:val="002619D9"/>
    <w:rsid w:val="00261AE3"/>
    <w:rsid w:val="00261BF6"/>
    <w:rsid w:val="00261EBA"/>
    <w:rsid w:val="00261ED6"/>
    <w:rsid w:val="00261EE8"/>
    <w:rsid w:val="002622B7"/>
    <w:rsid w:val="0026248A"/>
    <w:rsid w:val="00262F11"/>
    <w:rsid w:val="00263349"/>
    <w:rsid w:val="00263ACB"/>
    <w:rsid w:val="00263DD1"/>
    <w:rsid w:val="00263DFA"/>
    <w:rsid w:val="00264114"/>
    <w:rsid w:val="00264619"/>
    <w:rsid w:val="0026483A"/>
    <w:rsid w:val="00264B03"/>
    <w:rsid w:val="00264D86"/>
    <w:rsid w:val="00264E5B"/>
    <w:rsid w:val="002651DE"/>
    <w:rsid w:val="00265213"/>
    <w:rsid w:val="00265759"/>
    <w:rsid w:val="00265843"/>
    <w:rsid w:val="002661E7"/>
    <w:rsid w:val="00266F1D"/>
    <w:rsid w:val="00267116"/>
    <w:rsid w:val="00267667"/>
    <w:rsid w:val="002676A6"/>
    <w:rsid w:val="00267F70"/>
    <w:rsid w:val="002700A0"/>
    <w:rsid w:val="002704D1"/>
    <w:rsid w:val="00270AC6"/>
    <w:rsid w:val="00270C3E"/>
    <w:rsid w:val="00270CB7"/>
    <w:rsid w:val="00270F62"/>
    <w:rsid w:val="00271A00"/>
    <w:rsid w:val="00271F31"/>
    <w:rsid w:val="0027253B"/>
    <w:rsid w:val="002725D8"/>
    <w:rsid w:val="0027265B"/>
    <w:rsid w:val="002726F3"/>
    <w:rsid w:val="00272D5F"/>
    <w:rsid w:val="00273475"/>
    <w:rsid w:val="00273774"/>
    <w:rsid w:val="00273CD9"/>
    <w:rsid w:val="00274189"/>
    <w:rsid w:val="0027465C"/>
    <w:rsid w:val="0027476B"/>
    <w:rsid w:val="00274C56"/>
    <w:rsid w:val="00274D53"/>
    <w:rsid w:val="00274D65"/>
    <w:rsid w:val="00275224"/>
    <w:rsid w:val="00275289"/>
    <w:rsid w:val="00275317"/>
    <w:rsid w:val="00275AA7"/>
    <w:rsid w:val="002760D2"/>
    <w:rsid w:val="0027650A"/>
    <w:rsid w:val="00276758"/>
    <w:rsid w:val="0027691E"/>
    <w:rsid w:val="00276F76"/>
    <w:rsid w:val="0027729C"/>
    <w:rsid w:val="00277860"/>
    <w:rsid w:val="00280972"/>
    <w:rsid w:val="00280C40"/>
    <w:rsid w:val="00280F50"/>
    <w:rsid w:val="00281757"/>
    <w:rsid w:val="00281894"/>
    <w:rsid w:val="00281A11"/>
    <w:rsid w:val="00281F38"/>
    <w:rsid w:val="00282101"/>
    <w:rsid w:val="00282602"/>
    <w:rsid w:val="00282763"/>
    <w:rsid w:val="00282CC9"/>
    <w:rsid w:val="00283560"/>
    <w:rsid w:val="0028390C"/>
    <w:rsid w:val="0028391A"/>
    <w:rsid w:val="00283969"/>
    <w:rsid w:val="00283A49"/>
    <w:rsid w:val="00284083"/>
    <w:rsid w:val="00284649"/>
    <w:rsid w:val="00284708"/>
    <w:rsid w:val="00284A4A"/>
    <w:rsid w:val="00284EEC"/>
    <w:rsid w:val="0028558C"/>
    <w:rsid w:val="00285807"/>
    <w:rsid w:val="00285980"/>
    <w:rsid w:val="00285C82"/>
    <w:rsid w:val="00285D14"/>
    <w:rsid w:val="00286A6D"/>
    <w:rsid w:val="00286CA9"/>
    <w:rsid w:val="00287010"/>
    <w:rsid w:val="002877E0"/>
    <w:rsid w:val="00287869"/>
    <w:rsid w:val="00287D01"/>
    <w:rsid w:val="0029018C"/>
    <w:rsid w:val="002902D9"/>
    <w:rsid w:val="0029084A"/>
    <w:rsid w:val="00291CDB"/>
    <w:rsid w:val="00291D55"/>
    <w:rsid w:val="002926A6"/>
    <w:rsid w:val="00292B3F"/>
    <w:rsid w:val="0029310E"/>
    <w:rsid w:val="00293201"/>
    <w:rsid w:val="002933B1"/>
    <w:rsid w:val="002934E4"/>
    <w:rsid w:val="00293699"/>
    <w:rsid w:val="002936E7"/>
    <w:rsid w:val="00293E2B"/>
    <w:rsid w:val="002945AE"/>
    <w:rsid w:val="00294740"/>
    <w:rsid w:val="00294B81"/>
    <w:rsid w:val="00294C2A"/>
    <w:rsid w:val="00294E95"/>
    <w:rsid w:val="002958F2"/>
    <w:rsid w:val="00296398"/>
    <w:rsid w:val="00296407"/>
    <w:rsid w:val="0029673E"/>
    <w:rsid w:val="0029678A"/>
    <w:rsid w:val="002968D5"/>
    <w:rsid w:val="002975D1"/>
    <w:rsid w:val="0029766D"/>
    <w:rsid w:val="00297BDF"/>
    <w:rsid w:val="00297D96"/>
    <w:rsid w:val="00297E95"/>
    <w:rsid w:val="002A0CD9"/>
    <w:rsid w:val="002A0E42"/>
    <w:rsid w:val="002A0FEC"/>
    <w:rsid w:val="002A1160"/>
    <w:rsid w:val="002A14F7"/>
    <w:rsid w:val="002A1C01"/>
    <w:rsid w:val="002A2622"/>
    <w:rsid w:val="002A36BC"/>
    <w:rsid w:val="002A3E19"/>
    <w:rsid w:val="002A41AE"/>
    <w:rsid w:val="002A4580"/>
    <w:rsid w:val="002A4710"/>
    <w:rsid w:val="002A485D"/>
    <w:rsid w:val="002A48D3"/>
    <w:rsid w:val="002A4CF6"/>
    <w:rsid w:val="002A4DF3"/>
    <w:rsid w:val="002A51AD"/>
    <w:rsid w:val="002A51D1"/>
    <w:rsid w:val="002A5345"/>
    <w:rsid w:val="002A5BCE"/>
    <w:rsid w:val="002A5BEF"/>
    <w:rsid w:val="002A5EC0"/>
    <w:rsid w:val="002A6134"/>
    <w:rsid w:val="002A6275"/>
    <w:rsid w:val="002A63E7"/>
    <w:rsid w:val="002A6973"/>
    <w:rsid w:val="002A6C83"/>
    <w:rsid w:val="002A7050"/>
    <w:rsid w:val="002A73E9"/>
    <w:rsid w:val="002A7421"/>
    <w:rsid w:val="002A793D"/>
    <w:rsid w:val="002A7BD9"/>
    <w:rsid w:val="002B0602"/>
    <w:rsid w:val="002B077B"/>
    <w:rsid w:val="002B07EF"/>
    <w:rsid w:val="002B09BE"/>
    <w:rsid w:val="002B12C6"/>
    <w:rsid w:val="002B1426"/>
    <w:rsid w:val="002B17F5"/>
    <w:rsid w:val="002B1C95"/>
    <w:rsid w:val="002B1D87"/>
    <w:rsid w:val="002B210E"/>
    <w:rsid w:val="002B28FD"/>
    <w:rsid w:val="002B29F8"/>
    <w:rsid w:val="002B2DD0"/>
    <w:rsid w:val="002B2DD8"/>
    <w:rsid w:val="002B2F37"/>
    <w:rsid w:val="002B30CD"/>
    <w:rsid w:val="002B30D2"/>
    <w:rsid w:val="002B328D"/>
    <w:rsid w:val="002B39E2"/>
    <w:rsid w:val="002B3C41"/>
    <w:rsid w:val="002B4156"/>
    <w:rsid w:val="002B4238"/>
    <w:rsid w:val="002B4C52"/>
    <w:rsid w:val="002B4CF9"/>
    <w:rsid w:val="002B50EC"/>
    <w:rsid w:val="002B50FB"/>
    <w:rsid w:val="002B547F"/>
    <w:rsid w:val="002B5544"/>
    <w:rsid w:val="002B5851"/>
    <w:rsid w:val="002B59A0"/>
    <w:rsid w:val="002B5A5B"/>
    <w:rsid w:val="002B6BC0"/>
    <w:rsid w:val="002B6C88"/>
    <w:rsid w:val="002B6EC8"/>
    <w:rsid w:val="002B7F71"/>
    <w:rsid w:val="002C0104"/>
    <w:rsid w:val="002C097C"/>
    <w:rsid w:val="002C0A71"/>
    <w:rsid w:val="002C0B84"/>
    <w:rsid w:val="002C0C14"/>
    <w:rsid w:val="002C0D66"/>
    <w:rsid w:val="002C0DE2"/>
    <w:rsid w:val="002C100F"/>
    <w:rsid w:val="002C124C"/>
    <w:rsid w:val="002C1893"/>
    <w:rsid w:val="002C1BE4"/>
    <w:rsid w:val="002C23DA"/>
    <w:rsid w:val="002C25E1"/>
    <w:rsid w:val="002C29B4"/>
    <w:rsid w:val="002C2EDE"/>
    <w:rsid w:val="002C31DA"/>
    <w:rsid w:val="002C3303"/>
    <w:rsid w:val="002C3517"/>
    <w:rsid w:val="002C3E86"/>
    <w:rsid w:val="002C40F2"/>
    <w:rsid w:val="002C4110"/>
    <w:rsid w:val="002C4651"/>
    <w:rsid w:val="002C48E2"/>
    <w:rsid w:val="002C4E49"/>
    <w:rsid w:val="002C4F05"/>
    <w:rsid w:val="002C5378"/>
    <w:rsid w:val="002C5438"/>
    <w:rsid w:val="002C543D"/>
    <w:rsid w:val="002C5A77"/>
    <w:rsid w:val="002C5E46"/>
    <w:rsid w:val="002C69D3"/>
    <w:rsid w:val="002C6B03"/>
    <w:rsid w:val="002C6B4D"/>
    <w:rsid w:val="002C7EAD"/>
    <w:rsid w:val="002D08B8"/>
    <w:rsid w:val="002D0D41"/>
    <w:rsid w:val="002D102D"/>
    <w:rsid w:val="002D116A"/>
    <w:rsid w:val="002D120A"/>
    <w:rsid w:val="002D152A"/>
    <w:rsid w:val="002D1829"/>
    <w:rsid w:val="002D1BB7"/>
    <w:rsid w:val="002D20EF"/>
    <w:rsid w:val="002D3070"/>
    <w:rsid w:val="002D3108"/>
    <w:rsid w:val="002D3267"/>
    <w:rsid w:val="002D33CB"/>
    <w:rsid w:val="002D33FB"/>
    <w:rsid w:val="002D384C"/>
    <w:rsid w:val="002D3D4A"/>
    <w:rsid w:val="002D4083"/>
    <w:rsid w:val="002D4331"/>
    <w:rsid w:val="002D4E46"/>
    <w:rsid w:val="002D4FC3"/>
    <w:rsid w:val="002D5679"/>
    <w:rsid w:val="002D5E32"/>
    <w:rsid w:val="002D5FD4"/>
    <w:rsid w:val="002D676A"/>
    <w:rsid w:val="002D6A93"/>
    <w:rsid w:val="002D7543"/>
    <w:rsid w:val="002D7637"/>
    <w:rsid w:val="002D7797"/>
    <w:rsid w:val="002D79F4"/>
    <w:rsid w:val="002D7A8F"/>
    <w:rsid w:val="002D7BAE"/>
    <w:rsid w:val="002D7C1D"/>
    <w:rsid w:val="002D7E78"/>
    <w:rsid w:val="002E0085"/>
    <w:rsid w:val="002E02AB"/>
    <w:rsid w:val="002E0516"/>
    <w:rsid w:val="002E07AA"/>
    <w:rsid w:val="002E0827"/>
    <w:rsid w:val="002E08EF"/>
    <w:rsid w:val="002E0A81"/>
    <w:rsid w:val="002E0DE2"/>
    <w:rsid w:val="002E0E42"/>
    <w:rsid w:val="002E164B"/>
    <w:rsid w:val="002E18F7"/>
    <w:rsid w:val="002E1C2A"/>
    <w:rsid w:val="002E1D96"/>
    <w:rsid w:val="002E23AB"/>
    <w:rsid w:val="002E2698"/>
    <w:rsid w:val="002E37AD"/>
    <w:rsid w:val="002E37E3"/>
    <w:rsid w:val="002E3B22"/>
    <w:rsid w:val="002E3C43"/>
    <w:rsid w:val="002E3FCD"/>
    <w:rsid w:val="002E4052"/>
    <w:rsid w:val="002E527B"/>
    <w:rsid w:val="002E557B"/>
    <w:rsid w:val="002E57E9"/>
    <w:rsid w:val="002E5865"/>
    <w:rsid w:val="002E5923"/>
    <w:rsid w:val="002E5B3E"/>
    <w:rsid w:val="002E611A"/>
    <w:rsid w:val="002E66E2"/>
    <w:rsid w:val="002E6CC7"/>
    <w:rsid w:val="002E6D9F"/>
    <w:rsid w:val="002E6F58"/>
    <w:rsid w:val="002E7035"/>
    <w:rsid w:val="002E77A8"/>
    <w:rsid w:val="002E7B8D"/>
    <w:rsid w:val="002E7E7C"/>
    <w:rsid w:val="002E7FDD"/>
    <w:rsid w:val="002F024C"/>
    <w:rsid w:val="002F0358"/>
    <w:rsid w:val="002F08B3"/>
    <w:rsid w:val="002F0C1B"/>
    <w:rsid w:val="002F0DE4"/>
    <w:rsid w:val="002F0FF9"/>
    <w:rsid w:val="002F1122"/>
    <w:rsid w:val="002F29E6"/>
    <w:rsid w:val="002F2B30"/>
    <w:rsid w:val="002F2C33"/>
    <w:rsid w:val="002F2FBF"/>
    <w:rsid w:val="002F33B3"/>
    <w:rsid w:val="002F35F6"/>
    <w:rsid w:val="002F38DF"/>
    <w:rsid w:val="002F3DC1"/>
    <w:rsid w:val="002F411E"/>
    <w:rsid w:val="002F42DC"/>
    <w:rsid w:val="002F4899"/>
    <w:rsid w:val="002F4FE0"/>
    <w:rsid w:val="002F511E"/>
    <w:rsid w:val="002F5278"/>
    <w:rsid w:val="002F54B4"/>
    <w:rsid w:val="002F5563"/>
    <w:rsid w:val="002F57EC"/>
    <w:rsid w:val="002F58BE"/>
    <w:rsid w:val="002F5C2F"/>
    <w:rsid w:val="002F644B"/>
    <w:rsid w:val="002F66B4"/>
    <w:rsid w:val="002F67DB"/>
    <w:rsid w:val="002F7503"/>
    <w:rsid w:val="002F78AF"/>
    <w:rsid w:val="002F7A41"/>
    <w:rsid w:val="002F7FCE"/>
    <w:rsid w:val="003000D1"/>
    <w:rsid w:val="00300458"/>
    <w:rsid w:val="00300C13"/>
    <w:rsid w:val="00300E72"/>
    <w:rsid w:val="0030103B"/>
    <w:rsid w:val="003011EF"/>
    <w:rsid w:val="0030124D"/>
    <w:rsid w:val="003016D0"/>
    <w:rsid w:val="0030180C"/>
    <w:rsid w:val="00301E7C"/>
    <w:rsid w:val="00302461"/>
    <w:rsid w:val="00302466"/>
    <w:rsid w:val="003029B0"/>
    <w:rsid w:val="00302CDD"/>
    <w:rsid w:val="00302E02"/>
    <w:rsid w:val="003031D5"/>
    <w:rsid w:val="00303323"/>
    <w:rsid w:val="00303459"/>
    <w:rsid w:val="0030437D"/>
    <w:rsid w:val="003043A3"/>
    <w:rsid w:val="003044BD"/>
    <w:rsid w:val="003049D6"/>
    <w:rsid w:val="00305225"/>
    <w:rsid w:val="00305241"/>
    <w:rsid w:val="00305744"/>
    <w:rsid w:val="00305CE5"/>
    <w:rsid w:val="00307052"/>
    <w:rsid w:val="00307439"/>
    <w:rsid w:val="003075D8"/>
    <w:rsid w:val="00307B97"/>
    <w:rsid w:val="00307DAC"/>
    <w:rsid w:val="00307E6A"/>
    <w:rsid w:val="0031011C"/>
    <w:rsid w:val="00310797"/>
    <w:rsid w:val="00310C5A"/>
    <w:rsid w:val="00310FEB"/>
    <w:rsid w:val="003110B3"/>
    <w:rsid w:val="0031130E"/>
    <w:rsid w:val="0031137D"/>
    <w:rsid w:val="003117B5"/>
    <w:rsid w:val="0031223C"/>
    <w:rsid w:val="00312849"/>
    <w:rsid w:val="00312ED5"/>
    <w:rsid w:val="003130D5"/>
    <w:rsid w:val="0031351F"/>
    <w:rsid w:val="00313C4F"/>
    <w:rsid w:val="00313F91"/>
    <w:rsid w:val="003147FA"/>
    <w:rsid w:val="00314821"/>
    <w:rsid w:val="00314E15"/>
    <w:rsid w:val="00314E21"/>
    <w:rsid w:val="00314E96"/>
    <w:rsid w:val="003152AA"/>
    <w:rsid w:val="003154DF"/>
    <w:rsid w:val="0031583B"/>
    <w:rsid w:val="003158F1"/>
    <w:rsid w:val="00315950"/>
    <w:rsid w:val="00315C8C"/>
    <w:rsid w:val="0031614F"/>
    <w:rsid w:val="00316226"/>
    <w:rsid w:val="003162BE"/>
    <w:rsid w:val="00316804"/>
    <w:rsid w:val="00316C0C"/>
    <w:rsid w:val="00316E6C"/>
    <w:rsid w:val="00316F36"/>
    <w:rsid w:val="003175A0"/>
    <w:rsid w:val="00317C13"/>
    <w:rsid w:val="00317DF8"/>
    <w:rsid w:val="00320000"/>
    <w:rsid w:val="00320065"/>
    <w:rsid w:val="003202BD"/>
    <w:rsid w:val="00320CED"/>
    <w:rsid w:val="00321133"/>
    <w:rsid w:val="003216F3"/>
    <w:rsid w:val="00321BF5"/>
    <w:rsid w:val="003221DE"/>
    <w:rsid w:val="003222D0"/>
    <w:rsid w:val="003224D8"/>
    <w:rsid w:val="003225D1"/>
    <w:rsid w:val="00322D50"/>
    <w:rsid w:val="00322DC9"/>
    <w:rsid w:val="003230F2"/>
    <w:rsid w:val="003231DB"/>
    <w:rsid w:val="00323394"/>
    <w:rsid w:val="0032366E"/>
    <w:rsid w:val="00323946"/>
    <w:rsid w:val="00323B49"/>
    <w:rsid w:val="00323B50"/>
    <w:rsid w:val="00323F7D"/>
    <w:rsid w:val="003246DE"/>
    <w:rsid w:val="003250FE"/>
    <w:rsid w:val="00325341"/>
    <w:rsid w:val="003256B8"/>
    <w:rsid w:val="00325929"/>
    <w:rsid w:val="003259E9"/>
    <w:rsid w:val="00325DCD"/>
    <w:rsid w:val="003261F1"/>
    <w:rsid w:val="0032623D"/>
    <w:rsid w:val="003262C6"/>
    <w:rsid w:val="0032649A"/>
    <w:rsid w:val="0032677A"/>
    <w:rsid w:val="00326E2D"/>
    <w:rsid w:val="003272F2"/>
    <w:rsid w:val="003305D3"/>
    <w:rsid w:val="00330B19"/>
    <w:rsid w:val="00330CD1"/>
    <w:rsid w:val="00330DCD"/>
    <w:rsid w:val="00331003"/>
    <w:rsid w:val="0033175E"/>
    <w:rsid w:val="00331F1B"/>
    <w:rsid w:val="0033225B"/>
    <w:rsid w:val="00332444"/>
    <w:rsid w:val="003324CE"/>
    <w:rsid w:val="003328E7"/>
    <w:rsid w:val="00332DFA"/>
    <w:rsid w:val="003330F6"/>
    <w:rsid w:val="00333497"/>
    <w:rsid w:val="0033367D"/>
    <w:rsid w:val="00333BB8"/>
    <w:rsid w:val="00334224"/>
    <w:rsid w:val="0033427C"/>
    <w:rsid w:val="00334434"/>
    <w:rsid w:val="0033491B"/>
    <w:rsid w:val="0033582F"/>
    <w:rsid w:val="00335CEA"/>
    <w:rsid w:val="003365D5"/>
    <w:rsid w:val="00336703"/>
    <w:rsid w:val="00336717"/>
    <w:rsid w:val="00336ED2"/>
    <w:rsid w:val="00336F0A"/>
    <w:rsid w:val="003371E7"/>
    <w:rsid w:val="00337423"/>
    <w:rsid w:val="00337CE5"/>
    <w:rsid w:val="0034011E"/>
    <w:rsid w:val="0034021C"/>
    <w:rsid w:val="00340A3F"/>
    <w:rsid w:val="00340BAE"/>
    <w:rsid w:val="00340E03"/>
    <w:rsid w:val="00340F62"/>
    <w:rsid w:val="00340FC2"/>
    <w:rsid w:val="00341484"/>
    <w:rsid w:val="00341662"/>
    <w:rsid w:val="0034171C"/>
    <w:rsid w:val="00341AE1"/>
    <w:rsid w:val="00341C57"/>
    <w:rsid w:val="00342045"/>
    <w:rsid w:val="00342286"/>
    <w:rsid w:val="00342329"/>
    <w:rsid w:val="0034253C"/>
    <w:rsid w:val="00342596"/>
    <w:rsid w:val="003426C9"/>
    <w:rsid w:val="003427A3"/>
    <w:rsid w:val="00342CD8"/>
    <w:rsid w:val="0034396F"/>
    <w:rsid w:val="00343CC5"/>
    <w:rsid w:val="00344014"/>
    <w:rsid w:val="00344AD8"/>
    <w:rsid w:val="00345046"/>
    <w:rsid w:val="00345309"/>
    <w:rsid w:val="00345B3C"/>
    <w:rsid w:val="00345E0B"/>
    <w:rsid w:val="00346343"/>
    <w:rsid w:val="003467CD"/>
    <w:rsid w:val="00346E03"/>
    <w:rsid w:val="00347473"/>
    <w:rsid w:val="0034792D"/>
    <w:rsid w:val="003507D0"/>
    <w:rsid w:val="003508A3"/>
    <w:rsid w:val="00350C9B"/>
    <w:rsid w:val="00350DCE"/>
    <w:rsid w:val="00351173"/>
    <w:rsid w:val="00351D47"/>
    <w:rsid w:val="00351F0E"/>
    <w:rsid w:val="00352452"/>
    <w:rsid w:val="00352596"/>
    <w:rsid w:val="0035291C"/>
    <w:rsid w:val="00352B51"/>
    <w:rsid w:val="00353216"/>
    <w:rsid w:val="003537EB"/>
    <w:rsid w:val="00353896"/>
    <w:rsid w:val="00353A35"/>
    <w:rsid w:val="003541A7"/>
    <w:rsid w:val="003543A6"/>
    <w:rsid w:val="00354BA8"/>
    <w:rsid w:val="00354DAB"/>
    <w:rsid w:val="00354E6C"/>
    <w:rsid w:val="00354F87"/>
    <w:rsid w:val="00355503"/>
    <w:rsid w:val="003555F8"/>
    <w:rsid w:val="00355AF1"/>
    <w:rsid w:val="00355EBD"/>
    <w:rsid w:val="0035659D"/>
    <w:rsid w:val="00356679"/>
    <w:rsid w:val="003566B7"/>
    <w:rsid w:val="003568C8"/>
    <w:rsid w:val="00356ED5"/>
    <w:rsid w:val="00356F5C"/>
    <w:rsid w:val="0035758D"/>
    <w:rsid w:val="00357652"/>
    <w:rsid w:val="003577FE"/>
    <w:rsid w:val="00357CA5"/>
    <w:rsid w:val="00360119"/>
    <w:rsid w:val="00360993"/>
    <w:rsid w:val="00360BCB"/>
    <w:rsid w:val="00360E11"/>
    <w:rsid w:val="0036198A"/>
    <w:rsid w:val="00361CC5"/>
    <w:rsid w:val="0036201B"/>
    <w:rsid w:val="00362490"/>
    <w:rsid w:val="00362A10"/>
    <w:rsid w:val="00362A5D"/>
    <w:rsid w:val="00362C32"/>
    <w:rsid w:val="00362FDE"/>
    <w:rsid w:val="0036300A"/>
    <w:rsid w:val="00363606"/>
    <w:rsid w:val="003636CD"/>
    <w:rsid w:val="00363AB8"/>
    <w:rsid w:val="003647F7"/>
    <w:rsid w:val="0036486A"/>
    <w:rsid w:val="00364CCD"/>
    <w:rsid w:val="00364E60"/>
    <w:rsid w:val="0036515C"/>
    <w:rsid w:val="003660A4"/>
    <w:rsid w:val="00366543"/>
    <w:rsid w:val="0036661F"/>
    <w:rsid w:val="00366E4B"/>
    <w:rsid w:val="00366E64"/>
    <w:rsid w:val="003670AB"/>
    <w:rsid w:val="003674E2"/>
    <w:rsid w:val="00367781"/>
    <w:rsid w:val="00367893"/>
    <w:rsid w:val="00367DDB"/>
    <w:rsid w:val="00370497"/>
    <w:rsid w:val="00370A63"/>
    <w:rsid w:val="0037118C"/>
    <w:rsid w:val="00371C41"/>
    <w:rsid w:val="00371F12"/>
    <w:rsid w:val="003725F9"/>
    <w:rsid w:val="00372673"/>
    <w:rsid w:val="0037278A"/>
    <w:rsid w:val="003729B8"/>
    <w:rsid w:val="00373A09"/>
    <w:rsid w:val="0037403B"/>
    <w:rsid w:val="00374739"/>
    <w:rsid w:val="00374A4C"/>
    <w:rsid w:val="00375827"/>
    <w:rsid w:val="0037594F"/>
    <w:rsid w:val="00375E18"/>
    <w:rsid w:val="003760D1"/>
    <w:rsid w:val="00376269"/>
    <w:rsid w:val="00376830"/>
    <w:rsid w:val="003769C5"/>
    <w:rsid w:val="00376AC0"/>
    <w:rsid w:val="00376B4D"/>
    <w:rsid w:val="00376F95"/>
    <w:rsid w:val="00377260"/>
    <w:rsid w:val="00377777"/>
    <w:rsid w:val="00377D62"/>
    <w:rsid w:val="003800A3"/>
    <w:rsid w:val="00380233"/>
    <w:rsid w:val="003805EE"/>
    <w:rsid w:val="003808B6"/>
    <w:rsid w:val="00380B62"/>
    <w:rsid w:val="00380CF3"/>
    <w:rsid w:val="00380E02"/>
    <w:rsid w:val="00380E57"/>
    <w:rsid w:val="003810E0"/>
    <w:rsid w:val="00381844"/>
    <w:rsid w:val="003819DF"/>
    <w:rsid w:val="00381F45"/>
    <w:rsid w:val="00382087"/>
    <w:rsid w:val="00382215"/>
    <w:rsid w:val="00382236"/>
    <w:rsid w:val="00382B81"/>
    <w:rsid w:val="00382FB8"/>
    <w:rsid w:val="0038372A"/>
    <w:rsid w:val="00383758"/>
    <w:rsid w:val="00383ACF"/>
    <w:rsid w:val="0038412D"/>
    <w:rsid w:val="00384212"/>
    <w:rsid w:val="003846C3"/>
    <w:rsid w:val="003848D1"/>
    <w:rsid w:val="00384994"/>
    <w:rsid w:val="00384E60"/>
    <w:rsid w:val="003850BA"/>
    <w:rsid w:val="00385107"/>
    <w:rsid w:val="003851E8"/>
    <w:rsid w:val="003856B6"/>
    <w:rsid w:val="00386970"/>
    <w:rsid w:val="00386AA7"/>
    <w:rsid w:val="00386C38"/>
    <w:rsid w:val="00386D3F"/>
    <w:rsid w:val="00387558"/>
    <w:rsid w:val="0038760D"/>
    <w:rsid w:val="00387695"/>
    <w:rsid w:val="003877DA"/>
    <w:rsid w:val="00387A2E"/>
    <w:rsid w:val="00387D21"/>
    <w:rsid w:val="00387D42"/>
    <w:rsid w:val="00387E82"/>
    <w:rsid w:val="0039011C"/>
    <w:rsid w:val="003902CC"/>
    <w:rsid w:val="00390473"/>
    <w:rsid w:val="0039051C"/>
    <w:rsid w:val="00390549"/>
    <w:rsid w:val="00390A4F"/>
    <w:rsid w:val="0039116D"/>
    <w:rsid w:val="00391194"/>
    <w:rsid w:val="0039151F"/>
    <w:rsid w:val="003922C9"/>
    <w:rsid w:val="003923CA"/>
    <w:rsid w:val="00392BB6"/>
    <w:rsid w:val="00392D68"/>
    <w:rsid w:val="00392E8C"/>
    <w:rsid w:val="00393313"/>
    <w:rsid w:val="003934FD"/>
    <w:rsid w:val="00393738"/>
    <w:rsid w:val="00393A89"/>
    <w:rsid w:val="00393CC7"/>
    <w:rsid w:val="00393D4B"/>
    <w:rsid w:val="00393F17"/>
    <w:rsid w:val="003946EA"/>
    <w:rsid w:val="00394873"/>
    <w:rsid w:val="00395317"/>
    <w:rsid w:val="00395593"/>
    <w:rsid w:val="00395627"/>
    <w:rsid w:val="0039574F"/>
    <w:rsid w:val="00396264"/>
    <w:rsid w:val="00396296"/>
    <w:rsid w:val="00396690"/>
    <w:rsid w:val="00396F40"/>
    <w:rsid w:val="00397339"/>
    <w:rsid w:val="00397679"/>
    <w:rsid w:val="00397988"/>
    <w:rsid w:val="00397C6F"/>
    <w:rsid w:val="00397CE5"/>
    <w:rsid w:val="003A0216"/>
    <w:rsid w:val="003A086C"/>
    <w:rsid w:val="003A0DCF"/>
    <w:rsid w:val="003A125B"/>
    <w:rsid w:val="003A13AC"/>
    <w:rsid w:val="003A14AB"/>
    <w:rsid w:val="003A151B"/>
    <w:rsid w:val="003A1CFA"/>
    <w:rsid w:val="003A2AE1"/>
    <w:rsid w:val="003A2B4D"/>
    <w:rsid w:val="003A304B"/>
    <w:rsid w:val="003A331F"/>
    <w:rsid w:val="003A336D"/>
    <w:rsid w:val="003A3A9B"/>
    <w:rsid w:val="003A3B2B"/>
    <w:rsid w:val="003A3BD8"/>
    <w:rsid w:val="003A3DF2"/>
    <w:rsid w:val="003A4036"/>
    <w:rsid w:val="003A409C"/>
    <w:rsid w:val="003A413D"/>
    <w:rsid w:val="003A4900"/>
    <w:rsid w:val="003A4A65"/>
    <w:rsid w:val="003A4AB8"/>
    <w:rsid w:val="003A4B0D"/>
    <w:rsid w:val="003A4DF9"/>
    <w:rsid w:val="003A5ABD"/>
    <w:rsid w:val="003A5C79"/>
    <w:rsid w:val="003A5DFB"/>
    <w:rsid w:val="003A62B5"/>
    <w:rsid w:val="003A652E"/>
    <w:rsid w:val="003A65ED"/>
    <w:rsid w:val="003A66B1"/>
    <w:rsid w:val="003A685E"/>
    <w:rsid w:val="003A6955"/>
    <w:rsid w:val="003A69B6"/>
    <w:rsid w:val="003A7059"/>
    <w:rsid w:val="003A731B"/>
    <w:rsid w:val="003A7826"/>
    <w:rsid w:val="003A7D9D"/>
    <w:rsid w:val="003A7DAF"/>
    <w:rsid w:val="003B0546"/>
    <w:rsid w:val="003B0902"/>
    <w:rsid w:val="003B109E"/>
    <w:rsid w:val="003B13F4"/>
    <w:rsid w:val="003B1AE4"/>
    <w:rsid w:val="003B1AF0"/>
    <w:rsid w:val="003B1AF9"/>
    <w:rsid w:val="003B1D04"/>
    <w:rsid w:val="003B22FE"/>
    <w:rsid w:val="003B28B9"/>
    <w:rsid w:val="003B2BE5"/>
    <w:rsid w:val="003B2E66"/>
    <w:rsid w:val="003B34D2"/>
    <w:rsid w:val="003B3669"/>
    <w:rsid w:val="003B49F7"/>
    <w:rsid w:val="003B4B01"/>
    <w:rsid w:val="003B4B74"/>
    <w:rsid w:val="003B4D1F"/>
    <w:rsid w:val="003B51F0"/>
    <w:rsid w:val="003B52EC"/>
    <w:rsid w:val="003B5BB7"/>
    <w:rsid w:val="003B6185"/>
    <w:rsid w:val="003B621B"/>
    <w:rsid w:val="003B6266"/>
    <w:rsid w:val="003B67F0"/>
    <w:rsid w:val="003B6EB2"/>
    <w:rsid w:val="003B742F"/>
    <w:rsid w:val="003C00A1"/>
    <w:rsid w:val="003C0113"/>
    <w:rsid w:val="003C043F"/>
    <w:rsid w:val="003C0965"/>
    <w:rsid w:val="003C0DF6"/>
    <w:rsid w:val="003C0E1C"/>
    <w:rsid w:val="003C10B7"/>
    <w:rsid w:val="003C115B"/>
    <w:rsid w:val="003C115F"/>
    <w:rsid w:val="003C11FD"/>
    <w:rsid w:val="003C1684"/>
    <w:rsid w:val="003C1DB4"/>
    <w:rsid w:val="003C24F8"/>
    <w:rsid w:val="003C29A3"/>
    <w:rsid w:val="003C2F00"/>
    <w:rsid w:val="003C32AB"/>
    <w:rsid w:val="003C32AC"/>
    <w:rsid w:val="003C341F"/>
    <w:rsid w:val="003C371D"/>
    <w:rsid w:val="003C37D2"/>
    <w:rsid w:val="003C3D80"/>
    <w:rsid w:val="003C3E63"/>
    <w:rsid w:val="003C45E1"/>
    <w:rsid w:val="003C5326"/>
    <w:rsid w:val="003C53D1"/>
    <w:rsid w:val="003C6052"/>
    <w:rsid w:val="003C668C"/>
    <w:rsid w:val="003C6D56"/>
    <w:rsid w:val="003C6DBC"/>
    <w:rsid w:val="003C727A"/>
    <w:rsid w:val="003C73C5"/>
    <w:rsid w:val="003C761E"/>
    <w:rsid w:val="003C7CDF"/>
    <w:rsid w:val="003D0207"/>
    <w:rsid w:val="003D052A"/>
    <w:rsid w:val="003D070A"/>
    <w:rsid w:val="003D08FB"/>
    <w:rsid w:val="003D0AD2"/>
    <w:rsid w:val="003D0C7D"/>
    <w:rsid w:val="003D0DA0"/>
    <w:rsid w:val="003D1638"/>
    <w:rsid w:val="003D2154"/>
    <w:rsid w:val="003D2576"/>
    <w:rsid w:val="003D28C3"/>
    <w:rsid w:val="003D29E7"/>
    <w:rsid w:val="003D2EA3"/>
    <w:rsid w:val="003D2F39"/>
    <w:rsid w:val="003D2F57"/>
    <w:rsid w:val="003D3116"/>
    <w:rsid w:val="003D3294"/>
    <w:rsid w:val="003D35FD"/>
    <w:rsid w:val="003D4573"/>
    <w:rsid w:val="003D4FE3"/>
    <w:rsid w:val="003D53FE"/>
    <w:rsid w:val="003D5566"/>
    <w:rsid w:val="003D5641"/>
    <w:rsid w:val="003D5833"/>
    <w:rsid w:val="003D5856"/>
    <w:rsid w:val="003D5ACD"/>
    <w:rsid w:val="003D5ADD"/>
    <w:rsid w:val="003D617E"/>
    <w:rsid w:val="003D63F1"/>
    <w:rsid w:val="003D67E2"/>
    <w:rsid w:val="003D6B85"/>
    <w:rsid w:val="003D6D24"/>
    <w:rsid w:val="003D7037"/>
    <w:rsid w:val="003D7161"/>
    <w:rsid w:val="003D732B"/>
    <w:rsid w:val="003D7507"/>
    <w:rsid w:val="003D76BC"/>
    <w:rsid w:val="003E0712"/>
    <w:rsid w:val="003E0777"/>
    <w:rsid w:val="003E077E"/>
    <w:rsid w:val="003E07FF"/>
    <w:rsid w:val="003E0A08"/>
    <w:rsid w:val="003E0A95"/>
    <w:rsid w:val="003E0ACB"/>
    <w:rsid w:val="003E162D"/>
    <w:rsid w:val="003E200B"/>
    <w:rsid w:val="003E212B"/>
    <w:rsid w:val="003E25FD"/>
    <w:rsid w:val="003E2986"/>
    <w:rsid w:val="003E29CF"/>
    <w:rsid w:val="003E3D09"/>
    <w:rsid w:val="003E409F"/>
    <w:rsid w:val="003E434C"/>
    <w:rsid w:val="003E4EEA"/>
    <w:rsid w:val="003E53AE"/>
    <w:rsid w:val="003E63FC"/>
    <w:rsid w:val="003E6653"/>
    <w:rsid w:val="003E6830"/>
    <w:rsid w:val="003E6D86"/>
    <w:rsid w:val="003E781B"/>
    <w:rsid w:val="003E79F7"/>
    <w:rsid w:val="003E7C6E"/>
    <w:rsid w:val="003E7CFA"/>
    <w:rsid w:val="003F003A"/>
    <w:rsid w:val="003F0366"/>
    <w:rsid w:val="003F0390"/>
    <w:rsid w:val="003F06A0"/>
    <w:rsid w:val="003F0C2C"/>
    <w:rsid w:val="003F1776"/>
    <w:rsid w:val="003F1B21"/>
    <w:rsid w:val="003F1BFB"/>
    <w:rsid w:val="003F1D6A"/>
    <w:rsid w:val="003F2B26"/>
    <w:rsid w:val="003F2FB4"/>
    <w:rsid w:val="003F317D"/>
    <w:rsid w:val="003F371D"/>
    <w:rsid w:val="003F4090"/>
    <w:rsid w:val="003F442C"/>
    <w:rsid w:val="003F4A62"/>
    <w:rsid w:val="003F577B"/>
    <w:rsid w:val="003F5EB3"/>
    <w:rsid w:val="003F654A"/>
    <w:rsid w:val="003F6987"/>
    <w:rsid w:val="003F6C14"/>
    <w:rsid w:val="003F713A"/>
    <w:rsid w:val="003F7291"/>
    <w:rsid w:val="003F72E8"/>
    <w:rsid w:val="003F7396"/>
    <w:rsid w:val="003F741F"/>
    <w:rsid w:val="003F7694"/>
    <w:rsid w:val="003F7797"/>
    <w:rsid w:val="004003F7"/>
    <w:rsid w:val="0040057D"/>
    <w:rsid w:val="004007EA"/>
    <w:rsid w:val="00400A96"/>
    <w:rsid w:val="004011A7"/>
    <w:rsid w:val="0040169E"/>
    <w:rsid w:val="00401834"/>
    <w:rsid w:val="00401CEC"/>
    <w:rsid w:val="00401D65"/>
    <w:rsid w:val="00402475"/>
    <w:rsid w:val="00402568"/>
    <w:rsid w:val="00402B93"/>
    <w:rsid w:val="00402D52"/>
    <w:rsid w:val="0040308D"/>
    <w:rsid w:val="004032B6"/>
    <w:rsid w:val="00403388"/>
    <w:rsid w:val="00403839"/>
    <w:rsid w:val="004038FC"/>
    <w:rsid w:val="00403A89"/>
    <w:rsid w:val="00403C3C"/>
    <w:rsid w:val="00403CD1"/>
    <w:rsid w:val="004041BA"/>
    <w:rsid w:val="00404659"/>
    <w:rsid w:val="0040465C"/>
    <w:rsid w:val="00404768"/>
    <w:rsid w:val="00405C47"/>
    <w:rsid w:val="00405F16"/>
    <w:rsid w:val="004063DE"/>
    <w:rsid w:val="00406640"/>
    <w:rsid w:val="004066BD"/>
    <w:rsid w:val="00406920"/>
    <w:rsid w:val="00406AC0"/>
    <w:rsid w:val="0040715A"/>
    <w:rsid w:val="00407273"/>
    <w:rsid w:val="004078C5"/>
    <w:rsid w:val="00407AF0"/>
    <w:rsid w:val="004100FD"/>
    <w:rsid w:val="00410553"/>
    <w:rsid w:val="00410569"/>
    <w:rsid w:val="004108D0"/>
    <w:rsid w:val="00410B6F"/>
    <w:rsid w:val="00410B70"/>
    <w:rsid w:val="00410B83"/>
    <w:rsid w:val="00410D02"/>
    <w:rsid w:val="004112FD"/>
    <w:rsid w:val="00411CEA"/>
    <w:rsid w:val="00411CFD"/>
    <w:rsid w:val="004126EC"/>
    <w:rsid w:val="0041292D"/>
    <w:rsid w:val="004129F9"/>
    <w:rsid w:val="00412B69"/>
    <w:rsid w:val="00412BD0"/>
    <w:rsid w:val="00412D81"/>
    <w:rsid w:val="00413281"/>
    <w:rsid w:val="00413A96"/>
    <w:rsid w:val="00413C56"/>
    <w:rsid w:val="00414079"/>
    <w:rsid w:val="00414175"/>
    <w:rsid w:val="00414186"/>
    <w:rsid w:val="00414357"/>
    <w:rsid w:val="0041509E"/>
    <w:rsid w:val="0041523D"/>
    <w:rsid w:val="00415A54"/>
    <w:rsid w:val="00415FDD"/>
    <w:rsid w:val="0041651B"/>
    <w:rsid w:val="0041654E"/>
    <w:rsid w:val="004165A9"/>
    <w:rsid w:val="00416A04"/>
    <w:rsid w:val="00420708"/>
    <w:rsid w:val="00420CDC"/>
    <w:rsid w:val="00420D24"/>
    <w:rsid w:val="00420DE0"/>
    <w:rsid w:val="004212A3"/>
    <w:rsid w:val="0042180B"/>
    <w:rsid w:val="00421957"/>
    <w:rsid w:val="00421BE5"/>
    <w:rsid w:val="00422024"/>
    <w:rsid w:val="0042226B"/>
    <w:rsid w:val="0042337E"/>
    <w:rsid w:val="00423B1F"/>
    <w:rsid w:val="00424AA7"/>
    <w:rsid w:val="00424D0D"/>
    <w:rsid w:val="00424D7F"/>
    <w:rsid w:val="00424EE6"/>
    <w:rsid w:val="0042521D"/>
    <w:rsid w:val="00425557"/>
    <w:rsid w:val="0042567A"/>
    <w:rsid w:val="00425D2E"/>
    <w:rsid w:val="00426026"/>
    <w:rsid w:val="00426448"/>
    <w:rsid w:val="00426BC5"/>
    <w:rsid w:val="00427688"/>
    <w:rsid w:val="00427A69"/>
    <w:rsid w:val="00427E9D"/>
    <w:rsid w:val="00427EA0"/>
    <w:rsid w:val="00427EB2"/>
    <w:rsid w:val="004300F8"/>
    <w:rsid w:val="00430500"/>
    <w:rsid w:val="0043059D"/>
    <w:rsid w:val="004307A5"/>
    <w:rsid w:val="004308F8"/>
    <w:rsid w:val="004309D5"/>
    <w:rsid w:val="00430F02"/>
    <w:rsid w:val="0043143C"/>
    <w:rsid w:val="00431444"/>
    <w:rsid w:val="004317A9"/>
    <w:rsid w:val="0043252D"/>
    <w:rsid w:val="00432A38"/>
    <w:rsid w:val="00433237"/>
    <w:rsid w:val="00433DA8"/>
    <w:rsid w:val="00433E9E"/>
    <w:rsid w:val="00434161"/>
    <w:rsid w:val="004345D9"/>
    <w:rsid w:val="0043472C"/>
    <w:rsid w:val="004348FB"/>
    <w:rsid w:val="004349A2"/>
    <w:rsid w:val="00434B2E"/>
    <w:rsid w:val="00434BB9"/>
    <w:rsid w:val="00435648"/>
    <w:rsid w:val="00435D83"/>
    <w:rsid w:val="00436204"/>
    <w:rsid w:val="00436BF8"/>
    <w:rsid w:val="004370B1"/>
    <w:rsid w:val="00437467"/>
    <w:rsid w:val="00437540"/>
    <w:rsid w:val="00437F52"/>
    <w:rsid w:val="004403B8"/>
    <w:rsid w:val="0044053D"/>
    <w:rsid w:val="00440E72"/>
    <w:rsid w:val="0044168B"/>
    <w:rsid w:val="00441774"/>
    <w:rsid w:val="004419D1"/>
    <w:rsid w:val="00441A97"/>
    <w:rsid w:val="00441C4C"/>
    <w:rsid w:val="00441F95"/>
    <w:rsid w:val="004420B5"/>
    <w:rsid w:val="00442CD0"/>
    <w:rsid w:val="00442F1F"/>
    <w:rsid w:val="0044335B"/>
    <w:rsid w:val="004433D6"/>
    <w:rsid w:val="00443455"/>
    <w:rsid w:val="004439B4"/>
    <w:rsid w:val="00443B4B"/>
    <w:rsid w:val="00443C7D"/>
    <w:rsid w:val="00444062"/>
    <w:rsid w:val="00444D05"/>
    <w:rsid w:val="00444E72"/>
    <w:rsid w:val="004450BA"/>
    <w:rsid w:val="0044557A"/>
    <w:rsid w:val="004455D6"/>
    <w:rsid w:val="00445D04"/>
    <w:rsid w:val="004464F4"/>
    <w:rsid w:val="004466EB"/>
    <w:rsid w:val="00446EE9"/>
    <w:rsid w:val="004473D6"/>
    <w:rsid w:val="0044773D"/>
    <w:rsid w:val="00447969"/>
    <w:rsid w:val="00447D88"/>
    <w:rsid w:val="00447F58"/>
    <w:rsid w:val="00447F89"/>
    <w:rsid w:val="0045074E"/>
    <w:rsid w:val="00450BA9"/>
    <w:rsid w:val="00451089"/>
    <w:rsid w:val="00451257"/>
    <w:rsid w:val="0045145A"/>
    <w:rsid w:val="00451811"/>
    <w:rsid w:val="0045184B"/>
    <w:rsid w:val="00451D3D"/>
    <w:rsid w:val="00452157"/>
    <w:rsid w:val="0045219C"/>
    <w:rsid w:val="004522A0"/>
    <w:rsid w:val="004525C0"/>
    <w:rsid w:val="004528D4"/>
    <w:rsid w:val="004528DD"/>
    <w:rsid w:val="00452A15"/>
    <w:rsid w:val="00452DFB"/>
    <w:rsid w:val="00453805"/>
    <w:rsid w:val="0045386E"/>
    <w:rsid w:val="004539EF"/>
    <w:rsid w:val="00453F10"/>
    <w:rsid w:val="00453F65"/>
    <w:rsid w:val="00454138"/>
    <w:rsid w:val="004542FF"/>
    <w:rsid w:val="00454581"/>
    <w:rsid w:val="0045499A"/>
    <w:rsid w:val="00454AAF"/>
    <w:rsid w:val="00455532"/>
    <w:rsid w:val="004556D9"/>
    <w:rsid w:val="0045631A"/>
    <w:rsid w:val="0045640A"/>
    <w:rsid w:val="0045658F"/>
    <w:rsid w:val="00456AED"/>
    <w:rsid w:val="00456B96"/>
    <w:rsid w:val="00456C93"/>
    <w:rsid w:val="00456F99"/>
    <w:rsid w:val="00457076"/>
    <w:rsid w:val="004577C8"/>
    <w:rsid w:val="004600B9"/>
    <w:rsid w:val="004600CF"/>
    <w:rsid w:val="00460749"/>
    <w:rsid w:val="00460BAD"/>
    <w:rsid w:val="00461112"/>
    <w:rsid w:val="0046114A"/>
    <w:rsid w:val="00461620"/>
    <w:rsid w:val="00461BE0"/>
    <w:rsid w:val="00461FAA"/>
    <w:rsid w:val="00462278"/>
    <w:rsid w:val="0046227E"/>
    <w:rsid w:val="00462383"/>
    <w:rsid w:val="004623B4"/>
    <w:rsid w:val="00462860"/>
    <w:rsid w:val="004631EB"/>
    <w:rsid w:val="00463B1E"/>
    <w:rsid w:val="00463ED4"/>
    <w:rsid w:val="00464195"/>
    <w:rsid w:val="00464851"/>
    <w:rsid w:val="00464B9D"/>
    <w:rsid w:val="00464CAA"/>
    <w:rsid w:val="00465066"/>
    <w:rsid w:val="004654E3"/>
    <w:rsid w:val="004658F6"/>
    <w:rsid w:val="00465E9C"/>
    <w:rsid w:val="00465EDA"/>
    <w:rsid w:val="00465F3E"/>
    <w:rsid w:val="004661E1"/>
    <w:rsid w:val="0046621B"/>
    <w:rsid w:val="0046623C"/>
    <w:rsid w:val="0046631E"/>
    <w:rsid w:val="00466641"/>
    <w:rsid w:val="004669F5"/>
    <w:rsid w:val="004670A1"/>
    <w:rsid w:val="004671FA"/>
    <w:rsid w:val="0046740E"/>
    <w:rsid w:val="004707B4"/>
    <w:rsid w:val="00470C1F"/>
    <w:rsid w:val="00470CDC"/>
    <w:rsid w:val="00470DB5"/>
    <w:rsid w:val="004710E2"/>
    <w:rsid w:val="0047138E"/>
    <w:rsid w:val="0047159A"/>
    <w:rsid w:val="004715C5"/>
    <w:rsid w:val="004719A4"/>
    <w:rsid w:val="00471B6C"/>
    <w:rsid w:val="00471DAC"/>
    <w:rsid w:val="00471E49"/>
    <w:rsid w:val="00472063"/>
    <w:rsid w:val="00472247"/>
    <w:rsid w:val="004729EF"/>
    <w:rsid w:val="00472B69"/>
    <w:rsid w:val="00472F14"/>
    <w:rsid w:val="00473193"/>
    <w:rsid w:val="00473536"/>
    <w:rsid w:val="0047356A"/>
    <w:rsid w:val="0047398F"/>
    <w:rsid w:val="00473AAC"/>
    <w:rsid w:val="00473F4C"/>
    <w:rsid w:val="0047482C"/>
    <w:rsid w:val="00474A3F"/>
    <w:rsid w:val="00474B7E"/>
    <w:rsid w:val="00474DE6"/>
    <w:rsid w:val="004750DF"/>
    <w:rsid w:val="004752A7"/>
    <w:rsid w:val="00475B75"/>
    <w:rsid w:val="00475F11"/>
    <w:rsid w:val="0047630B"/>
    <w:rsid w:val="0047639B"/>
    <w:rsid w:val="004766B7"/>
    <w:rsid w:val="004769FA"/>
    <w:rsid w:val="00476A94"/>
    <w:rsid w:val="0047704A"/>
    <w:rsid w:val="0047717B"/>
    <w:rsid w:val="004774B7"/>
    <w:rsid w:val="00477698"/>
    <w:rsid w:val="004779FE"/>
    <w:rsid w:val="00477A17"/>
    <w:rsid w:val="00477B89"/>
    <w:rsid w:val="00477D7C"/>
    <w:rsid w:val="0048010A"/>
    <w:rsid w:val="0048061A"/>
    <w:rsid w:val="00480E69"/>
    <w:rsid w:val="004810C5"/>
    <w:rsid w:val="00481376"/>
    <w:rsid w:val="004814B2"/>
    <w:rsid w:val="004819A7"/>
    <w:rsid w:val="00481AF3"/>
    <w:rsid w:val="00481B66"/>
    <w:rsid w:val="004822C1"/>
    <w:rsid w:val="0048245F"/>
    <w:rsid w:val="0048274C"/>
    <w:rsid w:val="00482870"/>
    <w:rsid w:val="004836BB"/>
    <w:rsid w:val="00483E6B"/>
    <w:rsid w:val="0048447E"/>
    <w:rsid w:val="00484800"/>
    <w:rsid w:val="004848C1"/>
    <w:rsid w:val="0048490A"/>
    <w:rsid w:val="004849D5"/>
    <w:rsid w:val="00484ABD"/>
    <w:rsid w:val="00484B45"/>
    <w:rsid w:val="0048505B"/>
    <w:rsid w:val="004857BF"/>
    <w:rsid w:val="00485C43"/>
    <w:rsid w:val="00485DDB"/>
    <w:rsid w:val="00485F69"/>
    <w:rsid w:val="004861B3"/>
    <w:rsid w:val="004863F2"/>
    <w:rsid w:val="00486805"/>
    <w:rsid w:val="004871C9"/>
    <w:rsid w:val="0048775A"/>
    <w:rsid w:val="00487978"/>
    <w:rsid w:val="00487A39"/>
    <w:rsid w:val="00487AE8"/>
    <w:rsid w:val="00487EF8"/>
    <w:rsid w:val="0049035D"/>
    <w:rsid w:val="00490510"/>
    <w:rsid w:val="0049112C"/>
    <w:rsid w:val="00491B57"/>
    <w:rsid w:val="00491BDD"/>
    <w:rsid w:val="00491EE2"/>
    <w:rsid w:val="00491EE3"/>
    <w:rsid w:val="0049208C"/>
    <w:rsid w:val="00492155"/>
    <w:rsid w:val="004925F5"/>
    <w:rsid w:val="0049284D"/>
    <w:rsid w:val="0049289C"/>
    <w:rsid w:val="00492B51"/>
    <w:rsid w:val="00493403"/>
    <w:rsid w:val="004935F7"/>
    <w:rsid w:val="00493707"/>
    <w:rsid w:val="0049433A"/>
    <w:rsid w:val="00494492"/>
    <w:rsid w:val="0049467C"/>
    <w:rsid w:val="004946DD"/>
    <w:rsid w:val="00494F19"/>
    <w:rsid w:val="0049506F"/>
    <w:rsid w:val="004951E7"/>
    <w:rsid w:val="00495529"/>
    <w:rsid w:val="00495789"/>
    <w:rsid w:val="00495793"/>
    <w:rsid w:val="00496288"/>
    <w:rsid w:val="004965F3"/>
    <w:rsid w:val="00496771"/>
    <w:rsid w:val="00496786"/>
    <w:rsid w:val="004968F1"/>
    <w:rsid w:val="00496902"/>
    <w:rsid w:val="004973CE"/>
    <w:rsid w:val="00497446"/>
    <w:rsid w:val="00497451"/>
    <w:rsid w:val="00497465"/>
    <w:rsid w:val="00497486"/>
    <w:rsid w:val="004978BF"/>
    <w:rsid w:val="00497BF7"/>
    <w:rsid w:val="00497CC2"/>
    <w:rsid w:val="004A0074"/>
    <w:rsid w:val="004A05F9"/>
    <w:rsid w:val="004A085A"/>
    <w:rsid w:val="004A0A0A"/>
    <w:rsid w:val="004A0AC2"/>
    <w:rsid w:val="004A0CCA"/>
    <w:rsid w:val="004A0FD6"/>
    <w:rsid w:val="004A1019"/>
    <w:rsid w:val="004A1349"/>
    <w:rsid w:val="004A176E"/>
    <w:rsid w:val="004A3098"/>
    <w:rsid w:val="004A3246"/>
    <w:rsid w:val="004A36CF"/>
    <w:rsid w:val="004A3B86"/>
    <w:rsid w:val="004A3F12"/>
    <w:rsid w:val="004A4241"/>
    <w:rsid w:val="004A4261"/>
    <w:rsid w:val="004A474E"/>
    <w:rsid w:val="004A5076"/>
    <w:rsid w:val="004A5455"/>
    <w:rsid w:val="004A5ACC"/>
    <w:rsid w:val="004A5F15"/>
    <w:rsid w:val="004A65DD"/>
    <w:rsid w:val="004A65FA"/>
    <w:rsid w:val="004A70C1"/>
    <w:rsid w:val="004A78C9"/>
    <w:rsid w:val="004A7913"/>
    <w:rsid w:val="004A7CCE"/>
    <w:rsid w:val="004B0477"/>
    <w:rsid w:val="004B05DC"/>
    <w:rsid w:val="004B06E2"/>
    <w:rsid w:val="004B0727"/>
    <w:rsid w:val="004B0B52"/>
    <w:rsid w:val="004B1513"/>
    <w:rsid w:val="004B19F5"/>
    <w:rsid w:val="004B1AB4"/>
    <w:rsid w:val="004B1E5F"/>
    <w:rsid w:val="004B1EA5"/>
    <w:rsid w:val="004B2190"/>
    <w:rsid w:val="004B2315"/>
    <w:rsid w:val="004B2FF4"/>
    <w:rsid w:val="004B3818"/>
    <w:rsid w:val="004B3D8B"/>
    <w:rsid w:val="004B4138"/>
    <w:rsid w:val="004B4290"/>
    <w:rsid w:val="004B43CE"/>
    <w:rsid w:val="004B4DAA"/>
    <w:rsid w:val="004B50B3"/>
    <w:rsid w:val="004B540F"/>
    <w:rsid w:val="004B56C8"/>
    <w:rsid w:val="004B5738"/>
    <w:rsid w:val="004B5809"/>
    <w:rsid w:val="004B58CA"/>
    <w:rsid w:val="004B5A18"/>
    <w:rsid w:val="004B60C9"/>
    <w:rsid w:val="004B6337"/>
    <w:rsid w:val="004B6735"/>
    <w:rsid w:val="004B6A49"/>
    <w:rsid w:val="004B72FB"/>
    <w:rsid w:val="004B734C"/>
    <w:rsid w:val="004B78A4"/>
    <w:rsid w:val="004B7E06"/>
    <w:rsid w:val="004C0629"/>
    <w:rsid w:val="004C08CC"/>
    <w:rsid w:val="004C0CC9"/>
    <w:rsid w:val="004C135F"/>
    <w:rsid w:val="004C14D7"/>
    <w:rsid w:val="004C18A1"/>
    <w:rsid w:val="004C28B1"/>
    <w:rsid w:val="004C2D51"/>
    <w:rsid w:val="004C3469"/>
    <w:rsid w:val="004C43E2"/>
    <w:rsid w:val="004C452D"/>
    <w:rsid w:val="004C4D69"/>
    <w:rsid w:val="004C4E40"/>
    <w:rsid w:val="004C50A6"/>
    <w:rsid w:val="004C53A7"/>
    <w:rsid w:val="004C54A4"/>
    <w:rsid w:val="004C591F"/>
    <w:rsid w:val="004C5BE3"/>
    <w:rsid w:val="004C5EDB"/>
    <w:rsid w:val="004C6363"/>
    <w:rsid w:val="004C6496"/>
    <w:rsid w:val="004C6498"/>
    <w:rsid w:val="004C6873"/>
    <w:rsid w:val="004C6946"/>
    <w:rsid w:val="004C70FE"/>
    <w:rsid w:val="004C7CD8"/>
    <w:rsid w:val="004D0053"/>
    <w:rsid w:val="004D00AA"/>
    <w:rsid w:val="004D0279"/>
    <w:rsid w:val="004D0898"/>
    <w:rsid w:val="004D0971"/>
    <w:rsid w:val="004D0A4D"/>
    <w:rsid w:val="004D0A81"/>
    <w:rsid w:val="004D0FFB"/>
    <w:rsid w:val="004D1309"/>
    <w:rsid w:val="004D1409"/>
    <w:rsid w:val="004D1AD3"/>
    <w:rsid w:val="004D1E03"/>
    <w:rsid w:val="004D1E87"/>
    <w:rsid w:val="004D1EF6"/>
    <w:rsid w:val="004D1F4C"/>
    <w:rsid w:val="004D1F83"/>
    <w:rsid w:val="004D24FD"/>
    <w:rsid w:val="004D269D"/>
    <w:rsid w:val="004D26E8"/>
    <w:rsid w:val="004D2C64"/>
    <w:rsid w:val="004D33B6"/>
    <w:rsid w:val="004D3CF1"/>
    <w:rsid w:val="004D3D2D"/>
    <w:rsid w:val="004D4804"/>
    <w:rsid w:val="004D480E"/>
    <w:rsid w:val="004D4901"/>
    <w:rsid w:val="004D4C4C"/>
    <w:rsid w:val="004D5E24"/>
    <w:rsid w:val="004D5E31"/>
    <w:rsid w:val="004D67D0"/>
    <w:rsid w:val="004D67E6"/>
    <w:rsid w:val="004D68A1"/>
    <w:rsid w:val="004D6F49"/>
    <w:rsid w:val="004D6F84"/>
    <w:rsid w:val="004D763C"/>
    <w:rsid w:val="004D7ACC"/>
    <w:rsid w:val="004E02B5"/>
    <w:rsid w:val="004E03DF"/>
    <w:rsid w:val="004E06B3"/>
    <w:rsid w:val="004E0DA6"/>
    <w:rsid w:val="004E1237"/>
    <w:rsid w:val="004E1312"/>
    <w:rsid w:val="004E161A"/>
    <w:rsid w:val="004E1BBE"/>
    <w:rsid w:val="004E202B"/>
    <w:rsid w:val="004E2398"/>
    <w:rsid w:val="004E304C"/>
    <w:rsid w:val="004E3463"/>
    <w:rsid w:val="004E37E8"/>
    <w:rsid w:val="004E50FA"/>
    <w:rsid w:val="004E5B80"/>
    <w:rsid w:val="004E5C51"/>
    <w:rsid w:val="004E61CD"/>
    <w:rsid w:val="004E6225"/>
    <w:rsid w:val="004E633A"/>
    <w:rsid w:val="004E63B7"/>
    <w:rsid w:val="004E6482"/>
    <w:rsid w:val="004E66D9"/>
    <w:rsid w:val="004E6CFE"/>
    <w:rsid w:val="004E6D90"/>
    <w:rsid w:val="004E6F09"/>
    <w:rsid w:val="004E72D8"/>
    <w:rsid w:val="004E7897"/>
    <w:rsid w:val="004E78A3"/>
    <w:rsid w:val="004E7FA8"/>
    <w:rsid w:val="004F017C"/>
    <w:rsid w:val="004F0690"/>
    <w:rsid w:val="004F07B3"/>
    <w:rsid w:val="004F11EC"/>
    <w:rsid w:val="004F13A3"/>
    <w:rsid w:val="004F162C"/>
    <w:rsid w:val="004F170A"/>
    <w:rsid w:val="004F1EF1"/>
    <w:rsid w:val="004F211B"/>
    <w:rsid w:val="004F253D"/>
    <w:rsid w:val="004F2999"/>
    <w:rsid w:val="004F2B9B"/>
    <w:rsid w:val="004F2E92"/>
    <w:rsid w:val="004F309C"/>
    <w:rsid w:val="004F3226"/>
    <w:rsid w:val="004F3EAB"/>
    <w:rsid w:val="004F3EF5"/>
    <w:rsid w:val="004F4170"/>
    <w:rsid w:val="004F47A8"/>
    <w:rsid w:val="004F48A1"/>
    <w:rsid w:val="004F4921"/>
    <w:rsid w:val="004F4BD4"/>
    <w:rsid w:val="004F4D81"/>
    <w:rsid w:val="004F4E5D"/>
    <w:rsid w:val="004F5398"/>
    <w:rsid w:val="004F55BC"/>
    <w:rsid w:val="004F59DC"/>
    <w:rsid w:val="004F5B0A"/>
    <w:rsid w:val="004F5CA7"/>
    <w:rsid w:val="004F5ECC"/>
    <w:rsid w:val="004F5F8C"/>
    <w:rsid w:val="004F662F"/>
    <w:rsid w:val="004F6631"/>
    <w:rsid w:val="004F67DC"/>
    <w:rsid w:val="004F6812"/>
    <w:rsid w:val="004F6838"/>
    <w:rsid w:val="004F73F5"/>
    <w:rsid w:val="004F7463"/>
    <w:rsid w:val="004F7685"/>
    <w:rsid w:val="004F774B"/>
    <w:rsid w:val="004F7920"/>
    <w:rsid w:val="004F7B54"/>
    <w:rsid w:val="00500CEA"/>
    <w:rsid w:val="00501330"/>
    <w:rsid w:val="00501676"/>
    <w:rsid w:val="005016D0"/>
    <w:rsid w:val="00501B81"/>
    <w:rsid w:val="00501DF3"/>
    <w:rsid w:val="00502279"/>
    <w:rsid w:val="0050243D"/>
    <w:rsid w:val="0050283E"/>
    <w:rsid w:val="00502B84"/>
    <w:rsid w:val="005031EB"/>
    <w:rsid w:val="00503951"/>
    <w:rsid w:val="00504159"/>
    <w:rsid w:val="00504412"/>
    <w:rsid w:val="00504803"/>
    <w:rsid w:val="00504994"/>
    <w:rsid w:val="00504A2A"/>
    <w:rsid w:val="00504B9B"/>
    <w:rsid w:val="00504C85"/>
    <w:rsid w:val="00504CA0"/>
    <w:rsid w:val="00504FA9"/>
    <w:rsid w:val="00505081"/>
    <w:rsid w:val="0050546F"/>
    <w:rsid w:val="0050554D"/>
    <w:rsid w:val="005056EF"/>
    <w:rsid w:val="00505F69"/>
    <w:rsid w:val="0050651B"/>
    <w:rsid w:val="00506788"/>
    <w:rsid w:val="00506944"/>
    <w:rsid w:val="00506B2B"/>
    <w:rsid w:val="00506C05"/>
    <w:rsid w:val="00506D94"/>
    <w:rsid w:val="005070A4"/>
    <w:rsid w:val="00507193"/>
    <w:rsid w:val="00507356"/>
    <w:rsid w:val="00507A83"/>
    <w:rsid w:val="00507BB9"/>
    <w:rsid w:val="0051093E"/>
    <w:rsid w:val="0051097B"/>
    <w:rsid w:val="00510BDB"/>
    <w:rsid w:val="00510DC0"/>
    <w:rsid w:val="00510E47"/>
    <w:rsid w:val="00511A8F"/>
    <w:rsid w:val="00512078"/>
    <w:rsid w:val="005123EF"/>
    <w:rsid w:val="005126F1"/>
    <w:rsid w:val="00512C8D"/>
    <w:rsid w:val="00512CA6"/>
    <w:rsid w:val="00512FC7"/>
    <w:rsid w:val="005130DC"/>
    <w:rsid w:val="005131BD"/>
    <w:rsid w:val="0051444B"/>
    <w:rsid w:val="00514521"/>
    <w:rsid w:val="00514599"/>
    <w:rsid w:val="00514B0D"/>
    <w:rsid w:val="005152BF"/>
    <w:rsid w:val="00515A9D"/>
    <w:rsid w:val="00516210"/>
    <w:rsid w:val="0051649A"/>
    <w:rsid w:val="00516DBD"/>
    <w:rsid w:val="00516FCA"/>
    <w:rsid w:val="00517549"/>
    <w:rsid w:val="0051769C"/>
    <w:rsid w:val="005176C8"/>
    <w:rsid w:val="00517EFB"/>
    <w:rsid w:val="005200B4"/>
    <w:rsid w:val="00520467"/>
    <w:rsid w:val="005206C0"/>
    <w:rsid w:val="00520B6E"/>
    <w:rsid w:val="00520F54"/>
    <w:rsid w:val="00521001"/>
    <w:rsid w:val="005211C6"/>
    <w:rsid w:val="005211ED"/>
    <w:rsid w:val="0052124F"/>
    <w:rsid w:val="00521844"/>
    <w:rsid w:val="00521964"/>
    <w:rsid w:val="00522271"/>
    <w:rsid w:val="00522422"/>
    <w:rsid w:val="00522746"/>
    <w:rsid w:val="00522893"/>
    <w:rsid w:val="00522C05"/>
    <w:rsid w:val="00522EAF"/>
    <w:rsid w:val="00523235"/>
    <w:rsid w:val="005238BC"/>
    <w:rsid w:val="00523A1E"/>
    <w:rsid w:val="00523A8B"/>
    <w:rsid w:val="00523F4F"/>
    <w:rsid w:val="00524548"/>
    <w:rsid w:val="005245FA"/>
    <w:rsid w:val="00524631"/>
    <w:rsid w:val="00524A6E"/>
    <w:rsid w:val="00524AF3"/>
    <w:rsid w:val="00524F6C"/>
    <w:rsid w:val="00525522"/>
    <w:rsid w:val="00525546"/>
    <w:rsid w:val="005255CF"/>
    <w:rsid w:val="00525BFB"/>
    <w:rsid w:val="0052615F"/>
    <w:rsid w:val="00526A1A"/>
    <w:rsid w:val="00526BAE"/>
    <w:rsid w:val="00526C42"/>
    <w:rsid w:val="00527472"/>
    <w:rsid w:val="005275E4"/>
    <w:rsid w:val="005276D8"/>
    <w:rsid w:val="005302B5"/>
    <w:rsid w:val="005302D6"/>
    <w:rsid w:val="0053036F"/>
    <w:rsid w:val="0053053F"/>
    <w:rsid w:val="005306AA"/>
    <w:rsid w:val="00530BA7"/>
    <w:rsid w:val="005312DD"/>
    <w:rsid w:val="00532085"/>
    <w:rsid w:val="005324E9"/>
    <w:rsid w:val="005325F7"/>
    <w:rsid w:val="005326A9"/>
    <w:rsid w:val="005327A2"/>
    <w:rsid w:val="005329DD"/>
    <w:rsid w:val="00532C61"/>
    <w:rsid w:val="00533176"/>
    <w:rsid w:val="00533861"/>
    <w:rsid w:val="00533C3E"/>
    <w:rsid w:val="00533CB0"/>
    <w:rsid w:val="00533CC2"/>
    <w:rsid w:val="005340C1"/>
    <w:rsid w:val="00534211"/>
    <w:rsid w:val="0053424B"/>
    <w:rsid w:val="00534FAB"/>
    <w:rsid w:val="005350CB"/>
    <w:rsid w:val="005351C4"/>
    <w:rsid w:val="00535426"/>
    <w:rsid w:val="0053555E"/>
    <w:rsid w:val="00535EF0"/>
    <w:rsid w:val="00536019"/>
    <w:rsid w:val="00536568"/>
    <w:rsid w:val="0053658F"/>
    <w:rsid w:val="005366E7"/>
    <w:rsid w:val="0053692E"/>
    <w:rsid w:val="00536CE2"/>
    <w:rsid w:val="00536DA5"/>
    <w:rsid w:val="00536E35"/>
    <w:rsid w:val="00536F0A"/>
    <w:rsid w:val="00537180"/>
    <w:rsid w:val="005371EE"/>
    <w:rsid w:val="005374AC"/>
    <w:rsid w:val="00537D32"/>
    <w:rsid w:val="005403BC"/>
    <w:rsid w:val="0054055B"/>
    <w:rsid w:val="00540BCB"/>
    <w:rsid w:val="005412C2"/>
    <w:rsid w:val="005415CC"/>
    <w:rsid w:val="00541683"/>
    <w:rsid w:val="0054177C"/>
    <w:rsid w:val="00541AC3"/>
    <w:rsid w:val="00541B9F"/>
    <w:rsid w:val="00541BEB"/>
    <w:rsid w:val="00541D1B"/>
    <w:rsid w:val="0054226D"/>
    <w:rsid w:val="005423A9"/>
    <w:rsid w:val="00542433"/>
    <w:rsid w:val="00542A42"/>
    <w:rsid w:val="00542BCD"/>
    <w:rsid w:val="00542C06"/>
    <w:rsid w:val="005432DD"/>
    <w:rsid w:val="0054332D"/>
    <w:rsid w:val="00544247"/>
    <w:rsid w:val="0054439E"/>
    <w:rsid w:val="0054447B"/>
    <w:rsid w:val="005446CB"/>
    <w:rsid w:val="00544892"/>
    <w:rsid w:val="00544B23"/>
    <w:rsid w:val="005452C5"/>
    <w:rsid w:val="00545869"/>
    <w:rsid w:val="00545BE7"/>
    <w:rsid w:val="00545C94"/>
    <w:rsid w:val="005468CB"/>
    <w:rsid w:val="00546AA4"/>
    <w:rsid w:val="00546D05"/>
    <w:rsid w:val="005472E3"/>
    <w:rsid w:val="005473B7"/>
    <w:rsid w:val="005478CE"/>
    <w:rsid w:val="00547F0D"/>
    <w:rsid w:val="00547F87"/>
    <w:rsid w:val="0055013E"/>
    <w:rsid w:val="00550424"/>
    <w:rsid w:val="0055072E"/>
    <w:rsid w:val="0055075A"/>
    <w:rsid w:val="005507E2"/>
    <w:rsid w:val="00550C3D"/>
    <w:rsid w:val="00550CBB"/>
    <w:rsid w:val="005512F7"/>
    <w:rsid w:val="005517BA"/>
    <w:rsid w:val="00551914"/>
    <w:rsid w:val="00551E8F"/>
    <w:rsid w:val="00551EF6"/>
    <w:rsid w:val="00551F3A"/>
    <w:rsid w:val="005521BB"/>
    <w:rsid w:val="00552204"/>
    <w:rsid w:val="005527A7"/>
    <w:rsid w:val="005527DF"/>
    <w:rsid w:val="00552F46"/>
    <w:rsid w:val="00552F54"/>
    <w:rsid w:val="005539BC"/>
    <w:rsid w:val="00553A4F"/>
    <w:rsid w:val="00553BAF"/>
    <w:rsid w:val="00553F88"/>
    <w:rsid w:val="005540F6"/>
    <w:rsid w:val="0055448D"/>
    <w:rsid w:val="005548EA"/>
    <w:rsid w:val="00554C7F"/>
    <w:rsid w:val="00554D67"/>
    <w:rsid w:val="00555A53"/>
    <w:rsid w:val="00555C7D"/>
    <w:rsid w:val="0055603A"/>
    <w:rsid w:val="005560F0"/>
    <w:rsid w:val="005562B5"/>
    <w:rsid w:val="00556513"/>
    <w:rsid w:val="0055660C"/>
    <w:rsid w:val="0055674A"/>
    <w:rsid w:val="00556BD2"/>
    <w:rsid w:val="00557379"/>
    <w:rsid w:val="00557469"/>
    <w:rsid w:val="005575A6"/>
    <w:rsid w:val="005579B3"/>
    <w:rsid w:val="00557F44"/>
    <w:rsid w:val="005602B5"/>
    <w:rsid w:val="005602EB"/>
    <w:rsid w:val="005603DB"/>
    <w:rsid w:val="005605C1"/>
    <w:rsid w:val="0056072F"/>
    <w:rsid w:val="00560B40"/>
    <w:rsid w:val="00561173"/>
    <w:rsid w:val="00561181"/>
    <w:rsid w:val="005617D3"/>
    <w:rsid w:val="00561DDB"/>
    <w:rsid w:val="00561F6E"/>
    <w:rsid w:val="00562000"/>
    <w:rsid w:val="005628CF"/>
    <w:rsid w:val="005631B5"/>
    <w:rsid w:val="005635FA"/>
    <w:rsid w:val="00563836"/>
    <w:rsid w:val="00563E7A"/>
    <w:rsid w:val="00564289"/>
    <w:rsid w:val="005646DC"/>
    <w:rsid w:val="005648D3"/>
    <w:rsid w:val="00564D46"/>
    <w:rsid w:val="00565900"/>
    <w:rsid w:val="005660D7"/>
    <w:rsid w:val="005665B5"/>
    <w:rsid w:val="00566C65"/>
    <w:rsid w:val="00566E95"/>
    <w:rsid w:val="005678FC"/>
    <w:rsid w:val="00570C23"/>
    <w:rsid w:val="00570FBE"/>
    <w:rsid w:val="005710B9"/>
    <w:rsid w:val="005713C9"/>
    <w:rsid w:val="005713FE"/>
    <w:rsid w:val="00571483"/>
    <w:rsid w:val="0057197E"/>
    <w:rsid w:val="00572621"/>
    <w:rsid w:val="00572B15"/>
    <w:rsid w:val="00573B7F"/>
    <w:rsid w:val="00573B8B"/>
    <w:rsid w:val="00573E60"/>
    <w:rsid w:val="00573EDD"/>
    <w:rsid w:val="0057408B"/>
    <w:rsid w:val="0057417F"/>
    <w:rsid w:val="00574741"/>
    <w:rsid w:val="005748EF"/>
    <w:rsid w:val="00574B10"/>
    <w:rsid w:val="005756D0"/>
    <w:rsid w:val="005757F4"/>
    <w:rsid w:val="00575C4C"/>
    <w:rsid w:val="005762F5"/>
    <w:rsid w:val="00576544"/>
    <w:rsid w:val="00576A8A"/>
    <w:rsid w:val="00576D38"/>
    <w:rsid w:val="00576DEC"/>
    <w:rsid w:val="00576E92"/>
    <w:rsid w:val="0057732D"/>
    <w:rsid w:val="00577765"/>
    <w:rsid w:val="0057783C"/>
    <w:rsid w:val="00577A05"/>
    <w:rsid w:val="00577A66"/>
    <w:rsid w:val="00577AA4"/>
    <w:rsid w:val="00577C5C"/>
    <w:rsid w:val="005800CC"/>
    <w:rsid w:val="0058032E"/>
    <w:rsid w:val="005809B6"/>
    <w:rsid w:val="00580A82"/>
    <w:rsid w:val="00580EFF"/>
    <w:rsid w:val="00580FE7"/>
    <w:rsid w:val="005810A4"/>
    <w:rsid w:val="00581233"/>
    <w:rsid w:val="005819C6"/>
    <w:rsid w:val="005821EB"/>
    <w:rsid w:val="0058228E"/>
    <w:rsid w:val="005825FA"/>
    <w:rsid w:val="00582775"/>
    <w:rsid w:val="005827CA"/>
    <w:rsid w:val="005827FC"/>
    <w:rsid w:val="0058351D"/>
    <w:rsid w:val="005835B6"/>
    <w:rsid w:val="005837A7"/>
    <w:rsid w:val="00583C51"/>
    <w:rsid w:val="00583F74"/>
    <w:rsid w:val="005848DD"/>
    <w:rsid w:val="00584900"/>
    <w:rsid w:val="00584CF2"/>
    <w:rsid w:val="00584E4C"/>
    <w:rsid w:val="00584FC4"/>
    <w:rsid w:val="005850C5"/>
    <w:rsid w:val="00585217"/>
    <w:rsid w:val="00585378"/>
    <w:rsid w:val="00585792"/>
    <w:rsid w:val="005857B8"/>
    <w:rsid w:val="005859C6"/>
    <w:rsid w:val="00585D11"/>
    <w:rsid w:val="00585D17"/>
    <w:rsid w:val="00585D58"/>
    <w:rsid w:val="005867B4"/>
    <w:rsid w:val="00586AF1"/>
    <w:rsid w:val="00586E33"/>
    <w:rsid w:val="00587468"/>
    <w:rsid w:val="005906CB"/>
    <w:rsid w:val="00590807"/>
    <w:rsid w:val="00590CB3"/>
    <w:rsid w:val="00590F99"/>
    <w:rsid w:val="005911AA"/>
    <w:rsid w:val="005912ED"/>
    <w:rsid w:val="0059135A"/>
    <w:rsid w:val="00591441"/>
    <w:rsid w:val="00592022"/>
    <w:rsid w:val="00592594"/>
    <w:rsid w:val="005928A8"/>
    <w:rsid w:val="00592D76"/>
    <w:rsid w:val="00592EC8"/>
    <w:rsid w:val="005933CE"/>
    <w:rsid w:val="005934AA"/>
    <w:rsid w:val="0059390F"/>
    <w:rsid w:val="005939D4"/>
    <w:rsid w:val="00593C43"/>
    <w:rsid w:val="00593D43"/>
    <w:rsid w:val="00593EB0"/>
    <w:rsid w:val="005940A2"/>
    <w:rsid w:val="005949EE"/>
    <w:rsid w:val="00594D3E"/>
    <w:rsid w:val="005950A1"/>
    <w:rsid w:val="00595418"/>
    <w:rsid w:val="0059549C"/>
    <w:rsid w:val="005958FB"/>
    <w:rsid w:val="0059590E"/>
    <w:rsid w:val="005960D5"/>
    <w:rsid w:val="00596175"/>
    <w:rsid w:val="00596604"/>
    <w:rsid w:val="0059698D"/>
    <w:rsid w:val="00596AE2"/>
    <w:rsid w:val="00596B68"/>
    <w:rsid w:val="00596C4D"/>
    <w:rsid w:val="00596DD3"/>
    <w:rsid w:val="00597426"/>
    <w:rsid w:val="005975B2"/>
    <w:rsid w:val="00597658"/>
    <w:rsid w:val="0059769D"/>
    <w:rsid w:val="005A01E8"/>
    <w:rsid w:val="005A0A38"/>
    <w:rsid w:val="005A0A73"/>
    <w:rsid w:val="005A0AC0"/>
    <w:rsid w:val="005A0B31"/>
    <w:rsid w:val="005A0C6F"/>
    <w:rsid w:val="005A12AC"/>
    <w:rsid w:val="005A12DF"/>
    <w:rsid w:val="005A17B5"/>
    <w:rsid w:val="005A1BA8"/>
    <w:rsid w:val="005A1F28"/>
    <w:rsid w:val="005A295B"/>
    <w:rsid w:val="005A2DDA"/>
    <w:rsid w:val="005A3047"/>
    <w:rsid w:val="005A3093"/>
    <w:rsid w:val="005A30BD"/>
    <w:rsid w:val="005A324A"/>
    <w:rsid w:val="005A3448"/>
    <w:rsid w:val="005A35B9"/>
    <w:rsid w:val="005A3675"/>
    <w:rsid w:val="005A37EE"/>
    <w:rsid w:val="005A3837"/>
    <w:rsid w:val="005A40D8"/>
    <w:rsid w:val="005A4295"/>
    <w:rsid w:val="005A495B"/>
    <w:rsid w:val="005A4BE4"/>
    <w:rsid w:val="005A51A3"/>
    <w:rsid w:val="005A5234"/>
    <w:rsid w:val="005A528E"/>
    <w:rsid w:val="005A562C"/>
    <w:rsid w:val="005A59CA"/>
    <w:rsid w:val="005A62CF"/>
    <w:rsid w:val="005A63AB"/>
    <w:rsid w:val="005A641D"/>
    <w:rsid w:val="005A66E0"/>
    <w:rsid w:val="005A66EF"/>
    <w:rsid w:val="005A6FCB"/>
    <w:rsid w:val="005A772E"/>
    <w:rsid w:val="005A7E30"/>
    <w:rsid w:val="005B03F8"/>
    <w:rsid w:val="005B0523"/>
    <w:rsid w:val="005B0A1A"/>
    <w:rsid w:val="005B0EE3"/>
    <w:rsid w:val="005B107B"/>
    <w:rsid w:val="005B12A6"/>
    <w:rsid w:val="005B1DD3"/>
    <w:rsid w:val="005B1F61"/>
    <w:rsid w:val="005B22C8"/>
    <w:rsid w:val="005B2477"/>
    <w:rsid w:val="005B2547"/>
    <w:rsid w:val="005B281B"/>
    <w:rsid w:val="005B29CD"/>
    <w:rsid w:val="005B2A5A"/>
    <w:rsid w:val="005B2A72"/>
    <w:rsid w:val="005B3193"/>
    <w:rsid w:val="005B360E"/>
    <w:rsid w:val="005B36F9"/>
    <w:rsid w:val="005B41CC"/>
    <w:rsid w:val="005B4699"/>
    <w:rsid w:val="005B46B8"/>
    <w:rsid w:val="005B4756"/>
    <w:rsid w:val="005B4791"/>
    <w:rsid w:val="005B4896"/>
    <w:rsid w:val="005B4DCC"/>
    <w:rsid w:val="005B5264"/>
    <w:rsid w:val="005B5329"/>
    <w:rsid w:val="005B5DF4"/>
    <w:rsid w:val="005B5F3F"/>
    <w:rsid w:val="005B63A4"/>
    <w:rsid w:val="005B7E52"/>
    <w:rsid w:val="005B7FE2"/>
    <w:rsid w:val="005C003B"/>
    <w:rsid w:val="005C02F2"/>
    <w:rsid w:val="005C03ED"/>
    <w:rsid w:val="005C08EF"/>
    <w:rsid w:val="005C13ED"/>
    <w:rsid w:val="005C14B4"/>
    <w:rsid w:val="005C153D"/>
    <w:rsid w:val="005C18EF"/>
    <w:rsid w:val="005C3095"/>
    <w:rsid w:val="005C3987"/>
    <w:rsid w:val="005C3F12"/>
    <w:rsid w:val="005C40FB"/>
    <w:rsid w:val="005C4428"/>
    <w:rsid w:val="005C4480"/>
    <w:rsid w:val="005C49BA"/>
    <w:rsid w:val="005C4D79"/>
    <w:rsid w:val="005C4E02"/>
    <w:rsid w:val="005C4F34"/>
    <w:rsid w:val="005C52AB"/>
    <w:rsid w:val="005C53B7"/>
    <w:rsid w:val="005C5567"/>
    <w:rsid w:val="005C58F3"/>
    <w:rsid w:val="005C658E"/>
    <w:rsid w:val="005C6813"/>
    <w:rsid w:val="005C6A69"/>
    <w:rsid w:val="005C6A9B"/>
    <w:rsid w:val="005C6F12"/>
    <w:rsid w:val="005C7062"/>
    <w:rsid w:val="005C730D"/>
    <w:rsid w:val="005C73E0"/>
    <w:rsid w:val="005C75A6"/>
    <w:rsid w:val="005C7641"/>
    <w:rsid w:val="005C7741"/>
    <w:rsid w:val="005C7A15"/>
    <w:rsid w:val="005C7BBE"/>
    <w:rsid w:val="005C7FBD"/>
    <w:rsid w:val="005D014C"/>
    <w:rsid w:val="005D0291"/>
    <w:rsid w:val="005D05EA"/>
    <w:rsid w:val="005D0A23"/>
    <w:rsid w:val="005D0BC8"/>
    <w:rsid w:val="005D0C77"/>
    <w:rsid w:val="005D0E98"/>
    <w:rsid w:val="005D0EC9"/>
    <w:rsid w:val="005D0FA3"/>
    <w:rsid w:val="005D144E"/>
    <w:rsid w:val="005D181D"/>
    <w:rsid w:val="005D1B2F"/>
    <w:rsid w:val="005D1F32"/>
    <w:rsid w:val="005D296C"/>
    <w:rsid w:val="005D2C3D"/>
    <w:rsid w:val="005D2D8D"/>
    <w:rsid w:val="005D34F9"/>
    <w:rsid w:val="005D3F7D"/>
    <w:rsid w:val="005D4025"/>
    <w:rsid w:val="005D46F7"/>
    <w:rsid w:val="005D496A"/>
    <w:rsid w:val="005D5987"/>
    <w:rsid w:val="005D5CCC"/>
    <w:rsid w:val="005D6235"/>
    <w:rsid w:val="005D6331"/>
    <w:rsid w:val="005D65A2"/>
    <w:rsid w:val="005D6752"/>
    <w:rsid w:val="005D68AA"/>
    <w:rsid w:val="005D6BA0"/>
    <w:rsid w:val="005D6E16"/>
    <w:rsid w:val="005D70D2"/>
    <w:rsid w:val="005D70FD"/>
    <w:rsid w:val="005D7238"/>
    <w:rsid w:val="005D7B02"/>
    <w:rsid w:val="005D7C29"/>
    <w:rsid w:val="005E0089"/>
    <w:rsid w:val="005E01A3"/>
    <w:rsid w:val="005E05E0"/>
    <w:rsid w:val="005E08B4"/>
    <w:rsid w:val="005E0DF1"/>
    <w:rsid w:val="005E0F33"/>
    <w:rsid w:val="005E0F64"/>
    <w:rsid w:val="005E10BC"/>
    <w:rsid w:val="005E113A"/>
    <w:rsid w:val="005E1A41"/>
    <w:rsid w:val="005E2492"/>
    <w:rsid w:val="005E258F"/>
    <w:rsid w:val="005E2636"/>
    <w:rsid w:val="005E28FF"/>
    <w:rsid w:val="005E2A98"/>
    <w:rsid w:val="005E2C47"/>
    <w:rsid w:val="005E333E"/>
    <w:rsid w:val="005E35B8"/>
    <w:rsid w:val="005E36B7"/>
    <w:rsid w:val="005E37FD"/>
    <w:rsid w:val="005E3B49"/>
    <w:rsid w:val="005E4557"/>
    <w:rsid w:val="005E4AD8"/>
    <w:rsid w:val="005E503D"/>
    <w:rsid w:val="005E5220"/>
    <w:rsid w:val="005E54E9"/>
    <w:rsid w:val="005E581D"/>
    <w:rsid w:val="005E5D86"/>
    <w:rsid w:val="005E6189"/>
    <w:rsid w:val="005E6688"/>
    <w:rsid w:val="005E6B3C"/>
    <w:rsid w:val="005E6EE3"/>
    <w:rsid w:val="005E70F8"/>
    <w:rsid w:val="005E725B"/>
    <w:rsid w:val="005E73B1"/>
    <w:rsid w:val="005E7B89"/>
    <w:rsid w:val="005E7C04"/>
    <w:rsid w:val="005E7CF1"/>
    <w:rsid w:val="005E7F21"/>
    <w:rsid w:val="005F0162"/>
    <w:rsid w:val="005F1234"/>
    <w:rsid w:val="005F2153"/>
    <w:rsid w:val="005F25F2"/>
    <w:rsid w:val="005F29D6"/>
    <w:rsid w:val="005F2ACE"/>
    <w:rsid w:val="005F3144"/>
    <w:rsid w:val="005F3514"/>
    <w:rsid w:val="005F4622"/>
    <w:rsid w:val="005F487F"/>
    <w:rsid w:val="005F496F"/>
    <w:rsid w:val="005F4E38"/>
    <w:rsid w:val="005F597B"/>
    <w:rsid w:val="005F5BAF"/>
    <w:rsid w:val="005F61A1"/>
    <w:rsid w:val="005F61FB"/>
    <w:rsid w:val="005F62CB"/>
    <w:rsid w:val="005F734D"/>
    <w:rsid w:val="005F7597"/>
    <w:rsid w:val="005F7952"/>
    <w:rsid w:val="005F7F56"/>
    <w:rsid w:val="00600000"/>
    <w:rsid w:val="0060037F"/>
    <w:rsid w:val="00600472"/>
    <w:rsid w:val="00600A70"/>
    <w:rsid w:val="00601250"/>
    <w:rsid w:val="00601280"/>
    <w:rsid w:val="006014CA"/>
    <w:rsid w:val="00601503"/>
    <w:rsid w:val="0060159F"/>
    <w:rsid w:val="00601608"/>
    <w:rsid w:val="006017A7"/>
    <w:rsid w:val="006018C8"/>
    <w:rsid w:val="00601B60"/>
    <w:rsid w:val="00601D6D"/>
    <w:rsid w:val="006021DF"/>
    <w:rsid w:val="006023AF"/>
    <w:rsid w:val="00602B57"/>
    <w:rsid w:val="00602BC0"/>
    <w:rsid w:val="00602D13"/>
    <w:rsid w:val="00602DEF"/>
    <w:rsid w:val="006035EA"/>
    <w:rsid w:val="00603663"/>
    <w:rsid w:val="006039A4"/>
    <w:rsid w:val="00603B59"/>
    <w:rsid w:val="00603D20"/>
    <w:rsid w:val="00603E5A"/>
    <w:rsid w:val="00604093"/>
    <w:rsid w:val="00604099"/>
    <w:rsid w:val="00604620"/>
    <w:rsid w:val="00604F51"/>
    <w:rsid w:val="00604FA5"/>
    <w:rsid w:val="006054F7"/>
    <w:rsid w:val="0060579B"/>
    <w:rsid w:val="00605A89"/>
    <w:rsid w:val="00606394"/>
    <w:rsid w:val="00606856"/>
    <w:rsid w:val="00606A46"/>
    <w:rsid w:val="00606B1F"/>
    <w:rsid w:val="00606CC0"/>
    <w:rsid w:val="0061008A"/>
    <w:rsid w:val="006104F2"/>
    <w:rsid w:val="006106DA"/>
    <w:rsid w:val="00610BB7"/>
    <w:rsid w:val="00610DF9"/>
    <w:rsid w:val="00610E71"/>
    <w:rsid w:val="00611256"/>
    <w:rsid w:val="0061149B"/>
    <w:rsid w:val="006114EA"/>
    <w:rsid w:val="006115FF"/>
    <w:rsid w:val="0061163B"/>
    <w:rsid w:val="006116A6"/>
    <w:rsid w:val="006119E0"/>
    <w:rsid w:val="00611CA0"/>
    <w:rsid w:val="006120BA"/>
    <w:rsid w:val="006127C9"/>
    <w:rsid w:val="006127FF"/>
    <w:rsid w:val="00612918"/>
    <w:rsid w:val="0061299C"/>
    <w:rsid w:val="00613362"/>
    <w:rsid w:val="00613644"/>
    <w:rsid w:val="00613A62"/>
    <w:rsid w:val="00613B11"/>
    <w:rsid w:val="00613EFD"/>
    <w:rsid w:val="00613FC6"/>
    <w:rsid w:val="006144D8"/>
    <w:rsid w:val="00614D6A"/>
    <w:rsid w:val="00614E0D"/>
    <w:rsid w:val="0061523C"/>
    <w:rsid w:val="006152BB"/>
    <w:rsid w:val="0061542E"/>
    <w:rsid w:val="006154CC"/>
    <w:rsid w:val="00615566"/>
    <w:rsid w:val="00615790"/>
    <w:rsid w:val="00615E05"/>
    <w:rsid w:val="00616426"/>
    <w:rsid w:val="00616540"/>
    <w:rsid w:val="00616635"/>
    <w:rsid w:val="006166A8"/>
    <w:rsid w:val="00616CC6"/>
    <w:rsid w:val="00616E81"/>
    <w:rsid w:val="00617113"/>
    <w:rsid w:val="006175E7"/>
    <w:rsid w:val="00617795"/>
    <w:rsid w:val="00617A6B"/>
    <w:rsid w:val="00617F44"/>
    <w:rsid w:val="00620469"/>
    <w:rsid w:val="0062089C"/>
    <w:rsid w:val="006217D8"/>
    <w:rsid w:val="0062186D"/>
    <w:rsid w:val="006218CB"/>
    <w:rsid w:val="00621EE5"/>
    <w:rsid w:val="006224E0"/>
    <w:rsid w:val="006224E6"/>
    <w:rsid w:val="00622649"/>
    <w:rsid w:val="00622CA7"/>
    <w:rsid w:val="00622CBB"/>
    <w:rsid w:val="0062320E"/>
    <w:rsid w:val="006237B8"/>
    <w:rsid w:val="006239D4"/>
    <w:rsid w:val="00623BCD"/>
    <w:rsid w:val="00623C97"/>
    <w:rsid w:val="00623DF0"/>
    <w:rsid w:val="00623EBD"/>
    <w:rsid w:val="00623F21"/>
    <w:rsid w:val="006240C0"/>
    <w:rsid w:val="0062414C"/>
    <w:rsid w:val="0062455F"/>
    <w:rsid w:val="006248C8"/>
    <w:rsid w:val="00624A38"/>
    <w:rsid w:val="00624B02"/>
    <w:rsid w:val="00624DAE"/>
    <w:rsid w:val="00625614"/>
    <w:rsid w:val="00625758"/>
    <w:rsid w:val="00625FFF"/>
    <w:rsid w:val="00626080"/>
    <w:rsid w:val="0062615A"/>
    <w:rsid w:val="0062695A"/>
    <w:rsid w:val="00626A7A"/>
    <w:rsid w:val="00626B98"/>
    <w:rsid w:val="00626E66"/>
    <w:rsid w:val="00626FE7"/>
    <w:rsid w:val="006270AD"/>
    <w:rsid w:val="00627D16"/>
    <w:rsid w:val="00627EF3"/>
    <w:rsid w:val="0063051F"/>
    <w:rsid w:val="00630F0E"/>
    <w:rsid w:val="0063111E"/>
    <w:rsid w:val="0063143D"/>
    <w:rsid w:val="006315AA"/>
    <w:rsid w:val="0063168B"/>
    <w:rsid w:val="00631BE0"/>
    <w:rsid w:val="00631C7A"/>
    <w:rsid w:val="00631D63"/>
    <w:rsid w:val="00631EFD"/>
    <w:rsid w:val="00632176"/>
    <w:rsid w:val="00632208"/>
    <w:rsid w:val="00632812"/>
    <w:rsid w:val="00632883"/>
    <w:rsid w:val="00632DA4"/>
    <w:rsid w:val="00632DA6"/>
    <w:rsid w:val="00633151"/>
    <w:rsid w:val="00633904"/>
    <w:rsid w:val="00633BC9"/>
    <w:rsid w:val="00633C9F"/>
    <w:rsid w:val="00633CD9"/>
    <w:rsid w:val="00633E52"/>
    <w:rsid w:val="006340C0"/>
    <w:rsid w:val="006343B6"/>
    <w:rsid w:val="00634725"/>
    <w:rsid w:val="00635133"/>
    <w:rsid w:val="00635536"/>
    <w:rsid w:val="00635B1F"/>
    <w:rsid w:val="00635C76"/>
    <w:rsid w:val="00635C84"/>
    <w:rsid w:val="00635CC2"/>
    <w:rsid w:val="006364DD"/>
    <w:rsid w:val="006368A8"/>
    <w:rsid w:val="00636D36"/>
    <w:rsid w:val="00636F64"/>
    <w:rsid w:val="00637434"/>
    <w:rsid w:val="00637661"/>
    <w:rsid w:val="00640500"/>
    <w:rsid w:val="006408E1"/>
    <w:rsid w:val="006409EA"/>
    <w:rsid w:val="00640DD0"/>
    <w:rsid w:val="00641073"/>
    <w:rsid w:val="006414B5"/>
    <w:rsid w:val="00641528"/>
    <w:rsid w:val="006417CE"/>
    <w:rsid w:val="0064196E"/>
    <w:rsid w:val="006419B7"/>
    <w:rsid w:val="00641CB0"/>
    <w:rsid w:val="00641DDA"/>
    <w:rsid w:val="00641DE9"/>
    <w:rsid w:val="00641E0B"/>
    <w:rsid w:val="00641E3D"/>
    <w:rsid w:val="006423D5"/>
    <w:rsid w:val="00642AC8"/>
    <w:rsid w:val="00643097"/>
    <w:rsid w:val="006431A3"/>
    <w:rsid w:val="0064358C"/>
    <w:rsid w:val="006438FD"/>
    <w:rsid w:val="00643DB6"/>
    <w:rsid w:val="00643DBD"/>
    <w:rsid w:val="00644628"/>
    <w:rsid w:val="00644774"/>
    <w:rsid w:val="00644B83"/>
    <w:rsid w:val="00644FB9"/>
    <w:rsid w:val="0064512F"/>
    <w:rsid w:val="00645250"/>
    <w:rsid w:val="00645740"/>
    <w:rsid w:val="00645912"/>
    <w:rsid w:val="00645E69"/>
    <w:rsid w:val="00645E72"/>
    <w:rsid w:val="00645E90"/>
    <w:rsid w:val="006461EA"/>
    <w:rsid w:val="00646D67"/>
    <w:rsid w:val="00647662"/>
    <w:rsid w:val="006477C4"/>
    <w:rsid w:val="00647CD1"/>
    <w:rsid w:val="00647FCC"/>
    <w:rsid w:val="006500CA"/>
    <w:rsid w:val="006505DA"/>
    <w:rsid w:val="00650652"/>
    <w:rsid w:val="00650D9B"/>
    <w:rsid w:val="006513A9"/>
    <w:rsid w:val="006515D7"/>
    <w:rsid w:val="0065164D"/>
    <w:rsid w:val="00651C6C"/>
    <w:rsid w:val="0065264F"/>
    <w:rsid w:val="00652AB6"/>
    <w:rsid w:val="00652B77"/>
    <w:rsid w:val="00652C2A"/>
    <w:rsid w:val="00653045"/>
    <w:rsid w:val="0065374C"/>
    <w:rsid w:val="00653A47"/>
    <w:rsid w:val="00653E62"/>
    <w:rsid w:val="006540B1"/>
    <w:rsid w:val="006543DD"/>
    <w:rsid w:val="006545DD"/>
    <w:rsid w:val="00654B88"/>
    <w:rsid w:val="00654C21"/>
    <w:rsid w:val="00654CF6"/>
    <w:rsid w:val="00654D2D"/>
    <w:rsid w:val="006552C6"/>
    <w:rsid w:val="00655692"/>
    <w:rsid w:val="006556C3"/>
    <w:rsid w:val="00655963"/>
    <w:rsid w:val="00655E74"/>
    <w:rsid w:val="00655FAC"/>
    <w:rsid w:val="00656488"/>
    <w:rsid w:val="00656EC7"/>
    <w:rsid w:val="006573DE"/>
    <w:rsid w:val="0065775E"/>
    <w:rsid w:val="00657B4E"/>
    <w:rsid w:val="00657FAE"/>
    <w:rsid w:val="00660427"/>
    <w:rsid w:val="00660A52"/>
    <w:rsid w:val="006615E4"/>
    <w:rsid w:val="006617DA"/>
    <w:rsid w:val="00661931"/>
    <w:rsid w:val="00661A4C"/>
    <w:rsid w:val="00661D64"/>
    <w:rsid w:val="00661DC2"/>
    <w:rsid w:val="00661E6D"/>
    <w:rsid w:val="00661F1F"/>
    <w:rsid w:val="006621D0"/>
    <w:rsid w:val="006622FF"/>
    <w:rsid w:val="0066253E"/>
    <w:rsid w:val="006626F3"/>
    <w:rsid w:val="00662849"/>
    <w:rsid w:val="00662881"/>
    <w:rsid w:val="00662F3C"/>
    <w:rsid w:val="00663CD2"/>
    <w:rsid w:val="00663D69"/>
    <w:rsid w:val="006640EC"/>
    <w:rsid w:val="00664645"/>
    <w:rsid w:val="00664BC9"/>
    <w:rsid w:val="00664C32"/>
    <w:rsid w:val="00664E9D"/>
    <w:rsid w:val="00664EAF"/>
    <w:rsid w:val="00664EB4"/>
    <w:rsid w:val="0066503F"/>
    <w:rsid w:val="0066554D"/>
    <w:rsid w:val="006660AC"/>
    <w:rsid w:val="00666540"/>
    <w:rsid w:val="00666691"/>
    <w:rsid w:val="006679CE"/>
    <w:rsid w:val="00667C08"/>
    <w:rsid w:val="00670326"/>
    <w:rsid w:val="00670693"/>
    <w:rsid w:val="00670EED"/>
    <w:rsid w:val="006717E6"/>
    <w:rsid w:val="00672A6F"/>
    <w:rsid w:val="00672C8D"/>
    <w:rsid w:val="00672E22"/>
    <w:rsid w:val="006731BB"/>
    <w:rsid w:val="00673774"/>
    <w:rsid w:val="00673E05"/>
    <w:rsid w:val="00673F33"/>
    <w:rsid w:val="00673F9D"/>
    <w:rsid w:val="006743E0"/>
    <w:rsid w:val="0067483C"/>
    <w:rsid w:val="00675416"/>
    <w:rsid w:val="00675C63"/>
    <w:rsid w:val="006761E5"/>
    <w:rsid w:val="00676240"/>
    <w:rsid w:val="00676963"/>
    <w:rsid w:val="00676C7F"/>
    <w:rsid w:val="00677070"/>
    <w:rsid w:val="006770DF"/>
    <w:rsid w:val="00677223"/>
    <w:rsid w:val="006775C2"/>
    <w:rsid w:val="00677ADD"/>
    <w:rsid w:val="0068061D"/>
    <w:rsid w:val="00680651"/>
    <w:rsid w:val="00680BF6"/>
    <w:rsid w:val="00680C28"/>
    <w:rsid w:val="00680DFD"/>
    <w:rsid w:val="006810D1"/>
    <w:rsid w:val="0068157F"/>
    <w:rsid w:val="006815F6"/>
    <w:rsid w:val="006816D6"/>
    <w:rsid w:val="00682785"/>
    <w:rsid w:val="00682DA9"/>
    <w:rsid w:val="00683380"/>
    <w:rsid w:val="0068370B"/>
    <w:rsid w:val="006839A3"/>
    <w:rsid w:val="006839EC"/>
    <w:rsid w:val="00683BC0"/>
    <w:rsid w:val="00683E2D"/>
    <w:rsid w:val="0068413D"/>
    <w:rsid w:val="006851B9"/>
    <w:rsid w:val="006851F3"/>
    <w:rsid w:val="006852B4"/>
    <w:rsid w:val="00685506"/>
    <w:rsid w:val="006855BE"/>
    <w:rsid w:val="00685A1B"/>
    <w:rsid w:val="006860B4"/>
    <w:rsid w:val="00686995"/>
    <w:rsid w:val="00686AB7"/>
    <w:rsid w:val="00686B7B"/>
    <w:rsid w:val="006875A1"/>
    <w:rsid w:val="00687864"/>
    <w:rsid w:val="00687A47"/>
    <w:rsid w:val="00687C4F"/>
    <w:rsid w:val="00687D5B"/>
    <w:rsid w:val="006906F8"/>
    <w:rsid w:val="00690AF7"/>
    <w:rsid w:val="00690C91"/>
    <w:rsid w:val="0069140A"/>
    <w:rsid w:val="0069146F"/>
    <w:rsid w:val="00691475"/>
    <w:rsid w:val="0069154F"/>
    <w:rsid w:val="006919E7"/>
    <w:rsid w:val="00691F19"/>
    <w:rsid w:val="006922E9"/>
    <w:rsid w:val="0069253A"/>
    <w:rsid w:val="006926E5"/>
    <w:rsid w:val="00693223"/>
    <w:rsid w:val="00693A4C"/>
    <w:rsid w:val="00693BDB"/>
    <w:rsid w:val="00693F89"/>
    <w:rsid w:val="00694217"/>
    <w:rsid w:val="006942D0"/>
    <w:rsid w:val="00694AD8"/>
    <w:rsid w:val="00695A72"/>
    <w:rsid w:val="006962E3"/>
    <w:rsid w:val="0069637B"/>
    <w:rsid w:val="00696838"/>
    <w:rsid w:val="00696A5C"/>
    <w:rsid w:val="006972D0"/>
    <w:rsid w:val="006A0066"/>
    <w:rsid w:val="006A0287"/>
    <w:rsid w:val="006A0B3C"/>
    <w:rsid w:val="006A0E8D"/>
    <w:rsid w:val="006A0FB9"/>
    <w:rsid w:val="006A1E51"/>
    <w:rsid w:val="006A2380"/>
    <w:rsid w:val="006A2F7C"/>
    <w:rsid w:val="006A3114"/>
    <w:rsid w:val="006A33E6"/>
    <w:rsid w:val="006A35BC"/>
    <w:rsid w:val="006A3623"/>
    <w:rsid w:val="006A3846"/>
    <w:rsid w:val="006A3EA6"/>
    <w:rsid w:val="006A46A5"/>
    <w:rsid w:val="006A46A7"/>
    <w:rsid w:val="006A489A"/>
    <w:rsid w:val="006A4CE5"/>
    <w:rsid w:val="006A4E04"/>
    <w:rsid w:val="006A4F6D"/>
    <w:rsid w:val="006A4FE9"/>
    <w:rsid w:val="006A5347"/>
    <w:rsid w:val="006A571E"/>
    <w:rsid w:val="006A5908"/>
    <w:rsid w:val="006A5957"/>
    <w:rsid w:val="006A5AEF"/>
    <w:rsid w:val="006A5B87"/>
    <w:rsid w:val="006A63D7"/>
    <w:rsid w:val="006A6AEB"/>
    <w:rsid w:val="006A6CAB"/>
    <w:rsid w:val="006A6D30"/>
    <w:rsid w:val="006A6F81"/>
    <w:rsid w:val="006A7879"/>
    <w:rsid w:val="006A7C7E"/>
    <w:rsid w:val="006B010E"/>
    <w:rsid w:val="006B067D"/>
    <w:rsid w:val="006B099B"/>
    <w:rsid w:val="006B0ABC"/>
    <w:rsid w:val="006B10EA"/>
    <w:rsid w:val="006B1114"/>
    <w:rsid w:val="006B175D"/>
    <w:rsid w:val="006B17A3"/>
    <w:rsid w:val="006B18FA"/>
    <w:rsid w:val="006B1A21"/>
    <w:rsid w:val="006B1E1C"/>
    <w:rsid w:val="006B2364"/>
    <w:rsid w:val="006B25D9"/>
    <w:rsid w:val="006B26EB"/>
    <w:rsid w:val="006B2867"/>
    <w:rsid w:val="006B2A72"/>
    <w:rsid w:val="006B2B69"/>
    <w:rsid w:val="006B2DCD"/>
    <w:rsid w:val="006B2F6F"/>
    <w:rsid w:val="006B308C"/>
    <w:rsid w:val="006B3285"/>
    <w:rsid w:val="006B3481"/>
    <w:rsid w:val="006B34A8"/>
    <w:rsid w:val="006B3541"/>
    <w:rsid w:val="006B3D3A"/>
    <w:rsid w:val="006B3F79"/>
    <w:rsid w:val="006B4587"/>
    <w:rsid w:val="006B4C01"/>
    <w:rsid w:val="006B532A"/>
    <w:rsid w:val="006B5A4A"/>
    <w:rsid w:val="006B5F7E"/>
    <w:rsid w:val="006B620A"/>
    <w:rsid w:val="006B67A7"/>
    <w:rsid w:val="006B6BC1"/>
    <w:rsid w:val="006B70C5"/>
    <w:rsid w:val="006B76E6"/>
    <w:rsid w:val="006B79E2"/>
    <w:rsid w:val="006C01A9"/>
    <w:rsid w:val="006C0248"/>
    <w:rsid w:val="006C0B3B"/>
    <w:rsid w:val="006C0BD8"/>
    <w:rsid w:val="006C14E9"/>
    <w:rsid w:val="006C1640"/>
    <w:rsid w:val="006C1668"/>
    <w:rsid w:val="006C177B"/>
    <w:rsid w:val="006C18B9"/>
    <w:rsid w:val="006C1CC0"/>
    <w:rsid w:val="006C1E7B"/>
    <w:rsid w:val="006C1F8E"/>
    <w:rsid w:val="006C30E3"/>
    <w:rsid w:val="006C32FD"/>
    <w:rsid w:val="006C3852"/>
    <w:rsid w:val="006C38B1"/>
    <w:rsid w:val="006C393C"/>
    <w:rsid w:val="006C4948"/>
    <w:rsid w:val="006C4B45"/>
    <w:rsid w:val="006C51D6"/>
    <w:rsid w:val="006C5564"/>
    <w:rsid w:val="006C57AC"/>
    <w:rsid w:val="006C585E"/>
    <w:rsid w:val="006C5B71"/>
    <w:rsid w:val="006C5D0F"/>
    <w:rsid w:val="006C616E"/>
    <w:rsid w:val="006C63D1"/>
    <w:rsid w:val="006C643B"/>
    <w:rsid w:val="006C6E33"/>
    <w:rsid w:val="006C7289"/>
    <w:rsid w:val="006C7A7F"/>
    <w:rsid w:val="006C7C42"/>
    <w:rsid w:val="006D032A"/>
    <w:rsid w:val="006D0B37"/>
    <w:rsid w:val="006D0BA3"/>
    <w:rsid w:val="006D0E64"/>
    <w:rsid w:val="006D104E"/>
    <w:rsid w:val="006D1CCB"/>
    <w:rsid w:val="006D1D34"/>
    <w:rsid w:val="006D1EC4"/>
    <w:rsid w:val="006D2153"/>
    <w:rsid w:val="006D2241"/>
    <w:rsid w:val="006D226F"/>
    <w:rsid w:val="006D2365"/>
    <w:rsid w:val="006D2535"/>
    <w:rsid w:val="006D261C"/>
    <w:rsid w:val="006D264B"/>
    <w:rsid w:val="006D2803"/>
    <w:rsid w:val="006D2C46"/>
    <w:rsid w:val="006D3181"/>
    <w:rsid w:val="006D36CC"/>
    <w:rsid w:val="006D3771"/>
    <w:rsid w:val="006D3DC2"/>
    <w:rsid w:val="006D40E9"/>
    <w:rsid w:val="006D4105"/>
    <w:rsid w:val="006D41E6"/>
    <w:rsid w:val="006D4245"/>
    <w:rsid w:val="006D44AC"/>
    <w:rsid w:val="006D472F"/>
    <w:rsid w:val="006D4AE5"/>
    <w:rsid w:val="006D4B77"/>
    <w:rsid w:val="006D5582"/>
    <w:rsid w:val="006D5812"/>
    <w:rsid w:val="006D58EA"/>
    <w:rsid w:val="006D5D0C"/>
    <w:rsid w:val="006D5FC8"/>
    <w:rsid w:val="006D60AE"/>
    <w:rsid w:val="006D6395"/>
    <w:rsid w:val="006D66EC"/>
    <w:rsid w:val="006D6B56"/>
    <w:rsid w:val="006D71D3"/>
    <w:rsid w:val="006D75F2"/>
    <w:rsid w:val="006D7D6D"/>
    <w:rsid w:val="006D7E57"/>
    <w:rsid w:val="006D7F90"/>
    <w:rsid w:val="006E025D"/>
    <w:rsid w:val="006E0A00"/>
    <w:rsid w:val="006E112A"/>
    <w:rsid w:val="006E13B8"/>
    <w:rsid w:val="006E13FD"/>
    <w:rsid w:val="006E182E"/>
    <w:rsid w:val="006E1D21"/>
    <w:rsid w:val="006E206E"/>
    <w:rsid w:val="006E20EA"/>
    <w:rsid w:val="006E229A"/>
    <w:rsid w:val="006E2E0F"/>
    <w:rsid w:val="006E2F9C"/>
    <w:rsid w:val="006E3038"/>
    <w:rsid w:val="006E30DB"/>
    <w:rsid w:val="006E30E6"/>
    <w:rsid w:val="006E31F2"/>
    <w:rsid w:val="006E36AF"/>
    <w:rsid w:val="006E37BD"/>
    <w:rsid w:val="006E3C85"/>
    <w:rsid w:val="006E3ECD"/>
    <w:rsid w:val="006E425A"/>
    <w:rsid w:val="006E464B"/>
    <w:rsid w:val="006E4686"/>
    <w:rsid w:val="006E478A"/>
    <w:rsid w:val="006E4D97"/>
    <w:rsid w:val="006E4E19"/>
    <w:rsid w:val="006E5614"/>
    <w:rsid w:val="006E597B"/>
    <w:rsid w:val="006E5B3A"/>
    <w:rsid w:val="006E6177"/>
    <w:rsid w:val="006E660E"/>
    <w:rsid w:val="006E6D16"/>
    <w:rsid w:val="006E7198"/>
    <w:rsid w:val="006E74B1"/>
    <w:rsid w:val="006E7512"/>
    <w:rsid w:val="006E762D"/>
    <w:rsid w:val="006E781F"/>
    <w:rsid w:val="006E786A"/>
    <w:rsid w:val="006E7C65"/>
    <w:rsid w:val="006E7EA2"/>
    <w:rsid w:val="006E7FA3"/>
    <w:rsid w:val="006F04DB"/>
    <w:rsid w:val="006F0BC8"/>
    <w:rsid w:val="006F0D61"/>
    <w:rsid w:val="006F153C"/>
    <w:rsid w:val="006F1F5D"/>
    <w:rsid w:val="006F2238"/>
    <w:rsid w:val="006F233B"/>
    <w:rsid w:val="006F2399"/>
    <w:rsid w:val="006F299E"/>
    <w:rsid w:val="006F2CDC"/>
    <w:rsid w:val="006F30CE"/>
    <w:rsid w:val="006F30DA"/>
    <w:rsid w:val="006F4A96"/>
    <w:rsid w:val="006F4D74"/>
    <w:rsid w:val="006F4EF5"/>
    <w:rsid w:val="006F51F9"/>
    <w:rsid w:val="006F5620"/>
    <w:rsid w:val="006F5736"/>
    <w:rsid w:val="006F5EFB"/>
    <w:rsid w:val="006F5FF0"/>
    <w:rsid w:val="006F6277"/>
    <w:rsid w:val="006F62F4"/>
    <w:rsid w:val="006F6453"/>
    <w:rsid w:val="006F6938"/>
    <w:rsid w:val="006F6AA0"/>
    <w:rsid w:val="006F6AC2"/>
    <w:rsid w:val="006F7334"/>
    <w:rsid w:val="006F73DC"/>
    <w:rsid w:val="006F7A12"/>
    <w:rsid w:val="00700C6B"/>
    <w:rsid w:val="00700FF7"/>
    <w:rsid w:val="007010AE"/>
    <w:rsid w:val="00701350"/>
    <w:rsid w:val="00701799"/>
    <w:rsid w:val="0070189F"/>
    <w:rsid w:val="00701C17"/>
    <w:rsid w:val="00701E00"/>
    <w:rsid w:val="00701F0D"/>
    <w:rsid w:val="0070246A"/>
    <w:rsid w:val="00702B38"/>
    <w:rsid w:val="00702B5C"/>
    <w:rsid w:val="007039B7"/>
    <w:rsid w:val="00703E7D"/>
    <w:rsid w:val="00703E97"/>
    <w:rsid w:val="00704259"/>
    <w:rsid w:val="00704684"/>
    <w:rsid w:val="00704CEA"/>
    <w:rsid w:val="00704ECB"/>
    <w:rsid w:val="00704F02"/>
    <w:rsid w:val="00705325"/>
    <w:rsid w:val="007055F2"/>
    <w:rsid w:val="00705771"/>
    <w:rsid w:val="007057E3"/>
    <w:rsid w:val="00705B8A"/>
    <w:rsid w:val="00705C86"/>
    <w:rsid w:val="00705EB8"/>
    <w:rsid w:val="007066B7"/>
    <w:rsid w:val="007068B9"/>
    <w:rsid w:val="00706B6C"/>
    <w:rsid w:val="00706CBF"/>
    <w:rsid w:val="00706EBF"/>
    <w:rsid w:val="00706F89"/>
    <w:rsid w:val="00706F8E"/>
    <w:rsid w:val="00707101"/>
    <w:rsid w:val="007075F2"/>
    <w:rsid w:val="00707826"/>
    <w:rsid w:val="00707AE5"/>
    <w:rsid w:val="00707B2D"/>
    <w:rsid w:val="007100EC"/>
    <w:rsid w:val="00710195"/>
    <w:rsid w:val="00710348"/>
    <w:rsid w:val="00710506"/>
    <w:rsid w:val="007107A2"/>
    <w:rsid w:val="007109E4"/>
    <w:rsid w:val="00710BB0"/>
    <w:rsid w:val="00711000"/>
    <w:rsid w:val="007119E7"/>
    <w:rsid w:val="00711A21"/>
    <w:rsid w:val="00711B37"/>
    <w:rsid w:val="007120D3"/>
    <w:rsid w:val="007126CE"/>
    <w:rsid w:val="007129AE"/>
    <w:rsid w:val="00712CB8"/>
    <w:rsid w:val="00712FEF"/>
    <w:rsid w:val="00713AA3"/>
    <w:rsid w:val="0071410A"/>
    <w:rsid w:val="007143B9"/>
    <w:rsid w:val="00714583"/>
    <w:rsid w:val="0071483B"/>
    <w:rsid w:val="00714A60"/>
    <w:rsid w:val="007153C7"/>
    <w:rsid w:val="007155C4"/>
    <w:rsid w:val="00715924"/>
    <w:rsid w:val="00715BD2"/>
    <w:rsid w:val="00715F7B"/>
    <w:rsid w:val="00716131"/>
    <w:rsid w:val="00716334"/>
    <w:rsid w:val="00716440"/>
    <w:rsid w:val="00716844"/>
    <w:rsid w:val="00716AE7"/>
    <w:rsid w:val="007172EF"/>
    <w:rsid w:val="00717D8A"/>
    <w:rsid w:val="00717EB9"/>
    <w:rsid w:val="00717F2B"/>
    <w:rsid w:val="00720139"/>
    <w:rsid w:val="0072069D"/>
    <w:rsid w:val="007208C8"/>
    <w:rsid w:val="007208CA"/>
    <w:rsid w:val="00720A6A"/>
    <w:rsid w:val="00721205"/>
    <w:rsid w:val="0072125B"/>
    <w:rsid w:val="007216D6"/>
    <w:rsid w:val="00721736"/>
    <w:rsid w:val="00721D5C"/>
    <w:rsid w:val="0072259D"/>
    <w:rsid w:val="00722722"/>
    <w:rsid w:val="00722F29"/>
    <w:rsid w:val="00723D86"/>
    <w:rsid w:val="00723F01"/>
    <w:rsid w:val="00723F21"/>
    <w:rsid w:val="00724093"/>
    <w:rsid w:val="007241EE"/>
    <w:rsid w:val="00724283"/>
    <w:rsid w:val="00724335"/>
    <w:rsid w:val="00724EA2"/>
    <w:rsid w:val="00724EC9"/>
    <w:rsid w:val="00724F80"/>
    <w:rsid w:val="007252B2"/>
    <w:rsid w:val="0072549E"/>
    <w:rsid w:val="00726AB4"/>
    <w:rsid w:val="00726E3D"/>
    <w:rsid w:val="007274DD"/>
    <w:rsid w:val="00727601"/>
    <w:rsid w:val="0072781A"/>
    <w:rsid w:val="00727C62"/>
    <w:rsid w:val="0073016A"/>
    <w:rsid w:val="0073038D"/>
    <w:rsid w:val="0073042E"/>
    <w:rsid w:val="00730768"/>
    <w:rsid w:val="00730985"/>
    <w:rsid w:val="00730A82"/>
    <w:rsid w:val="00730EA8"/>
    <w:rsid w:val="00731060"/>
    <w:rsid w:val="007310C4"/>
    <w:rsid w:val="007310C7"/>
    <w:rsid w:val="007311F8"/>
    <w:rsid w:val="00731630"/>
    <w:rsid w:val="0073177C"/>
    <w:rsid w:val="007325F7"/>
    <w:rsid w:val="00732748"/>
    <w:rsid w:val="00732AF5"/>
    <w:rsid w:val="00733A88"/>
    <w:rsid w:val="00733ABC"/>
    <w:rsid w:val="00733C68"/>
    <w:rsid w:val="00733D93"/>
    <w:rsid w:val="00733E3E"/>
    <w:rsid w:val="007340EB"/>
    <w:rsid w:val="00734119"/>
    <w:rsid w:val="00734368"/>
    <w:rsid w:val="007349E3"/>
    <w:rsid w:val="0073501A"/>
    <w:rsid w:val="00735607"/>
    <w:rsid w:val="0073563C"/>
    <w:rsid w:val="007357C0"/>
    <w:rsid w:val="00735AB0"/>
    <w:rsid w:val="007362B6"/>
    <w:rsid w:val="00736364"/>
    <w:rsid w:val="00736488"/>
    <w:rsid w:val="0073662C"/>
    <w:rsid w:val="00736AA5"/>
    <w:rsid w:val="00736B0E"/>
    <w:rsid w:val="00736B63"/>
    <w:rsid w:val="00736C8E"/>
    <w:rsid w:val="00737058"/>
    <w:rsid w:val="00737343"/>
    <w:rsid w:val="00737932"/>
    <w:rsid w:val="00737C5B"/>
    <w:rsid w:val="00740004"/>
    <w:rsid w:val="007402C1"/>
    <w:rsid w:val="00740848"/>
    <w:rsid w:val="007413CE"/>
    <w:rsid w:val="00741B7C"/>
    <w:rsid w:val="00741CB9"/>
    <w:rsid w:val="00741D74"/>
    <w:rsid w:val="00741D81"/>
    <w:rsid w:val="00741E38"/>
    <w:rsid w:val="00742DC0"/>
    <w:rsid w:val="00742E39"/>
    <w:rsid w:val="0074330B"/>
    <w:rsid w:val="007439D3"/>
    <w:rsid w:val="00743C48"/>
    <w:rsid w:val="00743DC8"/>
    <w:rsid w:val="00743E50"/>
    <w:rsid w:val="00744135"/>
    <w:rsid w:val="0074423D"/>
    <w:rsid w:val="0074477D"/>
    <w:rsid w:val="0074498C"/>
    <w:rsid w:val="00744E8E"/>
    <w:rsid w:val="00744F4F"/>
    <w:rsid w:val="00745896"/>
    <w:rsid w:val="00745E94"/>
    <w:rsid w:val="007462C2"/>
    <w:rsid w:val="007464B2"/>
    <w:rsid w:val="00746B3D"/>
    <w:rsid w:val="00746C5D"/>
    <w:rsid w:val="00746DDA"/>
    <w:rsid w:val="00746F89"/>
    <w:rsid w:val="0074708D"/>
    <w:rsid w:val="00747209"/>
    <w:rsid w:val="00747384"/>
    <w:rsid w:val="0074784F"/>
    <w:rsid w:val="00747A6A"/>
    <w:rsid w:val="00750172"/>
    <w:rsid w:val="00750914"/>
    <w:rsid w:val="00750980"/>
    <w:rsid w:val="00750A1A"/>
    <w:rsid w:val="00750FF2"/>
    <w:rsid w:val="00751CDF"/>
    <w:rsid w:val="00751F0D"/>
    <w:rsid w:val="007520C6"/>
    <w:rsid w:val="00752386"/>
    <w:rsid w:val="0075258E"/>
    <w:rsid w:val="00752615"/>
    <w:rsid w:val="0075266F"/>
    <w:rsid w:val="00752E1B"/>
    <w:rsid w:val="007534C8"/>
    <w:rsid w:val="007536EF"/>
    <w:rsid w:val="00754D9E"/>
    <w:rsid w:val="00754EA2"/>
    <w:rsid w:val="00754FA8"/>
    <w:rsid w:val="007555F9"/>
    <w:rsid w:val="0075597E"/>
    <w:rsid w:val="007559EC"/>
    <w:rsid w:val="00755E0A"/>
    <w:rsid w:val="00756139"/>
    <w:rsid w:val="007563AC"/>
    <w:rsid w:val="00756E57"/>
    <w:rsid w:val="007603CC"/>
    <w:rsid w:val="007604BB"/>
    <w:rsid w:val="00761EDA"/>
    <w:rsid w:val="007627BB"/>
    <w:rsid w:val="007627EF"/>
    <w:rsid w:val="007630B2"/>
    <w:rsid w:val="00763148"/>
    <w:rsid w:val="0076365C"/>
    <w:rsid w:val="00763755"/>
    <w:rsid w:val="00763798"/>
    <w:rsid w:val="007638E2"/>
    <w:rsid w:val="0076390E"/>
    <w:rsid w:val="00763E4B"/>
    <w:rsid w:val="007640BD"/>
    <w:rsid w:val="0076429F"/>
    <w:rsid w:val="00764884"/>
    <w:rsid w:val="00764D5E"/>
    <w:rsid w:val="007655E0"/>
    <w:rsid w:val="00765B0D"/>
    <w:rsid w:val="00765C9D"/>
    <w:rsid w:val="00765DB1"/>
    <w:rsid w:val="00766319"/>
    <w:rsid w:val="00766524"/>
    <w:rsid w:val="00766766"/>
    <w:rsid w:val="007667BA"/>
    <w:rsid w:val="007668A9"/>
    <w:rsid w:val="007669B7"/>
    <w:rsid w:val="00766D56"/>
    <w:rsid w:val="00766F2E"/>
    <w:rsid w:val="00766F60"/>
    <w:rsid w:val="007671D8"/>
    <w:rsid w:val="0076742D"/>
    <w:rsid w:val="007675DA"/>
    <w:rsid w:val="00767BDE"/>
    <w:rsid w:val="007703F7"/>
    <w:rsid w:val="007705D2"/>
    <w:rsid w:val="007707F2"/>
    <w:rsid w:val="007708D7"/>
    <w:rsid w:val="00770DEF"/>
    <w:rsid w:val="00771090"/>
    <w:rsid w:val="0077123E"/>
    <w:rsid w:val="00771592"/>
    <w:rsid w:val="00771632"/>
    <w:rsid w:val="00771939"/>
    <w:rsid w:val="00771A75"/>
    <w:rsid w:val="00772190"/>
    <w:rsid w:val="00772424"/>
    <w:rsid w:val="007727EB"/>
    <w:rsid w:val="00772B20"/>
    <w:rsid w:val="00772B26"/>
    <w:rsid w:val="00772B9B"/>
    <w:rsid w:val="00772E88"/>
    <w:rsid w:val="00773224"/>
    <w:rsid w:val="007734C5"/>
    <w:rsid w:val="007735F1"/>
    <w:rsid w:val="007737C3"/>
    <w:rsid w:val="00774116"/>
    <w:rsid w:val="00774267"/>
    <w:rsid w:val="00774969"/>
    <w:rsid w:val="00774CF2"/>
    <w:rsid w:val="007755E3"/>
    <w:rsid w:val="00775827"/>
    <w:rsid w:val="00775D04"/>
    <w:rsid w:val="00776CD9"/>
    <w:rsid w:val="00776DFC"/>
    <w:rsid w:val="00777499"/>
    <w:rsid w:val="007777DB"/>
    <w:rsid w:val="00777C4A"/>
    <w:rsid w:val="0078077A"/>
    <w:rsid w:val="0078097A"/>
    <w:rsid w:val="00780B66"/>
    <w:rsid w:val="00780E18"/>
    <w:rsid w:val="0078110B"/>
    <w:rsid w:val="00781241"/>
    <w:rsid w:val="007813DE"/>
    <w:rsid w:val="0078150C"/>
    <w:rsid w:val="00781ADD"/>
    <w:rsid w:val="00781C7C"/>
    <w:rsid w:val="00781FD7"/>
    <w:rsid w:val="00781FDB"/>
    <w:rsid w:val="00782117"/>
    <w:rsid w:val="007826A7"/>
    <w:rsid w:val="007827D8"/>
    <w:rsid w:val="00782CAB"/>
    <w:rsid w:val="00782EF3"/>
    <w:rsid w:val="0078395A"/>
    <w:rsid w:val="00783B65"/>
    <w:rsid w:val="00783CC9"/>
    <w:rsid w:val="00783DE1"/>
    <w:rsid w:val="00783E22"/>
    <w:rsid w:val="007840B7"/>
    <w:rsid w:val="0078420E"/>
    <w:rsid w:val="0078496D"/>
    <w:rsid w:val="00784982"/>
    <w:rsid w:val="00785318"/>
    <w:rsid w:val="00785323"/>
    <w:rsid w:val="00785620"/>
    <w:rsid w:val="00785660"/>
    <w:rsid w:val="00785DDB"/>
    <w:rsid w:val="00785E99"/>
    <w:rsid w:val="00785F68"/>
    <w:rsid w:val="00786542"/>
    <w:rsid w:val="00786560"/>
    <w:rsid w:val="00786D3F"/>
    <w:rsid w:val="00787758"/>
    <w:rsid w:val="00787A82"/>
    <w:rsid w:val="00787E26"/>
    <w:rsid w:val="00790609"/>
    <w:rsid w:val="00790787"/>
    <w:rsid w:val="00790831"/>
    <w:rsid w:val="00790ACD"/>
    <w:rsid w:val="00791CE8"/>
    <w:rsid w:val="00792620"/>
    <w:rsid w:val="00792922"/>
    <w:rsid w:val="00792C38"/>
    <w:rsid w:val="0079405B"/>
    <w:rsid w:val="007941B5"/>
    <w:rsid w:val="007944DB"/>
    <w:rsid w:val="007946E1"/>
    <w:rsid w:val="00794954"/>
    <w:rsid w:val="007949B9"/>
    <w:rsid w:val="00794A85"/>
    <w:rsid w:val="00794EDA"/>
    <w:rsid w:val="00795145"/>
    <w:rsid w:val="00795892"/>
    <w:rsid w:val="007958CB"/>
    <w:rsid w:val="00795DBA"/>
    <w:rsid w:val="007961FB"/>
    <w:rsid w:val="00796647"/>
    <w:rsid w:val="00796827"/>
    <w:rsid w:val="007969EA"/>
    <w:rsid w:val="00796EA7"/>
    <w:rsid w:val="00796F1A"/>
    <w:rsid w:val="00796F61"/>
    <w:rsid w:val="00797925"/>
    <w:rsid w:val="00797FF5"/>
    <w:rsid w:val="007A0107"/>
    <w:rsid w:val="007A02B5"/>
    <w:rsid w:val="007A0490"/>
    <w:rsid w:val="007A0BFD"/>
    <w:rsid w:val="007A114A"/>
    <w:rsid w:val="007A12DE"/>
    <w:rsid w:val="007A1702"/>
    <w:rsid w:val="007A1855"/>
    <w:rsid w:val="007A1870"/>
    <w:rsid w:val="007A1E38"/>
    <w:rsid w:val="007A2659"/>
    <w:rsid w:val="007A2C65"/>
    <w:rsid w:val="007A35B1"/>
    <w:rsid w:val="007A3C28"/>
    <w:rsid w:val="007A3D3F"/>
    <w:rsid w:val="007A3F9D"/>
    <w:rsid w:val="007A443B"/>
    <w:rsid w:val="007A4655"/>
    <w:rsid w:val="007A47C8"/>
    <w:rsid w:val="007A48CE"/>
    <w:rsid w:val="007A4904"/>
    <w:rsid w:val="007A49C4"/>
    <w:rsid w:val="007A4AF2"/>
    <w:rsid w:val="007A4C8A"/>
    <w:rsid w:val="007A4CED"/>
    <w:rsid w:val="007A4CF1"/>
    <w:rsid w:val="007A4D3C"/>
    <w:rsid w:val="007A5260"/>
    <w:rsid w:val="007A579E"/>
    <w:rsid w:val="007A5D4D"/>
    <w:rsid w:val="007A60F2"/>
    <w:rsid w:val="007A69B0"/>
    <w:rsid w:val="007A6BF7"/>
    <w:rsid w:val="007A6D47"/>
    <w:rsid w:val="007A70C5"/>
    <w:rsid w:val="007A70ED"/>
    <w:rsid w:val="007A72DF"/>
    <w:rsid w:val="007A7772"/>
    <w:rsid w:val="007A7CBD"/>
    <w:rsid w:val="007B089F"/>
    <w:rsid w:val="007B0AF7"/>
    <w:rsid w:val="007B0ECE"/>
    <w:rsid w:val="007B1629"/>
    <w:rsid w:val="007B1701"/>
    <w:rsid w:val="007B1E18"/>
    <w:rsid w:val="007B1F1E"/>
    <w:rsid w:val="007B22BC"/>
    <w:rsid w:val="007B246A"/>
    <w:rsid w:val="007B252B"/>
    <w:rsid w:val="007B27C0"/>
    <w:rsid w:val="007B27E5"/>
    <w:rsid w:val="007B2A5C"/>
    <w:rsid w:val="007B2AEC"/>
    <w:rsid w:val="007B2B0A"/>
    <w:rsid w:val="007B312B"/>
    <w:rsid w:val="007B31DD"/>
    <w:rsid w:val="007B356F"/>
    <w:rsid w:val="007B36D5"/>
    <w:rsid w:val="007B39D7"/>
    <w:rsid w:val="007B3DA1"/>
    <w:rsid w:val="007B4B93"/>
    <w:rsid w:val="007B4D71"/>
    <w:rsid w:val="007B5C4B"/>
    <w:rsid w:val="007B5CA8"/>
    <w:rsid w:val="007B6F53"/>
    <w:rsid w:val="007B6F55"/>
    <w:rsid w:val="007B7063"/>
    <w:rsid w:val="007B7102"/>
    <w:rsid w:val="007B7268"/>
    <w:rsid w:val="007B7B48"/>
    <w:rsid w:val="007B7CB3"/>
    <w:rsid w:val="007B7F1B"/>
    <w:rsid w:val="007C0241"/>
    <w:rsid w:val="007C03C4"/>
    <w:rsid w:val="007C0DFA"/>
    <w:rsid w:val="007C0EFF"/>
    <w:rsid w:val="007C1078"/>
    <w:rsid w:val="007C152C"/>
    <w:rsid w:val="007C153A"/>
    <w:rsid w:val="007C2080"/>
    <w:rsid w:val="007C23A3"/>
    <w:rsid w:val="007C2536"/>
    <w:rsid w:val="007C2B56"/>
    <w:rsid w:val="007C2FE1"/>
    <w:rsid w:val="007C3640"/>
    <w:rsid w:val="007C370C"/>
    <w:rsid w:val="007C3789"/>
    <w:rsid w:val="007C3A2E"/>
    <w:rsid w:val="007C3B35"/>
    <w:rsid w:val="007C3E24"/>
    <w:rsid w:val="007C52F7"/>
    <w:rsid w:val="007C5CBE"/>
    <w:rsid w:val="007C628E"/>
    <w:rsid w:val="007C6589"/>
    <w:rsid w:val="007C6664"/>
    <w:rsid w:val="007C700E"/>
    <w:rsid w:val="007C74A6"/>
    <w:rsid w:val="007C74E5"/>
    <w:rsid w:val="007C775D"/>
    <w:rsid w:val="007C79E7"/>
    <w:rsid w:val="007C7B0E"/>
    <w:rsid w:val="007D0073"/>
    <w:rsid w:val="007D028A"/>
    <w:rsid w:val="007D0A1A"/>
    <w:rsid w:val="007D127D"/>
    <w:rsid w:val="007D1809"/>
    <w:rsid w:val="007D196C"/>
    <w:rsid w:val="007D1A9E"/>
    <w:rsid w:val="007D1BB5"/>
    <w:rsid w:val="007D244D"/>
    <w:rsid w:val="007D253A"/>
    <w:rsid w:val="007D2673"/>
    <w:rsid w:val="007D29BF"/>
    <w:rsid w:val="007D29D1"/>
    <w:rsid w:val="007D2B01"/>
    <w:rsid w:val="007D3828"/>
    <w:rsid w:val="007D3B99"/>
    <w:rsid w:val="007D42ED"/>
    <w:rsid w:val="007D4536"/>
    <w:rsid w:val="007D457E"/>
    <w:rsid w:val="007D4FD8"/>
    <w:rsid w:val="007D5644"/>
    <w:rsid w:val="007D59DD"/>
    <w:rsid w:val="007D6C28"/>
    <w:rsid w:val="007D72D8"/>
    <w:rsid w:val="007D79ED"/>
    <w:rsid w:val="007E013A"/>
    <w:rsid w:val="007E0504"/>
    <w:rsid w:val="007E0AEE"/>
    <w:rsid w:val="007E11A8"/>
    <w:rsid w:val="007E17DA"/>
    <w:rsid w:val="007E1AE1"/>
    <w:rsid w:val="007E1B91"/>
    <w:rsid w:val="007E1BCA"/>
    <w:rsid w:val="007E1EC1"/>
    <w:rsid w:val="007E22B2"/>
    <w:rsid w:val="007E26C4"/>
    <w:rsid w:val="007E2838"/>
    <w:rsid w:val="007E35D1"/>
    <w:rsid w:val="007E35DC"/>
    <w:rsid w:val="007E3780"/>
    <w:rsid w:val="007E3782"/>
    <w:rsid w:val="007E3809"/>
    <w:rsid w:val="007E3CC5"/>
    <w:rsid w:val="007E3CDD"/>
    <w:rsid w:val="007E45E1"/>
    <w:rsid w:val="007E4605"/>
    <w:rsid w:val="007E46BE"/>
    <w:rsid w:val="007E46E5"/>
    <w:rsid w:val="007E47A1"/>
    <w:rsid w:val="007E4D89"/>
    <w:rsid w:val="007E4F75"/>
    <w:rsid w:val="007E51CE"/>
    <w:rsid w:val="007E52C2"/>
    <w:rsid w:val="007E53F9"/>
    <w:rsid w:val="007E642A"/>
    <w:rsid w:val="007E6485"/>
    <w:rsid w:val="007E6D15"/>
    <w:rsid w:val="007E6D47"/>
    <w:rsid w:val="007E6DE5"/>
    <w:rsid w:val="007E6EAE"/>
    <w:rsid w:val="007E72DB"/>
    <w:rsid w:val="007E72E5"/>
    <w:rsid w:val="007E73CA"/>
    <w:rsid w:val="007E7953"/>
    <w:rsid w:val="007E7A33"/>
    <w:rsid w:val="007E7A42"/>
    <w:rsid w:val="007F022E"/>
    <w:rsid w:val="007F02CD"/>
    <w:rsid w:val="007F0648"/>
    <w:rsid w:val="007F0B56"/>
    <w:rsid w:val="007F0BA3"/>
    <w:rsid w:val="007F0CA7"/>
    <w:rsid w:val="007F0F14"/>
    <w:rsid w:val="007F13A5"/>
    <w:rsid w:val="007F15AF"/>
    <w:rsid w:val="007F15D3"/>
    <w:rsid w:val="007F1D49"/>
    <w:rsid w:val="007F1D9D"/>
    <w:rsid w:val="007F240B"/>
    <w:rsid w:val="007F2DE6"/>
    <w:rsid w:val="007F2F4A"/>
    <w:rsid w:val="007F31DA"/>
    <w:rsid w:val="007F3398"/>
    <w:rsid w:val="007F35C9"/>
    <w:rsid w:val="007F36EF"/>
    <w:rsid w:val="007F3715"/>
    <w:rsid w:val="007F394B"/>
    <w:rsid w:val="007F39E9"/>
    <w:rsid w:val="007F3BDC"/>
    <w:rsid w:val="007F3C0E"/>
    <w:rsid w:val="007F3D65"/>
    <w:rsid w:val="007F41CB"/>
    <w:rsid w:val="007F4447"/>
    <w:rsid w:val="007F4641"/>
    <w:rsid w:val="007F4648"/>
    <w:rsid w:val="007F476D"/>
    <w:rsid w:val="007F49A7"/>
    <w:rsid w:val="007F4B9E"/>
    <w:rsid w:val="007F4D7C"/>
    <w:rsid w:val="007F524E"/>
    <w:rsid w:val="007F529C"/>
    <w:rsid w:val="007F571F"/>
    <w:rsid w:val="007F5B57"/>
    <w:rsid w:val="007F5B91"/>
    <w:rsid w:val="007F5CBF"/>
    <w:rsid w:val="007F5ED3"/>
    <w:rsid w:val="007F652A"/>
    <w:rsid w:val="007F67E7"/>
    <w:rsid w:val="007F6897"/>
    <w:rsid w:val="007F6AE2"/>
    <w:rsid w:val="007F6D9B"/>
    <w:rsid w:val="007F703F"/>
    <w:rsid w:val="007F7049"/>
    <w:rsid w:val="007F71BF"/>
    <w:rsid w:val="007F7263"/>
    <w:rsid w:val="007F7339"/>
    <w:rsid w:val="007F73CD"/>
    <w:rsid w:val="007F790F"/>
    <w:rsid w:val="007F7D83"/>
    <w:rsid w:val="008002FA"/>
    <w:rsid w:val="008003F0"/>
    <w:rsid w:val="0080085F"/>
    <w:rsid w:val="00800B04"/>
    <w:rsid w:val="00800B78"/>
    <w:rsid w:val="00800C1F"/>
    <w:rsid w:val="00801028"/>
    <w:rsid w:val="008012F7"/>
    <w:rsid w:val="00801351"/>
    <w:rsid w:val="008015DF"/>
    <w:rsid w:val="008016AA"/>
    <w:rsid w:val="008016C0"/>
    <w:rsid w:val="00801871"/>
    <w:rsid w:val="00801DCB"/>
    <w:rsid w:val="00801ED1"/>
    <w:rsid w:val="008027FA"/>
    <w:rsid w:val="0080280D"/>
    <w:rsid w:val="00802B78"/>
    <w:rsid w:val="00802D78"/>
    <w:rsid w:val="00802E87"/>
    <w:rsid w:val="0080369E"/>
    <w:rsid w:val="00803B52"/>
    <w:rsid w:val="00803E10"/>
    <w:rsid w:val="00803F43"/>
    <w:rsid w:val="0080418A"/>
    <w:rsid w:val="0080452C"/>
    <w:rsid w:val="00804578"/>
    <w:rsid w:val="0080464C"/>
    <w:rsid w:val="00804CB4"/>
    <w:rsid w:val="00804CFD"/>
    <w:rsid w:val="0080599D"/>
    <w:rsid w:val="00805C01"/>
    <w:rsid w:val="00805EF6"/>
    <w:rsid w:val="00806C0E"/>
    <w:rsid w:val="00806E77"/>
    <w:rsid w:val="00807176"/>
    <w:rsid w:val="0080785C"/>
    <w:rsid w:val="00807884"/>
    <w:rsid w:val="00807956"/>
    <w:rsid w:val="00807FD8"/>
    <w:rsid w:val="00810321"/>
    <w:rsid w:val="00810871"/>
    <w:rsid w:val="00810B14"/>
    <w:rsid w:val="00810C26"/>
    <w:rsid w:val="00810D70"/>
    <w:rsid w:val="00810E15"/>
    <w:rsid w:val="0081147C"/>
    <w:rsid w:val="00811584"/>
    <w:rsid w:val="00811A7C"/>
    <w:rsid w:val="00811DCC"/>
    <w:rsid w:val="00811F2F"/>
    <w:rsid w:val="00812149"/>
    <w:rsid w:val="00812407"/>
    <w:rsid w:val="00812602"/>
    <w:rsid w:val="00812941"/>
    <w:rsid w:val="00812A36"/>
    <w:rsid w:val="008131AD"/>
    <w:rsid w:val="008136A4"/>
    <w:rsid w:val="00813727"/>
    <w:rsid w:val="00813F33"/>
    <w:rsid w:val="0081465B"/>
    <w:rsid w:val="0081497E"/>
    <w:rsid w:val="008149A5"/>
    <w:rsid w:val="00814F2F"/>
    <w:rsid w:val="0081597B"/>
    <w:rsid w:val="00815C23"/>
    <w:rsid w:val="00816527"/>
    <w:rsid w:val="00816B8B"/>
    <w:rsid w:val="00816EBD"/>
    <w:rsid w:val="00816FA2"/>
    <w:rsid w:val="0081725B"/>
    <w:rsid w:val="00817798"/>
    <w:rsid w:val="00817B5C"/>
    <w:rsid w:val="00817B9F"/>
    <w:rsid w:val="00817D86"/>
    <w:rsid w:val="00817FC7"/>
    <w:rsid w:val="0082050E"/>
    <w:rsid w:val="008207F6"/>
    <w:rsid w:val="00820821"/>
    <w:rsid w:val="00821558"/>
    <w:rsid w:val="008216A9"/>
    <w:rsid w:val="00821939"/>
    <w:rsid w:val="00821A4F"/>
    <w:rsid w:val="00821D2D"/>
    <w:rsid w:val="00821F19"/>
    <w:rsid w:val="0082213D"/>
    <w:rsid w:val="0082225F"/>
    <w:rsid w:val="00822576"/>
    <w:rsid w:val="008226CE"/>
    <w:rsid w:val="00822782"/>
    <w:rsid w:val="0082292D"/>
    <w:rsid w:val="008229E5"/>
    <w:rsid w:val="00822ACE"/>
    <w:rsid w:val="00823099"/>
    <w:rsid w:val="00823553"/>
    <w:rsid w:val="00823EFF"/>
    <w:rsid w:val="00823F5B"/>
    <w:rsid w:val="008240AE"/>
    <w:rsid w:val="00824FE6"/>
    <w:rsid w:val="00825026"/>
    <w:rsid w:val="00825248"/>
    <w:rsid w:val="0082529C"/>
    <w:rsid w:val="0082543D"/>
    <w:rsid w:val="0082570F"/>
    <w:rsid w:val="00825874"/>
    <w:rsid w:val="00825E8B"/>
    <w:rsid w:val="0082646B"/>
    <w:rsid w:val="008268DA"/>
    <w:rsid w:val="0082729B"/>
    <w:rsid w:val="008272E2"/>
    <w:rsid w:val="008275B7"/>
    <w:rsid w:val="00827AE2"/>
    <w:rsid w:val="00827CC9"/>
    <w:rsid w:val="00827EC4"/>
    <w:rsid w:val="00830106"/>
    <w:rsid w:val="008301E3"/>
    <w:rsid w:val="0083021C"/>
    <w:rsid w:val="00830522"/>
    <w:rsid w:val="00830713"/>
    <w:rsid w:val="00830B32"/>
    <w:rsid w:val="00830CC0"/>
    <w:rsid w:val="0083160A"/>
    <w:rsid w:val="0083199C"/>
    <w:rsid w:val="00831C85"/>
    <w:rsid w:val="00831D4E"/>
    <w:rsid w:val="00831E15"/>
    <w:rsid w:val="008325B2"/>
    <w:rsid w:val="008328A2"/>
    <w:rsid w:val="00832B29"/>
    <w:rsid w:val="00832C31"/>
    <w:rsid w:val="00833238"/>
    <w:rsid w:val="0083341A"/>
    <w:rsid w:val="008335CD"/>
    <w:rsid w:val="00833C87"/>
    <w:rsid w:val="0083449D"/>
    <w:rsid w:val="00834A73"/>
    <w:rsid w:val="00834A83"/>
    <w:rsid w:val="00834B61"/>
    <w:rsid w:val="00835070"/>
    <w:rsid w:val="00835209"/>
    <w:rsid w:val="008353C8"/>
    <w:rsid w:val="008358AD"/>
    <w:rsid w:val="00835E83"/>
    <w:rsid w:val="00835FAE"/>
    <w:rsid w:val="00836665"/>
    <w:rsid w:val="00836A7A"/>
    <w:rsid w:val="00837135"/>
    <w:rsid w:val="008371A0"/>
    <w:rsid w:val="008371F6"/>
    <w:rsid w:val="00837205"/>
    <w:rsid w:val="0083769E"/>
    <w:rsid w:val="00837A2C"/>
    <w:rsid w:val="00837C68"/>
    <w:rsid w:val="00840222"/>
    <w:rsid w:val="008407DD"/>
    <w:rsid w:val="0084087A"/>
    <w:rsid w:val="00841038"/>
    <w:rsid w:val="0084116D"/>
    <w:rsid w:val="00841717"/>
    <w:rsid w:val="0084196B"/>
    <w:rsid w:val="00841CE3"/>
    <w:rsid w:val="00842083"/>
    <w:rsid w:val="0084255B"/>
    <w:rsid w:val="0084263C"/>
    <w:rsid w:val="00842BB7"/>
    <w:rsid w:val="00843151"/>
    <w:rsid w:val="0084343B"/>
    <w:rsid w:val="00843491"/>
    <w:rsid w:val="00843647"/>
    <w:rsid w:val="0084375E"/>
    <w:rsid w:val="00843987"/>
    <w:rsid w:val="008439FF"/>
    <w:rsid w:val="00843D46"/>
    <w:rsid w:val="00844018"/>
    <w:rsid w:val="008440F1"/>
    <w:rsid w:val="008443B4"/>
    <w:rsid w:val="00844501"/>
    <w:rsid w:val="008448D8"/>
    <w:rsid w:val="008451E5"/>
    <w:rsid w:val="008452A6"/>
    <w:rsid w:val="00845407"/>
    <w:rsid w:val="008455CE"/>
    <w:rsid w:val="0084583A"/>
    <w:rsid w:val="00845B4F"/>
    <w:rsid w:val="00845E81"/>
    <w:rsid w:val="0084617B"/>
    <w:rsid w:val="008461E2"/>
    <w:rsid w:val="008466E6"/>
    <w:rsid w:val="00847524"/>
    <w:rsid w:val="0084766C"/>
    <w:rsid w:val="00847B2B"/>
    <w:rsid w:val="00847C2F"/>
    <w:rsid w:val="00850133"/>
    <w:rsid w:val="00850142"/>
    <w:rsid w:val="00850269"/>
    <w:rsid w:val="0085096B"/>
    <w:rsid w:val="00850CEE"/>
    <w:rsid w:val="00850F7B"/>
    <w:rsid w:val="00851404"/>
    <w:rsid w:val="0085153F"/>
    <w:rsid w:val="00851B22"/>
    <w:rsid w:val="00852A1F"/>
    <w:rsid w:val="00852B61"/>
    <w:rsid w:val="00853815"/>
    <w:rsid w:val="00853B26"/>
    <w:rsid w:val="00853DEF"/>
    <w:rsid w:val="00854244"/>
    <w:rsid w:val="0085485C"/>
    <w:rsid w:val="00854DB5"/>
    <w:rsid w:val="00854E14"/>
    <w:rsid w:val="008557E4"/>
    <w:rsid w:val="00855B5E"/>
    <w:rsid w:val="00855EA7"/>
    <w:rsid w:val="00855F8A"/>
    <w:rsid w:val="008563D9"/>
    <w:rsid w:val="00856429"/>
    <w:rsid w:val="008567BC"/>
    <w:rsid w:val="0085758A"/>
    <w:rsid w:val="0085770F"/>
    <w:rsid w:val="00857D63"/>
    <w:rsid w:val="0086042A"/>
    <w:rsid w:val="008604DE"/>
    <w:rsid w:val="00860608"/>
    <w:rsid w:val="00860983"/>
    <w:rsid w:val="00860D2D"/>
    <w:rsid w:val="008612CC"/>
    <w:rsid w:val="008615DC"/>
    <w:rsid w:val="008618B9"/>
    <w:rsid w:val="00861927"/>
    <w:rsid w:val="00861A00"/>
    <w:rsid w:val="00861B6B"/>
    <w:rsid w:val="00861CEF"/>
    <w:rsid w:val="00862149"/>
    <w:rsid w:val="0086247E"/>
    <w:rsid w:val="00862DF0"/>
    <w:rsid w:val="0086308A"/>
    <w:rsid w:val="00863C42"/>
    <w:rsid w:val="00864068"/>
    <w:rsid w:val="008640BA"/>
    <w:rsid w:val="008641A7"/>
    <w:rsid w:val="00864212"/>
    <w:rsid w:val="00864233"/>
    <w:rsid w:val="0086439B"/>
    <w:rsid w:val="00864C42"/>
    <w:rsid w:val="00864F63"/>
    <w:rsid w:val="008651C2"/>
    <w:rsid w:val="008659E6"/>
    <w:rsid w:val="0086643A"/>
    <w:rsid w:val="00866C95"/>
    <w:rsid w:val="00867270"/>
    <w:rsid w:val="0086727C"/>
    <w:rsid w:val="008673BC"/>
    <w:rsid w:val="008702FA"/>
    <w:rsid w:val="008703DD"/>
    <w:rsid w:val="00870686"/>
    <w:rsid w:val="00870A56"/>
    <w:rsid w:val="00871052"/>
    <w:rsid w:val="008713BE"/>
    <w:rsid w:val="008718C4"/>
    <w:rsid w:val="008719F0"/>
    <w:rsid w:val="00871ED0"/>
    <w:rsid w:val="00871F39"/>
    <w:rsid w:val="0087265B"/>
    <w:rsid w:val="00872920"/>
    <w:rsid w:val="00872C13"/>
    <w:rsid w:val="008730FA"/>
    <w:rsid w:val="008732A8"/>
    <w:rsid w:val="008736FB"/>
    <w:rsid w:val="008736FF"/>
    <w:rsid w:val="00873B97"/>
    <w:rsid w:val="00873EB0"/>
    <w:rsid w:val="00873FE6"/>
    <w:rsid w:val="008753BF"/>
    <w:rsid w:val="00875AA7"/>
    <w:rsid w:val="008764B8"/>
    <w:rsid w:val="00876B59"/>
    <w:rsid w:val="00876C24"/>
    <w:rsid w:val="00876EBD"/>
    <w:rsid w:val="008773C0"/>
    <w:rsid w:val="00877564"/>
    <w:rsid w:val="008778E5"/>
    <w:rsid w:val="00880408"/>
    <w:rsid w:val="00880983"/>
    <w:rsid w:val="00880B9E"/>
    <w:rsid w:val="00880DBB"/>
    <w:rsid w:val="00880FAD"/>
    <w:rsid w:val="00881223"/>
    <w:rsid w:val="008812BC"/>
    <w:rsid w:val="00881421"/>
    <w:rsid w:val="008815A7"/>
    <w:rsid w:val="00881E6D"/>
    <w:rsid w:val="00882071"/>
    <w:rsid w:val="00882466"/>
    <w:rsid w:val="00882F21"/>
    <w:rsid w:val="00882FB0"/>
    <w:rsid w:val="008833A6"/>
    <w:rsid w:val="00883818"/>
    <w:rsid w:val="00883A57"/>
    <w:rsid w:val="008840CB"/>
    <w:rsid w:val="0088426A"/>
    <w:rsid w:val="00885349"/>
    <w:rsid w:val="00885454"/>
    <w:rsid w:val="008858E9"/>
    <w:rsid w:val="00885A34"/>
    <w:rsid w:val="00885B99"/>
    <w:rsid w:val="00885E54"/>
    <w:rsid w:val="008862DB"/>
    <w:rsid w:val="00886D38"/>
    <w:rsid w:val="0088709A"/>
    <w:rsid w:val="00887111"/>
    <w:rsid w:val="008871D4"/>
    <w:rsid w:val="0088789C"/>
    <w:rsid w:val="00887999"/>
    <w:rsid w:val="00890329"/>
    <w:rsid w:val="00890848"/>
    <w:rsid w:val="00890E74"/>
    <w:rsid w:val="00891295"/>
    <w:rsid w:val="00891517"/>
    <w:rsid w:val="0089170D"/>
    <w:rsid w:val="008917B4"/>
    <w:rsid w:val="0089193D"/>
    <w:rsid w:val="00891C12"/>
    <w:rsid w:val="00891CA2"/>
    <w:rsid w:val="00892100"/>
    <w:rsid w:val="00892622"/>
    <w:rsid w:val="0089271E"/>
    <w:rsid w:val="008927E1"/>
    <w:rsid w:val="00892C8C"/>
    <w:rsid w:val="008934E9"/>
    <w:rsid w:val="008935C1"/>
    <w:rsid w:val="00893608"/>
    <w:rsid w:val="00893795"/>
    <w:rsid w:val="00893923"/>
    <w:rsid w:val="008941C3"/>
    <w:rsid w:val="008945AA"/>
    <w:rsid w:val="00894800"/>
    <w:rsid w:val="00894FEB"/>
    <w:rsid w:val="0089551B"/>
    <w:rsid w:val="00895C25"/>
    <w:rsid w:val="00895D44"/>
    <w:rsid w:val="00895F5B"/>
    <w:rsid w:val="0089606E"/>
    <w:rsid w:val="0089618C"/>
    <w:rsid w:val="0089693B"/>
    <w:rsid w:val="00896D1A"/>
    <w:rsid w:val="00896DD4"/>
    <w:rsid w:val="00896E20"/>
    <w:rsid w:val="00897BF3"/>
    <w:rsid w:val="00897F3B"/>
    <w:rsid w:val="008A033C"/>
    <w:rsid w:val="008A0DB0"/>
    <w:rsid w:val="008A10F3"/>
    <w:rsid w:val="008A1177"/>
    <w:rsid w:val="008A13EB"/>
    <w:rsid w:val="008A143B"/>
    <w:rsid w:val="008A15E3"/>
    <w:rsid w:val="008A1997"/>
    <w:rsid w:val="008A1E07"/>
    <w:rsid w:val="008A1E3C"/>
    <w:rsid w:val="008A226C"/>
    <w:rsid w:val="008A2417"/>
    <w:rsid w:val="008A2552"/>
    <w:rsid w:val="008A369C"/>
    <w:rsid w:val="008A3E06"/>
    <w:rsid w:val="008A50AC"/>
    <w:rsid w:val="008A50BF"/>
    <w:rsid w:val="008A545B"/>
    <w:rsid w:val="008A5499"/>
    <w:rsid w:val="008A59A6"/>
    <w:rsid w:val="008A6BD8"/>
    <w:rsid w:val="008A6C12"/>
    <w:rsid w:val="008A6DC4"/>
    <w:rsid w:val="008A6E06"/>
    <w:rsid w:val="008A6E62"/>
    <w:rsid w:val="008A7171"/>
    <w:rsid w:val="008A71F6"/>
    <w:rsid w:val="008B0E22"/>
    <w:rsid w:val="008B0E30"/>
    <w:rsid w:val="008B10D1"/>
    <w:rsid w:val="008B118F"/>
    <w:rsid w:val="008B13A4"/>
    <w:rsid w:val="008B15D2"/>
    <w:rsid w:val="008B26AC"/>
    <w:rsid w:val="008B2814"/>
    <w:rsid w:val="008B2963"/>
    <w:rsid w:val="008B2DAB"/>
    <w:rsid w:val="008B2EB1"/>
    <w:rsid w:val="008B32F7"/>
    <w:rsid w:val="008B343C"/>
    <w:rsid w:val="008B3693"/>
    <w:rsid w:val="008B3A0C"/>
    <w:rsid w:val="008B3A6A"/>
    <w:rsid w:val="008B3D07"/>
    <w:rsid w:val="008B3E1C"/>
    <w:rsid w:val="008B41F2"/>
    <w:rsid w:val="008B4389"/>
    <w:rsid w:val="008B4AB7"/>
    <w:rsid w:val="008B5526"/>
    <w:rsid w:val="008B5CD7"/>
    <w:rsid w:val="008B65E9"/>
    <w:rsid w:val="008B6BE6"/>
    <w:rsid w:val="008B6CFC"/>
    <w:rsid w:val="008B7177"/>
    <w:rsid w:val="008B71B2"/>
    <w:rsid w:val="008B7371"/>
    <w:rsid w:val="008B7A13"/>
    <w:rsid w:val="008B7C28"/>
    <w:rsid w:val="008B7E42"/>
    <w:rsid w:val="008B7EFC"/>
    <w:rsid w:val="008C1526"/>
    <w:rsid w:val="008C1574"/>
    <w:rsid w:val="008C1BEC"/>
    <w:rsid w:val="008C1D37"/>
    <w:rsid w:val="008C1DEE"/>
    <w:rsid w:val="008C223A"/>
    <w:rsid w:val="008C2264"/>
    <w:rsid w:val="008C2445"/>
    <w:rsid w:val="008C268F"/>
    <w:rsid w:val="008C2877"/>
    <w:rsid w:val="008C30F4"/>
    <w:rsid w:val="008C321D"/>
    <w:rsid w:val="008C374B"/>
    <w:rsid w:val="008C3C70"/>
    <w:rsid w:val="008C49B6"/>
    <w:rsid w:val="008C4A3C"/>
    <w:rsid w:val="008C4BBE"/>
    <w:rsid w:val="008C55BD"/>
    <w:rsid w:val="008C5A5A"/>
    <w:rsid w:val="008C5C31"/>
    <w:rsid w:val="008C64BE"/>
    <w:rsid w:val="008C6610"/>
    <w:rsid w:val="008C686A"/>
    <w:rsid w:val="008C6C37"/>
    <w:rsid w:val="008C73ED"/>
    <w:rsid w:val="008C7687"/>
    <w:rsid w:val="008C777D"/>
    <w:rsid w:val="008C7D0C"/>
    <w:rsid w:val="008C7DC7"/>
    <w:rsid w:val="008D047A"/>
    <w:rsid w:val="008D050D"/>
    <w:rsid w:val="008D0536"/>
    <w:rsid w:val="008D060C"/>
    <w:rsid w:val="008D06BB"/>
    <w:rsid w:val="008D0B28"/>
    <w:rsid w:val="008D0BA7"/>
    <w:rsid w:val="008D12F2"/>
    <w:rsid w:val="008D1446"/>
    <w:rsid w:val="008D1870"/>
    <w:rsid w:val="008D19CD"/>
    <w:rsid w:val="008D1C31"/>
    <w:rsid w:val="008D2122"/>
    <w:rsid w:val="008D2129"/>
    <w:rsid w:val="008D2168"/>
    <w:rsid w:val="008D22F8"/>
    <w:rsid w:val="008D25CF"/>
    <w:rsid w:val="008D298F"/>
    <w:rsid w:val="008D2D61"/>
    <w:rsid w:val="008D3503"/>
    <w:rsid w:val="008D3E8D"/>
    <w:rsid w:val="008D48E0"/>
    <w:rsid w:val="008D4B25"/>
    <w:rsid w:val="008D4E6E"/>
    <w:rsid w:val="008D5022"/>
    <w:rsid w:val="008D57BF"/>
    <w:rsid w:val="008D5FCC"/>
    <w:rsid w:val="008D5FD0"/>
    <w:rsid w:val="008D64EF"/>
    <w:rsid w:val="008D656C"/>
    <w:rsid w:val="008D68A0"/>
    <w:rsid w:val="008D6AE1"/>
    <w:rsid w:val="008D6B45"/>
    <w:rsid w:val="008D6BEF"/>
    <w:rsid w:val="008D6D0C"/>
    <w:rsid w:val="008D6E49"/>
    <w:rsid w:val="008D734F"/>
    <w:rsid w:val="008E00E2"/>
    <w:rsid w:val="008E0146"/>
    <w:rsid w:val="008E036F"/>
    <w:rsid w:val="008E0686"/>
    <w:rsid w:val="008E13AB"/>
    <w:rsid w:val="008E13F5"/>
    <w:rsid w:val="008E214D"/>
    <w:rsid w:val="008E27BB"/>
    <w:rsid w:val="008E2E00"/>
    <w:rsid w:val="008E3273"/>
    <w:rsid w:val="008E3371"/>
    <w:rsid w:val="008E35C7"/>
    <w:rsid w:val="008E36BE"/>
    <w:rsid w:val="008E394D"/>
    <w:rsid w:val="008E44F2"/>
    <w:rsid w:val="008E4A0C"/>
    <w:rsid w:val="008E4AE6"/>
    <w:rsid w:val="008E5076"/>
    <w:rsid w:val="008E55A7"/>
    <w:rsid w:val="008E59A4"/>
    <w:rsid w:val="008E5D2E"/>
    <w:rsid w:val="008E6319"/>
    <w:rsid w:val="008E6AC9"/>
    <w:rsid w:val="008E6E11"/>
    <w:rsid w:val="008E74A7"/>
    <w:rsid w:val="008E7F88"/>
    <w:rsid w:val="008F00AF"/>
    <w:rsid w:val="008F014A"/>
    <w:rsid w:val="008F01E6"/>
    <w:rsid w:val="008F02AE"/>
    <w:rsid w:val="008F0336"/>
    <w:rsid w:val="008F07E4"/>
    <w:rsid w:val="008F159A"/>
    <w:rsid w:val="008F1B6E"/>
    <w:rsid w:val="008F1C77"/>
    <w:rsid w:val="008F1CAA"/>
    <w:rsid w:val="008F1E24"/>
    <w:rsid w:val="008F2B04"/>
    <w:rsid w:val="008F2D72"/>
    <w:rsid w:val="008F2D73"/>
    <w:rsid w:val="008F37A9"/>
    <w:rsid w:val="008F3C9E"/>
    <w:rsid w:val="008F3CC7"/>
    <w:rsid w:val="008F3E8B"/>
    <w:rsid w:val="008F3FF9"/>
    <w:rsid w:val="008F40BA"/>
    <w:rsid w:val="008F4197"/>
    <w:rsid w:val="008F448C"/>
    <w:rsid w:val="008F4665"/>
    <w:rsid w:val="008F4ED4"/>
    <w:rsid w:val="008F5019"/>
    <w:rsid w:val="008F50D4"/>
    <w:rsid w:val="008F5115"/>
    <w:rsid w:val="008F5553"/>
    <w:rsid w:val="008F5847"/>
    <w:rsid w:val="008F5A47"/>
    <w:rsid w:val="008F5B1E"/>
    <w:rsid w:val="008F5B6D"/>
    <w:rsid w:val="008F5D5E"/>
    <w:rsid w:val="008F61AA"/>
    <w:rsid w:val="008F6E98"/>
    <w:rsid w:val="008F75A2"/>
    <w:rsid w:val="008F7C22"/>
    <w:rsid w:val="008F7E31"/>
    <w:rsid w:val="0090056B"/>
    <w:rsid w:val="009005D2"/>
    <w:rsid w:val="00900621"/>
    <w:rsid w:val="0090080F"/>
    <w:rsid w:val="00900F8B"/>
    <w:rsid w:val="00901020"/>
    <w:rsid w:val="00901044"/>
    <w:rsid w:val="00901409"/>
    <w:rsid w:val="009019DC"/>
    <w:rsid w:val="0090221F"/>
    <w:rsid w:val="00902591"/>
    <w:rsid w:val="009026E4"/>
    <w:rsid w:val="00902BE9"/>
    <w:rsid w:val="00902D20"/>
    <w:rsid w:val="00902E80"/>
    <w:rsid w:val="00902EEE"/>
    <w:rsid w:val="00902F49"/>
    <w:rsid w:val="0090358B"/>
    <w:rsid w:val="00903EEB"/>
    <w:rsid w:val="00904070"/>
    <w:rsid w:val="00904202"/>
    <w:rsid w:val="0090433A"/>
    <w:rsid w:val="00904AD4"/>
    <w:rsid w:val="00905566"/>
    <w:rsid w:val="009058AA"/>
    <w:rsid w:val="00905A01"/>
    <w:rsid w:val="00905B3A"/>
    <w:rsid w:val="009067E1"/>
    <w:rsid w:val="0090696F"/>
    <w:rsid w:val="009069EA"/>
    <w:rsid w:val="00906C48"/>
    <w:rsid w:val="00906DF9"/>
    <w:rsid w:val="00906FFC"/>
    <w:rsid w:val="00907713"/>
    <w:rsid w:val="00910108"/>
    <w:rsid w:val="0091068A"/>
    <w:rsid w:val="0091093F"/>
    <w:rsid w:val="009110DD"/>
    <w:rsid w:val="009114A8"/>
    <w:rsid w:val="009114F0"/>
    <w:rsid w:val="00912B53"/>
    <w:rsid w:val="00912C3E"/>
    <w:rsid w:val="0091341D"/>
    <w:rsid w:val="0091369E"/>
    <w:rsid w:val="00913AC3"/>
    <w:rsid w:val="00914191"/>
    <w:rsid w:val="009148F8"/>
    <w:rsid w:val="00914C73"/>
    <w:rsid w:val="00914D38"/>
    <w:rsid w:val="00914F84"/>
    <w:rsid w:val="0091507B"/>
    <w:rsid w:val="009159C3"/>
    <w:rsid w:val="009161F7"/>
    <w:rsid w:val="0091631C"/>
    <w:rsid w:val="0091656B"/>
    <w:rsid w:val="009168BD"/>
    <w:rsid w:val="00916935"/>
    <w:rsid w:val="00917354"/>
    <w:rsid w:val="00917840"/>
    <w:rsid w:val="00917C17"/>
    <w:rsid w:val="00920094"/>
    <w:rsid w:val="009202E3"/>
    <w:rsid w:val="009204E5"/>
    <w:rsid w:val="0092063E"/>
    <w:rsid w:val="00920BBE"/>
    <w:rsid w:val="00920C15"/>
    <w:rsid w:val="00920F20"/>
    <w:rsid w:val="009216E8"/>
    <w:rsid w:val="009217AA"/>
    <w:rsid w:val="00921989"/>
    <w:rsid w:val="00922095"/>
    <w:rsid w:val="00922428"/>
    <w:rsid w:val="00922CC6"/>
    <w:rsid w:val="00922F69"/>
    <w:rsid w:val="009232F1"/>
    <w:rsid w:val="00923463"/>
    <w:rsid w:val="00923485"/>
    <w:rsid w:val="009239A4"/>
    <w:rsid w:val="00923EBE"/>
    <w:rsid w:val="00924328"/>
    <w:rsid w:val="0092453D"/>
    <w:rsid w:val="00924F57"/>
    <w:rsid w:val="0092501A"/>
    <w:rsid w:val="0092506E"/>
    <w:rsid w:val="00925647"/>
    <w:rsid w:val="00925BE3"/>
    <w:rsid w:val="0092611E"/>
    <w:rsid w:val="00926577"/>
    <w:rsid w:val="00926C4F"/>
    <w:rsid w:val="00926D03"/>
    <w:rsid w:val="00926E49"/>
    <w:rsid w:val="009271C1"/>
    <w:rsid w:val="009271C7"/>
    <w:rsid w:val="00927248"/>
    <w:rsid w:val="0092735B"/>
    <w:rsid w:val="00927518"/>
    <w:rsid w:val="00927521"/>
    <w:rsid w:val="0092764C"/>
    <w:rsid w:val="009276CD"/>
    <w:rsid w:val="00927920"/>
    <w:rsid w:val="00927923"/>
    <w:rsid w:val="0093005D"/>
    <w:rsid w:val="009303F3"/>
    <w:rsid w:val="009304D9"/>
    <w:rsid w:val="00930740"/>
    <w:rsid w:val="00930A19"/>
    <w:rsid w:val="00930BE3"/>
    <w:rsid w:val="00930D34"/>
    <w:rsid w:val="0093143C"/>
    <w:rsid w:val="00931445"/>
    <w:rsid w:val="00931492"/>
    <w:rsid w:val="00931732"/>
    <w:rsid w:val="009319EC"/>
    <w:rsid w:val="00931ABB"/>
    <w:rsid w:val="0093216E"/>
    <w:rsid w:val="00932263"/>
    <w:rsid w:val="00932391"/>
    <w:rsid w:val="009323B5"/>
    <w:rsid w:val="00932F1E"/>
    <w:rsid w:val="00933554"/>
    <w:rsid w:val="00933D57"/>
    <w:rsid w:val="00933D6A"/>
    <w:rsid w:val="00933F6E"/>
    <w:rsid w:val="00934042"/>
    <w:rsid w:val="009340AD"/>
    <w:rsid w:val="00934407"/>
    <w:rsid w:val="009346FD"/>
    <w:rsid w:val="00934952"/>
    <w:rsid w:val="00934CA1"/>
    <w:rsid w:val="009350BB"/>
    <w:rsid w:val="00935198"/>
    <w:rsid w:val="0093569C"/>
    <w:rsid w:val="0093584D"/>
    <w:rsid w:val="009358DC"/>
    <w:rsid w:val="00935942"/>
    <w:rsid w:val="00935F6C"/>
    <w:rsid w:val="00935FC2"/>
    <w:rsid w:val="009364AC"/>
    <w:rsid w:val="00936678"/>
    <w:rsid w:val="00936B7E"/>
    <w:rsid w:val="00936F35"/>
    <w:rsid w:val="009370B6"/>
    <w:rsid w:val="009379DF"/>
    <w:rsid w:val="00937C07"/>
    <w:rsid w:val="00937C24"/>
    <w:rsid w:val="00940111"/>
    <w:rsid w:val="009401E3"/>
    <w:rsid w:val="00940A5C"/>
    <w:rsid w:val="00940E12"/>
    <w:rsid w:val="009410B2"/>
    <w:rsid w:val="009410FA"/>
    <w:rsid w:val="0094119D"/>
    <w:rsid w:val="009412AF"/>
    <w:rsid w:val="0094165D"/>
    <w:rsid w:val="00941A54"/>
    <w:rsid w:val="009420AD"/>
    <w:rsid w:val="0094217D"/>
    <w:rsid w:val="0094244D"/>
    <w:rsid w:val="00942B84"/>
    <w:rsid w:val="00943BC1"/>
    <w:rsid w:val="00943C9D"/>
    <w:rsid w:val="00943DD4"/>
    <w:rsid w:val="00944710"/>
    <w:rsid w:val="0094482F"/>
    <w:rsid w:val="00944854"/>
    <w:rsid w:val="009449D0"/>
    <w:rsid w:val="0094520A"/>
    <w:rsid w:val="009458E8"/>
    <w:rsid w:val="00945981"/>
    <w:rsid w:val="00945ACE"/>
    <w:rsid w:val="00945B45"/>
    <w:rsid w:val="00945D02"/>
    <w:rsid w:val="00945DBD"/>
    <w:rsid w:val="00945F66"/>
    <w:rsid w:val="00945F7C"/>
    <w:rsid w:val="009461A7"/>
    <w:rsid w:val="00946346"/>
    <w:rsid w:val="00946591"/>
    <w:rsid w:val="00947187"/>
    <w:rsid w:val="009472C2"/>
    <w:rsid w:val="009476A2"/>
    <w:rsid w:val="00947734"/>
    <w:rsid w:val="009478F8"/>
    <w:rsid w:val="0094793D"/>
    <w:rsid w:val="009501AB"/>
    <w:rsid w:val="0095045E"/>
    <w:rsid w:val="0095049A"/>
    <w:rsid w:val="00950724"/>
    <w:rsid w:val="00950746"/>
    <w:rsid w:val="0095096D"/>
    <w:rsid w:val="00950A61"/>
    <w:rsid w:val="00950A66"/>
    <w:rsid w:val="00950C10"/>
    <w:rsid w:val="00950DF1"/>
    <w:rsid w:val="009516AC"/>
    <w:rsid w:val="00951899"/>
    <w:rsid w:val="00951AC8"/>
    <w:rsid w:val="00951C2D"/>
    <w:rsid w:val="00951CAB"/>
    <w:rsid w:val="00951EC8"/>
    <w:rsid w:val="009521AA"/>
    <w:rsid w:val="009521CB"/>
    <w:rsid w:val="009523E4"/>
    <w:rsid w:val="00952764"/>
    <w:rsid w:val="00952C41"/>
    <w:rsid w:val="009530A9"/>
    <w:rsid w:val="00953FF4"/>
    <w:rsid w:val="009540C2"/>
    <w:rsid w:val="00954121"/>
    <w:rsid w:val="009542A8"/>
    <w:rsid w:val="00954516"/>
    <w:rsid w:val="0095451D"/>
    <w:rsid w:val="009546D1"/>
    <w:rsid w:val="00955E2E"/>
    <w:rsid w:val="00955E77"/>
    <w:rsid w:val="0095614B"/>
    <w:rsid w:val="00956716"/>
    <w:rsid w:val="00956943"/>
    <w:rsid w:val="00957017"/>
    <w:rsid w:val="009570A3"/>
    <w:rsid w:val="009571BB"/>
    <w:rsid w:val="00957D5E"/>
    <w:rsid w:val="009605A4"/>
    <w:rsid w:val="00960BA0"/>
    <w:rsid w:val="00960ECA"/>
    <w:rsid w:val="009610EE"/>
    <w:rsid w:val="009618E3"/>
    <w:rsid w:val="00961C14"/>
    <w:rsid w:val="00961D41"/>
    <w:rsid w:val="009621E7"/>
    <w:rsid w:val="009623DB"/>
    <w:rsid w:val="0096248D"/>
    <w:rsid w:val="00962678"/>
    <w:rsid w:val="00962A75"/>
    <w:rsid w:val="00962CD7"/>
    <w:rsid w:val="00963267"/>
    <w:rsid w:val="00963927"/>
    <w:rsid w:val="00963D4D"/>
    <w:rsid w:val="009640E5"/>
    <w:rsid w:val="00964896"/>
    <w:rsid w:val="00964D9A"/>
    <w:rsid w:val="00965466"/>
    <w:rsid w:val="00965928"/>
    <w:rsid w:val="00965D36"/>
    <w:rsid w:val="00965EDB"/>
    <w:rsid w:val="00966071"/>
    <w:rsid w:val="0096619A"/>
    <w:rsid w:val="00966AED"/>
    <w:rsid w:val="009671E5"/>
    <w:rsid w:val="009674FA"/>
    <w:rsid w:val="0096751D"/>
    <w:rsid w:val="00967727"/>
    <w:rsid w:val="00967A1C"/>
    <w:rsid w:val="00967A3B"/>
    <w:rsid w:val="00967CB2"/>
    <w:rsid w:val="00967F7B"/>
    <w:rsid w:val="00970186"/>
    <w:rsid w:val="00970494"/>
    <w:rsid w:val="00970646"/>
    <w:rsid w:val="009708E2"/>
    <w:rsid w:val="00970D74"/>
    <w:rsid w:val="0097107C"/>
    <w:rsid w:val="00971291"/>
    <w:rsid w:val="00972407"/>
    <w:rsid w:val="009732E7"/>
    <w:rsid w:val="009733FD"/>
    <w:rsid w:val="00973634"/>
    <w:rsid w:val="00973DE4"/>
    <w:rsid w:val="00973EBC"/>
    <w:rsid w:val="009744C6"/>
    <w:rsid w:val="009744EC"/>
    <w:rsid w:val="00975017"/>
    <w:rsid w:val="009753A8"/>
    <w:rsid w:val="0097541F"/>
    <w:rsid w:val="0097597D"/>
    <w:rsid w:val="00975BE7"/>
    <w:rsid w:val="0097619B"/>
    <w:rsid w:val="009764A7"/>
    <w:rsid w:val="00976608"/>
    <w:rsid w:val="00976833"/>
    <w:rsid w:val="00976890"/>
    <w:rsid w:val="00976FD4"/>
    <w:rsid w:val="009776A5"/>
    <w:rsid w:val="009777D3"/>
    <w:rsid w:val="009777F0"/>
    <w:rsid w:val="009777F2"/>
    <w:rsid w:val="00977A59"/>
    <w:rsid w:val="00980074"/>
    <w:rsid w:val="00980C24"/>
    <w:rsid w:val="00980C68"/>
    <w:rsid w:val="009811FE"/>
    <w:rsid w:val="0098158B"/>
    <w:rsid w:val="0098178E"/>
    <w:rsid w:val="009818B9"/>
    <w:rsid w:val="00981C07"/>
    <w:rsid w:val="00981C86"/>
    <w:rsid w:val="00981CCC"/>
    <w:rsid w:val="0098220E"/>
    <w:rsid w:val="00982264"/>
    <w:rsid w:val="009822AD"/>
    <w:rsid w:val="00982804"/>
    <w:rsid w:val="00982934"/>
    <w:rsid w:val="00982D60"/>
    <w:rsid w:val="009830DE"/>
    <w:rsid w:val="009831B9"/>
    <w:rsid w:val="00983345"/>
    <w:rsid w:val="00983899"/>
    <w:rsid w:val="00983B3E"/>
    <w:rsid w:val="00983C38"/>
    <w:rsid w:val="00983D4A"/>
    <w:rsid w:val="00983E9E"/>
    <w:rsid w:val="0098412E"/>
    <w:rsid w:val="00984600"/>
    <w:rsid w:val="00984686"/>
    <w:rsid w:val="00984729"/>
    <w:rsid w:val="009847F7"/>
    <w:rsid w:val="009848A1"/>
    <w:rsid w:val="0098564F"/>
    <w:rsid w:val="00985D8C"/>
    <w:rsid w:val="00985F41"/>
    <w:rsid w:val="00986044"/>
    <w:rsid w:val="009867F2"/>
    <w:rsid w:val="00986903"/>
    <w:rsid w:val="00986F6C"/>
    <w:rsid w:val="00987C15"/>
    <w:rsid w:val="00987EAC"/>
    <w:rsid w:val="00990376"/>
    <w:rsid w:val="009903D1"/>
    <w:rsid w:val="009904B9"/>
    <w:rsid w:val="00992183"/>
    <w:rsid w:val="009921E5"/>
    <w:rsid w:val="00992979"/>
    <w:rsid w:val="00992AD3"/>
    <w:rsid w:val="00992BC8"/>
    <w:rsid w:val="00993137"/>
    <w:rsid w:val="0099327C"/>
    <w:rsid w:val="00993E1D"/>
    <w:rsid w:val="00994573"/>
    <w:rsid w:val="0099462D"/>
    <w:rsid w:val="009946C4"/>
    <w:rsid w:val="009948F9"/>
    <w:rsid w:val="00994AB8"/>
    <w:rsid w:val="009952CE"/>
    <w:rsid w:val="009953DD"/>
    <w:rsid w:val="0099560A"/>
    <w:rsid w:val="00995CDF"/>
    <w:rsid w:val="00995D16"/>
    <w:rsid w:val="0099621F"/>
    <w:rsid w:val="009963F4"/>
    <w:rsid w:val="00996D40"/>
    <w:rsid w:val="00997379"/>
    <w:rsid w:val="00997C21"/>
    <w:rsid w:val="00997C82"/>
    <w:rsid w:val="00997D8E"/>
    <w:rsid w:val="00997F0F"/>
    <w:rsid w:val="00997F74"/>
    <w:rsid w:val="009A0201"/>
    <w:rsid w:val="009A0448"/>
    <w:rsid w:val="009A0704"/>
    <w:rsid w:val="009A1826"/>
    <w:rsid w:val="009A1C92"/>
    <w:rsid w:val="009A1CDA"/>
    <w:rsid w:val="009A20B8"/>
    <w:rsid w:val="009A21F4"/>
    <w:rsid w:val="009A24DF"/>
    <w:rsid w:val="009A328C"/>
    <w:rsid w:val="009A33D7"/>
    <w:rsid w:val="009A3647"/>
    <w:rsid w:val="009A37F4"/>
    <w:rsid w:val="009A4008"/>
    <w:rsid w:val="009A41A8"/>
    <w:rsid w:val="009A4393"/>
    <w:rsid w:val="009A4851"/>
    <w:rsid w:val="009A4ECD"/>
    <w:rsid w:val="009A506E"/>
    <w:rsid w:val="009A50C2"/>
    <w:rsid w:val="009A51BD"/>
    <w:rsid w:val="009A543C"/>
    <w:rsid w:val="009A59AD"/>
    <w:rsid w:val="009A5B15"/>
    <w:rsid w:val="009A5CC8"/>
    <w:rsid w:val="009A5D06"/>
    <w:rsid w:val="009A6270"/>
    <w:rsid w:val="009A6CE3"/>
    <w:rsid w:val="009A6E61"/>
    <w:rsid w:val="009A70B3"/>
    <w:rsid w:val="009A71CB"/>
    <w:rsid w:val="009A75B1"/>
    <w:rsid w:val="009A7718"/>
    <w:rsid w:val="009A7890"/>
    <w:rsid w:val="009A7E2D"/>
    <w:rsid w:val="009A7EEE"/>
    <w:rsid w:val="009B0062"/>
    <w:rsid w:val="009B0332"/>
    <w:rsid w:val="009B06E0"/>
    <w:rsid w:val="009B0FCD"/>
    <w:rsid w:val="009B133D"/>
    <w:rsid w:val="009B1464"/>
    <w:rsid w:val="009B15CF"/>
    <w:rsid w:val="009B1813"/>
    <w:rsid w:val="009B2095"/>
    <w:rsid w:val="009B2324"/>
    <w:rsid w:val="009B2460"/>
    <w:rsid w:val="009B2589"/>
    <w:rsid w:val="009B264C"/>
    <w:rsid w:val="009B2B70"/>
    <w:rsid w:val="009B2E88"/>
    <w:rsid w:val="009B30AF"/>
    <w:rsid w:val="009B319C"/>
    <w:rsid w:val="009B32F7"/>
    <w:rsid w:val="009B3CB4"/>
    <w:rsid w:val="009B42D2"/>
    <w:rsid w:val="009B44FF"/>
    <w:rsid w:val="009B4643"/>
    <w:rsid w:val="009B49EC"/>
    <w:rsid w:val="009B4FEC"/>
    <w:rsid w:val="009B53C6"/>
    <w:rsid w:val="009B53DB"/>
    <w:rsid w:val="009B557F"/>
    <w:rsid w:val="009B68F1"/>
    <w:rsid w:val="009B708D"/>
    <w:rsid w:val="009B7158"/>
    <w:rsid w:val="009B71F2"/>
    <w:rsid w:val="009B7376"/>
    <w:rsid w:val="009B7609"/>
    <w:rsid w:val="009B77E3"/>
    <w:rsid w:val="009B7B90"/>
    <w:rsid w:val="009B7DFF"/>
    <w:rsid w:val="009C0661"/>
    <w:rsid w:val="009C0A2E"/>
    <w:rsid w:val="009C0B81"/>
    <w:rsid w:val="009C0DF3"/>
    <w:rsid w:val="009C0F49"/>
    <w:rsid w:val="009C1144"/>
    <w:rsid w:val="009C11C3"/>
    <w:rsid w:val="009C1397"/>
    <w:rsid w:val="009C2385"/>
    <w:rsid w:val="009C2BE4"/>
    <w:rsid w:val="009C2CDA"/>
    <w:rsid w:val="009C2DAC"/>
    <w:rsid w:val="009C2E18"/>
    <w:rsid w:val="009C32E7"/>
    <w:rsid w:val="009C3657"/>
    <w:rsid w:val="009C3C54"/>
    <w:rsid w:val="009C3C8A"/>
    <w:rsid w:val="009C441A"/>
    <w:rsid w:val="009C4948"/>
    <w:rsid w:val="009C4A37"/>
    <w:rsid w:val="009C4A39"/>
    <w:rsid w:val="009C4F71"/>
    <w:rsid w:val="009C4F7F"/>
    <w:rsid w:val="009C5218"/>
    <w:rsid w:val="009C5852"/>
    <w:rsid w:val="009C59ED"/>
    <w:rsid w:val="009C59F5"/>
    <w:rsid w:val="009C5DB5"/>
    <w:rsid w:val="009C5E7A"/>
    <w:rsid w:val="009C62F8"/>
    <w:rsid w:val="009C6A91"/>
    <w:rsid w:val="009C6E83"/>
    <w:rsid w:val="009C72CD"/>
    <w:rsid w:val="009C7B26"/>
    <w:rsid w:val="009C7F92"/>
    <w:rsid w:val="009D009B"/>
    <w:rsid w:val="009D04AE"/>
    <w:rsid w:val="009D0730"/>
    <w:rsid w:val="009D07BF"/>
    <w:rsid w:val="009D0E2F"/>
    <w:rsid w:val="009D1426"/>
    <w:rsid w:val="009D1493"/>
    <w:rsid w:val="009D1911"/>
    <w:rsid w:val="009D1F21"/>
    <w:rsid w:val="009D1F31"/>
    <w:rsid w:val="009D22CC"/>
    <w:rsid w:val="009D22E2"/>
    <w:rsid w:val="009D22E3"/>
    <w:rsid w:val="009D23DE"/>
    <w:rsid w:val="009D280C"/>
    <w:rsid w:val="009D28BC"/>
    <w:rsid w:val="009D2D6F"/>
    <w:rsid w:val="009D3050"/>
    <w:rsid w:val="009D39A4"/>
    <w:rsid w:val="009D3E7D"/>
    <w:rsid w:val="009D4070"/>
    <w:rsid w:val="009D48C2"/>
    <w:rsid w:val="009D4CEB"/>
    <w:rsid w:val="009D5B8A"/>
    <w:rsid w:val="009D607B"/>
    <w:rsid w:val="009D64B6"/>
    <w:rsid w:val="009D6673"/>
    <w:rsid w:val="009D677F"/>
    <w:rsid w:val="009D67CF"/>
    <w:rsid w:val="009D6AD7"/>
    <w:rsid w:val="009D7858"/>
    <w:rsid w:val="009D7EC6"/>
    <w:rsid w:val="009D7ED5"/>
    <w:rsid w:val="009E01E1"/>
    <w:rsid w:val="009E06CF"/>
    <w:rsid w:val="009E0A24"/>
    <w:rsid w:val="009E1140"/>
    <w:rsid w:val="009E1218"/>
    <w:rsid w:val="009E1300"/>
    <w:rsid w:val="009E15D9"/>
    <w:rsid w:val="009E1619"/>
    <w:rsid w:val="009E1B95"/>
    <w:rsid w:val="009E2035"/>
    <w:rsid w:val="009E21D7"/>
    <w:rsid w:val="009E25AA"/>
    <w:rsid w:val="009E2AD3"/>
    <w:rsid w:val="009E2B07"/>
    <w:rsid w:val="009E2CF1"/>
    <w:rsid w:val="009E2FE8"/>
    <w:rsid w:val="009E30A6"/>
    <w:rsid w:val="009E30EA"/>
    <w:rsid w:val="009E397E"/>
    <w:rsid w:val="009E3B84"/>
    <w:rsid w:val="009E3BDD"/>
    <w:rsid w:val="009E3EB1"/>
    <w:rsid w:val="009E41BA"/>
    <w:rsid w:val="009E485F"/>
    <w:rsid w:val="009E4CF6"/>
    <w:rsid w:val="009E5254"/>
    <w:rsid w:val="009E53EF"/>
    <w:rsid w:val="009E5634"/>
    <w:rsid w:val="009E5A57"/>
    <w:rsid w:val="009E5B2B"/>
    <w:rsid w:val="009E5D03"/>
    <w:rsid w:val="009E5E6D"/>
    <w:rsid w:val="009E630B"/>
    <w:rsid w:val="009E63C6"/>
    <w:rsid w:val="009E6602"/>
    <w:rsid w:val="009E66DF"/>
    <w:rsid w:val="009E6779"/>
    <w:rsid w:val="009E6F05"/>
    <w:rsid w:val="009E7150"/>
    <w:rsid w:val="009E73CE"/>
    <w:rsid w:val="009E7D7F"/>
    <w:rsid w:val="009E7E6F"/>
    <w:rsid w:val="009E7FE6"/>
    <w:rsid w:val="009F0050"/>
    <w:rsid w:val="009F02C5"/>
    <w:rsid w:val="009F047D"/>
    <w:rsid w:val="009F0C01"/>
    <w:rsid w:val="009F0E76"/>
    <w:rsid w:val="009F11DB"/>
    <w:rsid w:val="009F167A"/>
    <w:rsid w:val="009F182B"/>
    <w:rsid w:val="009F194F"/>
    <w:rsid w:val="009F1AA4"/>
    <w:rsid w:val="009F1B51"/>
    <w:rsid w:val="009F1EF3"/>
    <w:rsid w:val="009F2880"/>
    <w:rsid w:val="009F2A5A"/>
    <w:rsid w:val="009F3128"/>
    <w:rsid w:val="009F351A"/>
    <w:rsid w:val="009F380F"/>
    <w:rsid w:val="009F3D2C"/>
    <w:rsid w:val="009F4035"/>
    <w:rsid w:val="009F4121"/>
    <w:rsid w:val="009F4209"/>
    <w:rsid w:val="009F45FB"/>
    <w:rsid w:val="009F4765"/>
    <w:rsid w:val="009F4994"/>
    <w:rsid w:val="009F644A"/>
    <w:rsid w:val="009F64EC"/>
    <w:rsid w:val="009F6679"/>
    <w:rsid w:val="009F67D0"/>
    <w:rsid w:val="009F749A"/>
    <w:rsid w:val="00A003EE"/>
    <w:rsid w:val="00A00556"/>
    <w:rsid w:val="00A008FE"/>
    <w:rsid w:val="00A011CA"/>
    <w:rsid w:val="00A013F0"/>
    <w:rsid w:val="00A016A1"/>
    <w:rsid w:val="00A0184C"/>
    <w:rsid w:val="00A01B37"/>
    <w:rsid w:val="00A01D63"/>
    <w:rsid w:val="00A020E5"/>
    <w:rsid w:val="00A02485"/>
    <w:rsid w:val="00A024E5"/>
    <w:rsid w:val="00A02553"/>
    <w:rsid w:val="00A025B9"/>
    <w:rsid w:val="00A0405B"/>
    <w:rsid w:val="00A044DF"/>
    <w:rsid w:val="00A04695"/>
    <w:rsid w:val="00A04BC9"/>
    <w:rsid w:val="00A04C59"/>
    <w:rsid w:val="00A04CCB"/>
    <w:rsid w:val="00A04DCC"/>
    <w:rsid w:val="00A050BF"/>
    <w:rsid w:val="00A0586C"/>
    <w:rsid w:val="00A058AD"/>
    <w:rsid w:val="00A058B8"/>
    <w:rsid w:val="00A05D69"/>
    <w:rsid w:val="00A05DA1"/>
    <w:rsid w:val="00A05F0A"/>
    <w:rsid w:val="00A05FA7"/>
    <w:rsid w:val="00A06077"/>
    <w:rsid w:val="00A060F2"/>
    <w:rsid w:val="00A0675D"/>
    <w:rsid w:val="00A06A6C"/>
    <w:rsid w:val="00A06EEE"/>
    <w:rsid w:val="00A07287"/>
    <w:rsid w:val="00A07801"/>
    <w:rsid w:val="00A07DA2"/>
    <w:rsid w:val="00A1014F"/>
    <w:rsid w:val="00A10679"/>
    <w:rsid w:val="00A106B2"/>
    <w:rsid w:val="00A10CDD"/>
    <w:rsid w:val="00A11120"/>
    <w:rsid w:val="00A1123D"/>
    <w:rsid w:val="00A113B1"/>
    <w:rsid w:val="00A116E3"/>
    <w:rsid w:val="00A11775"/>
    <w:rsid w:val="00A118FD"/>
    <w:rsid w:val="00A1235A"/>
    <w:rsid w:val="00A12554"/>
    <w:rsid w:val="00A12D62"/>
    <w:rsid w:val="00A12E28"/>
    <w:rsid w:val="00A134A2"/>
    <w:rsid w:val="00A13857"/>
    <w:rsid w:val="00A138B4"/>
    <w:rsid w:val="00A13928"/>
    <w:rsid w:val="00A13AED"/>
    <w:rsid w:val="00A146FB"/>
    <w:rsid w:val="00A14909"/>
    <w:rsid w:val="00A14DB0"/>
    <w:rsid w:val="00A1521B"/>
    <w:rsid w:val="00A155BE"/>
    <w:rsid w:val="00A15927"/>
    <w:rsid w:val="00A159EC"/>
    <w:rsid w:val="00A15AE6"/>
    <w:rsid w:val="00A15C5F"/>
    <w:rsid w:val="00A15CF4"/>
    <w:rsid w:val="00A161E3"/>
    <w:rsid w:val="00A1623B"/>
    <w:rsid w:val="00A16750"/>
    <w:rsid w:val="00A16A0C"/>
    <w:rsid w:val="00A17478"/>
    <w:rsid w:val="00A17B9B"/>
    <w:rsid w:val="00A20440"/>
    <w:rsid w:val="00A208C4"/>
    <w:rsid w:val="00A21105"/>
    <w:rsid w:val="00A214F7"/>
    <w:rsid w:val="00A216A3"/>
    <w:rsid w:val="00A21FD5"/>
    <w:rsid w:val="00A221C4"/>
    <w:rsid w:val="00A2221F"/>
    <w:rsid w:val="00A22530"/>
    <w:rsid w:val="00A225C4"/>
    <w:rsid w:val="00A2271F"/>
    <w:rsid w:val="00A22B02"/>
    <w:rsid w:val="00A237F8"/>
    <w:rsid w:val="00A238D1"/>
    <w:rsid w:val="00A23A8A"/>
    <w:rsid w:val="00A23B09"/>
    <w:rsid w:val="00A24681"/>
    <w:rsid w:val="00A247EB"/>
    <w:rsid w:val="00A248DA"/>
    <w:rsid w:val="00A25047"/>
    <w:rsid w:val="00A250C3"/>
    <w:rsid w:val="00A25110"/>
    <w:rsid w:val="00A2538A"/>
    <w:rsid w:val="00A25999"/>
    <w:rsid w:val="00A267F6"/>
    <w:rsid w:val="00A26AC4"/>
    <w:rsid w:val="00A26BBF"/>
    <w:rsid w:val="00A2711C"/>
    <w:rsid w:val="00A271D4"/>
    <w:rsid w:val="00A275F5"/>
    <w:rsid w:val="00A27E4D"/>
    <w:rsid w:val="00A3023A"/>
    <w:rsid w:val="00A306A9"/>
    <w:rsid w:val="00A30DF7"/>
    <w:rsid w:val="00A30EB6"/>
    <w:rsid w:val="00A30F32"/>
    <w:rsid w:val="00A3107B"/>
    <w:rsid w:val="00A3110A"/>
    <w:rsid w:val="00A31E24"/>
    <w:rsid w:val="00A320E2"/>
    <w:rsid w:val="00A32182"/>
    <w:rsid w:val="00A324BD"/>
    <w:rsid w:val="00A324E7"/>
    <w:rsid w:val="00A326D4"/>
    <w:rsid w:val="00A328AD"/>
    <w:rsid w:val="00A32ACC"/>
    <w:rsid w:val="00A32BE0"/>
    <w:rsid w:val="00A32EB9"/>
    <w:rsid w:val="00A3305D"/>
    <w:rsid w:val="00A3322E"/>
    <w:rsid w:val="00A33D0D"/>
    <w:rsid w:val="00A33D32"/>
    <w:rsid w:val="00A340B2"/>
    <w:rsid w:val="00A34523"/>
    <w:rsid w:val="00A34EB1"/>
    <w:rsid w:val="00A357CF"/>
    <w:rsid w:val="00A359B0"/>
    <w:rsid w:val="00A35FAB"/>
    <w:rsid w:val="00A361CE"/>
    <w:rsid w:val="00A365E3"/>
    <w:rsid w:val="00A36A08"/>
    <w:rsid w:val="00A372D9"/>
    <w:rsid w:val="00A37C01"/>
    <w:rsid w:val="00A37D9B"/>
    <w:rsid w:val="00A37FA3"/>
    <w:rsid w:val="00A4019D"/>
    <w:rsid w:val="00A40378"/>
    <w:rsid w:val="00A4037B"/>
    <w:rsid w:val="00A406C1"/>
    <w:rsid w:val="00A40844"/>
    <w:rsid w:val="00A40CA3"/>
    <w:rsid w:val="00A41046"/>
    <w:rsid w:val="00A415A6"/>
    <w:rsid w:val="00A4188E"/>
    <w:rsid w:val="00A418FC"/>
    <w:rsid w:val="00A41DF8"/>
    <w:rsid w:val="00A41F72"/>
    <w:rsid w:val="00A41FCC"/>
    <w:rsid w:val="00A425FF"/>
    <w:rsid w:val="00A4291A"/>
    <w:rsid w:val="00A42988"/>
    <w:rsid w:val="00A42DB9"/>
    <w:rsid w:val="00A430C8"/>
    <w:rsid w:val="00A43512"/>
    <w:rsid w:val="00A43588"/>
    <w:rsid w:val="00A436AD"/>
    <w:rsid w:val="00A43F4C"/>
    <w:rsid w:val="00A44433"/>
    <w:rsid w:val="00A4457C"/>
    <w:rsid w:val="00A44985"/>
    <w:rsid w:val="00A44D11"/>
    <w:rsid w:val="00A44DB5"/>
    <w:rsid w:val="00A45355"/>
    <w:rsid w:val="00A45555"/>
    <w:rsid w:val="00A45720"/>
    <w:rsid w:val="00A4594B"/>
    <w:rsid w:val="00A459B1"/>
    <w:rsid w:val="00A46073"/>
    <w:rsid w:val="00A465DB"/>
    <w:rsid w:val="00A46604"/>
    <w:rsid w:val="00A4670F"/>
    <w:rsid w:val="00A4691C"/>
    <w:rsid w:val="00A46D71"/>
    <w:rsid w:val="00A46DAD"/>
    <w:rsid w:val="00A471D0"/>
    <w:rsid w:val="00A4747A"/>
    <w:rsid w:val="00A4764F"/>
    <w:rsid w:val="00A4794C"/>
    <w:rsid w:val="00A47EE5"/>
    <w:rsid w:val="00A506CE"/>
    <w:rsid w:val="00A50EB3"/>
    <w:rsid w:val="00A5112F"/>
    <w:rsid w:val="00A514B3"/>
    <w:rsid w:val="00A52192"/>
    <w:rsid w:val="00A52731"/>
    <w:rsid w:val="00A52BD3"/>
    <w:rsid w:val="00A53346"/>
    <w:rsid w:val="00A53348"/>
    <w:rsid w:val="00A53422"/>
    <w:rsid w:val="00A53B59"/>
    <w:rsid w:val="00A53D8C"/>
    <w:rsid w:val="00A53DBD"/>
    <w:rsid w:val="00A53F66"/>
    <w:rsid w:val="00A54880"/>
    <w:rsid w:val="00A5538E"/>
    <w:rsid w:val="00A553EC"/>
    <w:rsid w:val="00A55433"/>
    <w:rsid w:val="00A55758"/>
    <w:rsid w:val="00A5583C"/>
    <w:rsid w:val="00A55975"/>
    <w:rsid w:val="00A55ABD"/>
    <w:rsid w:val="00A55BF6"/>
    <w:rsid w:val="00A55D1A"/>
    <w:rsid w:val="00A563B6"/>
    <w:rsid w:val="00A56462"/>
    <w:rsid w:val="00A565AB"/>
    <w:rsid w:val="00A56692"/>
    <w:rsid w:val="00A56CF8"/>
    <w:rsid w:val="00A573E8"/>
    <w:rsid w:val="00A577EE"/>
    <w:rsid w:val="00A6019F"/>
    <w:rsid w:val="00A6070C"/>
    <w:rsid w:val="00A60755"/>
    <w:rsid w:val="00A60ADD"/>
    <w:rsid w:val="00A60DD9"/>
    <w:rsid w:val="00A60E71"/>
    <w:rsid w:val="00A6101D"/>
    <w:rsid w:val="00A61056"/>
    <w:rsid w:val="00A611B2"/>
    <w:rsid w:val="00A617B9"/>
    <w:rsid w:val="00A6189A"/>
    <w:rsid w:val="00A61985"/>
    <w:rsid w:val="00A61E5C"/>
    <w:rsid w:val="00A62342"/>
    <w:rsid w:val="00A623D9"/>
    <w:rsid w:val="00A626BD"/>
    <w:rsid w:val="00A626E1"/>
    <w:rsid w:val="00A627BD"/>
    <w:rsid w:val="00A63787"/>
    <w:rsid w:val="00A63B34"/>
    <w:rsid w:val="00A63BFA"/>
    <w:rsid w:val="00A63C9E"/>
    <w:rsid w:val="00A63D14"/>
    <w:rsid w:val="00A64137"/>
    <w:rsid w:val="00A64D78"/>
    <w:rsid w:val="00A64F1D"/>
    <w:rsid w:val="00A65F3A"/>
    <w:rsid w:val="00A65FDD"/>
    <w:rsid w:val="00A66532"/>
    <w:rsid w:val="00A6696D"/>
    <w:rsid w:val="00A66EB1"/>
    <w:rsid w:val="00A66FC6"/>
    <w:rsid w:val="00A670A1"/>
    <w:rsid w:val="00A67340"/>
    <w:rsid w:val="00A677D6"/>
    <w:rsid w:val="00A67A11"/>
    <w:rsid w:val="00A67B01"/>
    <w:rsid w:val="00A706CB"/>
    <w:rsid w:val="00A70773"/>
    <w:rsid w:val="00A7083C"/>
    <w:rsid w:val="00A70A4C"/>
    <w:rsid w:val="00A70A5F"/>
    <w:rsid w:val="00A70A90"/>
    <w:rsid w:val="00A70BCA"/>
    <w:rsid w:val="00A7143B"/>
    <w:rsid w:val="00A71D6E"/>
    <w:rsid w:val="00A71DBC"/>
    <w:rsid w:val="00A7214B"/>
    <w:rsid w:val="00A725F9"/>
    <w:rsid w:val="00A72C70"/>
    <w:rsid w:val="00A72E02"/>
    <w:rsid w:val="00A7318A"/>
    <w:rsid w:val="00A7362E"/>
    <w:rsid w:val="00A73D7C"/>
    <w:rsid w:val="00A74758"/>
    <w:rsid w:val="00A74BF3"/>
    <w:rsid w:val="00A74ED4"/>
    <w:rsid w:val="00A75234"/>
    <w:rsid w:val="00A752F0"/>
    <w:rsid w:val="00A75692"/>
    <w:rsid w:val="00A757CB"/>
    <w:rsid w:val="00A757E5"/>
    <w:rsid w:val="00A76203"/>
    <w:rsid w:val="00A76413"/>
    <w:rsid w:val="00A7663D"/>
    <w:rsid w:val="00A767DA"/>
    <w:rsid w:val="00A767DC"/>
    <w:rsid w:val="00A76E04"/>
    <w:rsid w:val="00A76E17"/>
    <w:rsid w:val="00A76E3F"/>
    <w:rsid w:val="00A76EF8"/>
    <w:rsid w:val="00A774D3"/>
    <w:rsid w:val="00A77B72"/>
    <w:rsid w:val="00A77BE8"/>
    <w:rsid w:val="00A77DB6"/>
    <w:rsid w:val="00A800D7"/>
    <w:rsid w:val="00A8094A"/>
    <w:rsid w:val="00A81877"/>
    <w:rsid w:val="00A8194C"/>
    <w:rsid w:val="00A81D62"/>
    <w:rsid w:val="00A81D7E"/>
    <w:rsid w:val="00A81E31"/>
    <w:rsid w:val="00A82355"/>
    <w:rsid w:val="00A82485"/>
    <w:rsid w:val="00A824D8"/>
    <w:rsid w:val="00A824FD"/>
    <w:rsid w:val="00A82692"/>
    <w:rsid w:val="00A8292A"/>
    <w:rsid w:val="00A83A78"/>
    <w:rsid w:val="00A83C74"/>
    <w:rsid w:val="00A83C96"/>
    <w:rsid w:val="00A83DDC"/>
    <w:rsid w:val="00A83F2E"/>
    <w:rsid w:val="00A84554"/>
    <w:rsid w:val="00A84A51"/>
    <w:rsid w:val="00A850C3"/>
    <w:rsid w:val="00A858DE"/>
    <w:rsid w:val="00A85988"/>
    <w:rsid w:val="00A85FE8"/>
    <w:rsid w:val="00A861C7"/>
    <w:rsid w:val="00A86650"/>
    <w:rsid w:val="00A87429"/>
    <w:rsid w:val="00A8751C"/>
    <w:rsid w:val="00A8778F"/>
    <w:rsid w:val="00A87873"/>
    <w:rsid w:val="00A879E1"/>
    <w:rsid w:val="00A87CB9"/>
    <w:rsid w:val="00A90128"/>
    <w:rsid w:val="00A906A5"/>
    <w:rsid w:val="00A90815"/>
    <w:rsid w:val="00A90B4D"/>
    <w:rsid w:val="00A90DAA"/>
    <w:rsid w:val="00A90E32"/>
    <w:rsid w:val="00A911F5"/>
    <w:rsid w:val="00A9125F"/>
    <w:rsid w:val="00A91408"/>
    <w:rsid w:val="00A915AA"/>
    <w:rsid w:val="00A91A50"/>
    <w:rsid w:val="00A91C2A"/>
    <w:rsid w:val="00A91C53"/>
    <w:rsid w:val="00A91CDC"/>
    <w:rsid w:val="00A9200B"/>
    <w:rsid w:val="00A92299"/>
    <w:rsid w:val="00A9257C"/>
    <w:rsid w:val="00A92A80"/>
    <w:rsid w:val="00A92BA6"/>
    <w:rsid w:val="00A92BBA"/>
    <w:rsid w:val="00A92BC6"/>
    <w:rsid w:val="00A92FD8"/>
    <w:rsid w:val="00A93A4D"/>
    <w:rsid w:val="00A93F07"/>
    <w:rsid w:val="00A94191"/>
    <w:rsid w:val="00A94364"/>
    <w:rsid w:val="00A943E0"/>
    <w:rsid w:val="00A94DA0"/>
    <w:rsid w:val="00A95196"/>
    <w:rsid w:val="00A95202"/>
    <w:rsid w:val="00A9546B"/>
    <w:rsid w:val="00A9555B"/>
    <w:rsid w:val="00A95571"/>
    <w:rsid w:val="00A95810"/>
    <w:rsid w:val="00A95A64"/>
    <w:rsid w:val="00A95D77"/>
    <w:rsid w:val="00A95E67"/>
    <w:rsid w:val="00A96284"/>
    <w:rsid w:val="00A962D0"/>
    <w:rsid w:val="00A968E3"/>
    <w:rsid w:val="00A96DEA"/>
    <w:rsid w:val="00A96FE0"/>
    <w:rsid w:val="00A9704C"/>
    <w:rsid w:val="00A9713E"/>
    <w:rsid w:val="00AA06E9"/>
    <w:rsid w:val="00AA0F8A"/>
    <w:rsid w:val="00AA10F3"/>
    <w:rsid w:val="00AA125B"/>
    <w:rsid w:val="00AA1817"/>
    <w:rsid w:val="00AA1BFB"/>
    <w:rsid w:val="00AA1E58"/>
    <w:rsid w:val="00AA1EF1"/>
    <w:rsid w:val="00AA1FE3"/>
    <w:rsid w:val="00AA2682"/>
    <w:rsid w:val="00AA2A3E"/>
    <w:rsid w:val="00AA2B30"/>
    <w:rsid w:val="00AA2B48"/>
    <w:rsid w:val="00AA2B9F"/>
    <w:rsid w:val="00AA2D72"/>
    <w:rsid w:val="00AA2F25"/>
    <w:rsid w:val="00AA32E6"/>
    <w:rsid w:val="00AA33A3"/>
    <w:rsid w:val="00AA361B"/>
    <w:rsid w:val="00AA3D89"/>
    <w:rsid w:val="00AA3E20"/>
    <w:rsid w:val="00AA3E47"/>
    <w:rsid w:val="00AA3E8D"/>
    <w:rsid w:val="00AA4174"/>
    <w:rsid w:val="00AA462F"/>
    <w:rsid w:val="00AA4741"/>
    <w:rsid w:val="00AA48AD"/>
    <w:rsid w:val="00AA4A60"/>
    <w:rsid w:val="00AA4A81"/>
    <w:rsid w:val="00AA4CB9"/>
    <w:rsid w:val="00AA4D87"/>
    <w:rsid w:val="00AA4E1C"/>
    <w:rsid w:val="00AA4E31"/>
    <w:rsid w:val="00AA515E"/>
    <w:rsid w:val="00AA5304"/>
    <w:rsid w:val="00AA5D1A"/>
    <w:rsid w:val="00AA61ED"/>
    <w:rsid w:val="00AA6670"/>
    <w:rsid w:val="00AA66C2"/>
    <w:rsid w:val="00AA6EB8"/>
    <w:rsid w:val="00AA6F46"/>
    <w:rsid w:val="00AA765D"/>
    <w:rsid w:val="00AA7A75"/>
    <w:rsid w:val="00AA7CF3"/>
    <w:rsid w:val="00AB0071"/>
    <w:rsid w:val="00AB0694"/>
    <w:rsid w:val="00AB1756"/>
    <w:rsid w:val="00AB1918"/>
    <w:rsid w:val="00AB1A08"/>
    <w:rsid w:val="00AB1F2C"/>
    <w:rsid w:val="00AB30BD"/>
    <w:rsid w:val="00AB3307"/>
    <w:rsid w:val="00AB3749"/>
    <w:rsid w:val="00AB3946"/>
    <w:rsid w:val="00AB3B7E"/>
    <w:rsid w:val="00AB3C56"/>
    <w:rsid w:val="00AB3EF4"/>
    <w:rsid w:val="00AB416D"/>
    <w:rsid w:val="00AB4174"/>
    <w:rsid w:val="00AB43CF"/>
    <w:rsid w:val="00AB44FF"/>
    <w:rsid w:val="00AB45BA"/>
    <w:rsid w:val="00AB4C28"/>
    <w:rsid w:val="00AB4DB4"/>
    <w:rsid w:val="00AB4FAB"/>
    <w:rsid w:val="00AB50B2"/>
    <w:rsid w:val="00AB545C"/>
    <w:rsid w:val="00AB571D"/>
    <w:rsid w:val="00AB5988"/>
    <w:rsid w:val="00AB5A43"/>
    <w:rsid w:val="00AB610E"/>
    <w:rsid w:val="00AB6488"/>
    <w:rsid w:val="00AB67BD"/>
    <w:rsid w:val="00AB6905"/>
    <w:rsid w:val="00AB6A20"/>
    <w:rsid w:val="00AB6E93"/>
    <w:rsid w:val="00AB6F4B"/>
    <w:rsid w:val="00AB75CD"/>
    <w:rsid w:val="00AB7AE9"/>
    <w:rsid w:val="00AC05E7"/>
    <w:rsid w:val="00AC061C"/>
    <w:rsid w:val="00AC0A36"/>
    <w:rsid w:val="00AC1454"/>
    <w:rsid w:val="00AC1461"/>
    <w:rsid w:val="00AC15D7"/>
    <w:rsid w:val="00AC1F82"/>
    <w:rsid w:val="00AC2104"/>
    <w:rsid w:val="00AC2554"/>
    <w:rsid w:val="00AC28F6"/>
    <w:rsid w:val="00AC295B"/>
    <w:rsid w:val="00AC2EB9"/>
    <w:rsid w:val="00AC2FFD"/>
    <w:rsid w:val="00AC3185"/>
    <w:rsid w:val="00AC35DA"/>
    <w:rsid w:val="00AC3AF9"/>
    <w:rsid w:val="00AC47FE"/>
    <w:rsid w:val="00AC4F6B"/>
    <w:rsid w:val="00AC51EC"/>
    <w:rsid w:val="00AC52D7"/>
    <w:rsid w:val="00AC52E6"/>
    <w:rsid w:val="00AC5344"/>
    <w:rsid w:val="00AC5BA4"/>
    <w:rsid w:val="00AC5F4D"/>
    <w:rsid w:val="00AC607E"/>
    <w:rsid w:val="00AC6236"/>
    <w:rsid w:val="00AC6378"/>
    <w:rsid w:val="00AC639F"/>
    <w:rsid w:val="00AC6BAF"/>
    <w:rsid w:val="00AC6EAE"/>
    <w:rsid w:val="00AC6F97"/>
    <w:rsid w:val="00AC7285"/>
    <w:rsid w:val="00AC749F"/>
    <w:rsid w:val="00AC74BC"/>
    <w:rsid w:val="00AC760F"/>
    <w:rsid w:val="00AC792A"/>
    <w:rsid w:val="00AC7AFB"/>
    <w:rsid w:val="00AC7B02"/>
    <w:rsid w:val="00AC7D1F"/>
    <w:rsid w:val="00AC7E2A"/>
    <w:rsid w:val="00AD04E4"/>
    <w:rsid w:val="00AD0D06"/>
    <w:rsid w:val="00AD1087"/>
    <w:rsid w:val="00AD1267"/>
    <w:rsid w:val="00AD15C6"/>
    <w:rsid w:val="00AD1CEC"/>
    <w:rsid w:val="00AD1F6D"/>
    <w:rsid w:val="00AD20CD"/>
    <w:rsid w:val="00AD2254"/>
    <w:rsid w:val="00AD2662"/>
    <w:rsid w:val="00AD27D8"/>
    <w:rsid w:val="00AD2FE9"/>
    <w:rsid w:val="00AD34A1"/>
    <w:rsid w:val="00AD3A37"/>
    <w:rsid w:val="00AD43E3"/>
    <w:rsid w:val="00AD4632"/>
    <w:rsid w:val="00AD4912"/>
    <w:rsid w:val="00AD504D"/>
    <w:rsid w:val="00AD52B6"/>
    <w:rsid w:val="00AD55CA"/>
    <w:rsid w:val="00AD562B"/>
    <w:rsid w:val="00AD60BA"/>
    <w:rsid w:val="00AD63A6"/>
    <w:rsid w:val="00AD64AE"/>
    <w:rsid w:val="00AD6B7D"/>
    <w:rsid w:val="00AD6D28"/>
    <w:rsid w:val="00AD748A"/>
    <w:rsid w:val="00AD79D0"/>
    <w:rsid w:val="00AD7BA2"/>
    <w:rsid w:val="00AE0389"/>
    <w:rsid w:val="00AE040E"/>
    <w:rsid w:val="00AE0519"/>
    <w:rsid w:val="00AE08C2"/>
    <w:rsid w:val="00AE129D"/>
    <w:rsid w:val="00AE1472"/>
    <w:rsid w:val="00AE1A65"/>
    <w:rsid w:val="00AE1DF3"/>
    <w:rsid w:val="00AE1E5E"/>
    <w:rsid w:val="00AE24E5"/>
    <w:rsid w:val="00AE2922"/>
    <w:rsid w:val="00AE2B60"/>
    <w:rsid w:val="00AE3443"/>
    <w:rsid w:val="00AE3490"/>
    <w:rsid w:val="00AE364B"/>
    <w:rsid w:val="00AE43C8"/>
    <w:rsid w:val="00AE48D1"/>
    <w:rsid w:val="00AE4C80"/>
    <w:rsid w:val="00AE4CD7"/>
    <w:rsid w:val="00AE529B"/>
    <w:rsid w:val="00AE53CE"/>
    <w:rsid w:val="00AE54AC"/>
    <w:rsid w:val="00AE56FD"/>
    <w:rsid w:val="00AE61E5"/>
    <w:rsid w:val="00AE655C"/>
    <w:rsid w:val="00AE6656"/>
    <w:rsid w:val="00AE6897"/>
    <w:rsid w:val="00AE68DF"/>
    <w:rsid w:val="00AE69A5"/>
    <w:rsid w:val="00AE6B10"/>
    <w:rsid w:val="00AE6E99"/>
    <w:rsid w:val="00AE6FB8"/>
    <w:rsid w:val="00AE77E1"/>
    <w:rsid w:val="00AE7A0E"/>
    <w:rsid w:val="00AE7BD4"/>
    <w:rsid w:val="00AE7DA6"/>
    <w:rsid w:val="00AF0A91"/>
    <w:rsid w:val="00AF0F50"/>
    <w:rsid w:val="00AF115A"/>
    <w:rsid w:val="00AF1946"/>
    <w:rsid w:val="00AF1AB5"/>
    <w:rsid w:val="00AF26AC"/>
    <w:rsid w:val="00AF2818"/>
    <w:rsid w:val="00AF291F"/>
    <w:rsid w:val="00AF2926"/>
    <w:rsid w:val="00AF33D9"/>
    <w:rsid w:val="00AF3CB7"/>
    <w:rsid w:val="00AF4460"/>
    <w:rsid w:val="00AF44F3"/>
    <w:rsid w:val="00AF4589"/>
    <w:rsid w:val="00AF4A92"/>
    <w:rsid w:val="00AF5146"/>
    <w:rsid w:val="00AF54DF"/>
    <w:rsid w:val="00AF660B"/>
    <w:rsid w:val="00AF69CF"/>
    <w:rsid w:val="00AF6AD1"/>
    <w:rsid w:val="00AF6B0E"/>
    <w:rsid w:val="00AF6BF3"/>
    <w:rsid w:val="00AF6CAE"/>
    <w:rsid w:val="00AF6F19"/>
    <w:rsid w:val="00AF70F0"/>
    <w:rsid w:val="00AF724D"/>
    <w:rsid w:val="00AF763C"/>
    <w:rsid w:val="00B00146"/>
    <w:rsid w:val="00B0033D"/>
    <w:rsid w:val="00B004B0"/>
    <w:rsid w:val="00B006C2"/>
    <w:rsid w:val="00B0092C"/>
    <w:rsid w:val="00B009FB"/>
    <w:rsid w:val="00B00C15"/>
    <w:rsid w:val="00B00E35"/>
    <w:rsid w:val="00B01119"/>
    <w:rsid w:val="00B017A7"/>
    <w:rsid w:val="00B018A1"/>
    <w:rsid w:val="00B01A37"/>
    <w:rsid w:val="00B01D67"/>
    <w:rsid w:val="00B01D6F"/>
    <w:rsid w:val="00B01E50"/>
    <w:rsid w:val="00B01F35"/>
    <w:rsid w:val="00B02118"/>
    <w:rsid w:val="00B02159"/>
    <w:rsid w:val="00B023EF"/>
    <w:rsid w:val="00B02914"/>
    <w:rsid w:val="00B03356"/>
    <w:rsid w:val="00B0341E"/>
    <w:rsid w:val="00B03F82"/>
    <w:rsid w:val="00B0470E"/>
    <w:rsid w:val="00B0510E"/>
    <w:rsid w:val="00B05713"/>
    <w:rsid w:val="00B05718"/>
    <w:rsid w:val="00B05B72"/>
    <w:rsid w:val="00B06469"/>
    <w:rsid w:val="00B0653E"/>
    <w:rsid w:val="00B067B8"/>
    <w:rsid w:val="00B069BC"/>
    <w:rsid w:val="00B06A93"/>
    <w:rsid w:val="00B073AC"/>
    <w:rsid w:val="00B07461"/>
    <w:rsid w:val="00B07C29"/>
    <w:rsid w:val="00B07D99"/>
    <w:rsid w:val="00B10685"/>
    <w:rsid w:val="00B10796"/>
    <w:rsid w:val="00B10997"/>
    <w:rsid w:val="00B10BF6"/>
    <w:rsid w:val="00B10C22"/>
    <w:rsid w:val="00B111A3"/>
    <w:rsid w:val="00B113D0"/>
    <w:rsid w:val="00B11780"/>
    <w:rsid w:val="00B11D2F"/>
    <w:rsid w:val="00B1200E"/>
    <w:rsid w:val="00B12335"/>
    <w:rsid w:val="00B12B9B"/>
    <w:rsid w:val="00B12D05"/>
    <w:rsid w:val="00B12F80"/>
    <w:rsid w:val="00B130D1"/>
    <w:rsid w:val="00B1398D"/>
    <w:rsid w:val="00B13C7F"/>
    <w:rsid w:val="00B14496"/>
    <w:rsid w:val="00B14911"/>
    <w:rsid w:val="00B14929"/>
    <w:rsid w:val="00B149D7"/>
    <w:rsid w:val="00B14EAB"/>
    <w:rsid w:val="00B14F29"/>
    <w:rsid w:val="00B14FF0"/>
    <w:rsid w:val="00B15378"/>
    <w:rsid w:val="00B153FC"/>
    <w:rsid w:val="00B15662"/>
    <w:rsid w:val="00B15777"/>
    <w:rsid w:val="00B159AE"/>
    <w:rsid w:val="00B161BE"/>
    <w:rsid w:val="00B162F5"/>
    <w:rsid w:val="00B1663E"/>
    <w:rsid w:val="00B16780"/>
    <w:rsid w:val="00B169FC"/>
    <w:rsid w:val="00B21099"/>
    <w:rsid w:val="00B211A0"/>
    <w:rsid w:val="00B2159D"/>
    <w:rsid w:val="00B21C17"/>
    <w:rsid w:val="00B21DF5"/>
    <w:rsid w:val="00B22037"/>
    <w:rsid w:val="00B22320"/>
    <w:rsid w:val="00B22331"/>
    <w:rsid w:val="00B229F4"/>
    <w:rsid w:val="00B23837"/>
    <w:rsid w:val="00B2421F"/>
    <w:rsid w:val="00B24615"/>
    <w:rsid w:val="00B246BA"/>
    <w:rsid w:val="00B251FF"/>
    <w:rsid w:val="00B25228"/>
    <w:rsid w:val="00B2602B"/>
    <w:rsid w:val="00B260B7"/>
    <w:rsid w:val="00B2617D"/>
    <w:rsid w:val="00B2659D"/>
    <w:rsid w:val="00B26BE8"/>
    <w:rsid w:val="00B27718"/>
    <w:rsid w:val="00B27805"/>
    <w:rsid w:val="00B27B35"/>
    <w:rsid w:val="00B27BCC"/>
    <w:rsid w:val="00B3000D"/>
    <w:rsid w:val="00B304D7"/>
    <w:rsid w:val="00B30551"/>
    <w:rsid w:val="00B3084D"/>
    <w:rsid w:val="00B309B1"/>
    <w:rsid w:val="00B30B20"/>
    <w:rsid w:val="00B31329"/>
    <w:rsid w:val="00B31402"/>
    <w:rsid w:val="00B319F0"/>
    <w:rsid w:val="00B31E29"/>
    <w:rsid w:val="00B3292E"/>
    <w:rsid w:val="00B3298E"/>
    <w:rsid w:val="00B32C27"/>
    <w:rsid w:val="00B32EE0"/>
    <w:rsid w:val="00B330B8"/>
    <w:rsid w:val="00B331B8"/>
    <w:rsid w:val="00B3425A"/>
    <w:rsid w:val="00B343FA"/>
    <w:rsid w:val="00B34A52"/>
    <w:rsid w:val="00B34EF2"/>
    <w:rsid w:val="00B3524C"/>
    <w:rsid w:val="00B35396"/>
    <w:rsid w:val="00B353E2"/>
    <w:rsid w:val="00B353EC"/>
    <w:rsid w:val="00B354C5"/>
    <w:rsid w:val="00B35564"/>
    <w:rsid w:val="00B35AA6"/>
    <w:rsid w:val="00B35B0F"/>
    <w:rsid w:val="00B35D4D"/>
    <w:rsid w:val="00B35FCD"/>
    <w:rsid w:val="00B36699"/>
    <w:rsid w:val="00B367EB"/>
    <w:rsid w:val="00B36947"/>
    <w:rsid w:val="00B36C93"/>
    <w:rsid w:val="00B37093"/>
    <w:rsid w:val="00B37AAC"/>
    <w:rsid w:val="00B37BBC"/>
    <w:rsid w:val="00B37EEF"/>
    <w:rsid w:val="00B400B9"/>
    <w:rsid w:val="00B4011F"/>
    <w:rsid w:val="00B404FB"/>
    <w:rsid w:val="00B40AC5"/>
    <w:rsid w:val="00B40C39"/>
    <w:rsid w:val="00B4129E"/>
    <w:rsid w:val="00B413F3"/>
    <w:rsid w:val="00B4159D"/>
    <w:rsid w:val="00B41716"/>
    <w:rsid w:val="00B41994"/>
    <w:rsid w:val="00B41C9F"/>
    <w:rsid w:val="00B42454"/>
    <w:rsid w:val="00B424E0"/>
    <w:rsid w:val="00B428D8"/>
    <w:rsid w:val="00B4304F"/>
    <w:rsid w:val="00B43108"/>
    <w:rsid w:val="00B43597"/>
    <w:rsid w:val="00B43615"/>
    <w:rsid w:val="00B43E89"/>
    <w:rsid w:val="00B44ADE"/>
    <w:rsid w:val="00B44C54"/>
    <w:rsid w:val="00B454C5"/>
    <w:rsid w:val="00B459BB"/>
    <w:rsid w:val="00B45AFC"/>
    <w:rsid w:val="00B45F69"/>
    <w:rsid w:val="00B45F98"/>
    <w:rsid w:val="00B47073"/>
    <w:rsid w:val="00B4739B"/>
    <w:rsid w:val="00B475AA"/>
    <w:rsid w:val="00B4768A"/>
    <w:rsid w:val="00B477DB"/>
    <w:rsid w:val="00B4792A"/>
    <w:rsid w:val="00B50013"/>
    <w:rsid w:val="00B50442"/>
    <w:rsid w:val="00B50820"/>
    <w:rsid w:val="00B50BFE"/>
    <w:rsid w:val="00B50ED1"/>
    <w:rsid w:val="00B512F7"/>
    <w:rsid w:val="00B518A4"/>
    <w:rsid w:val="00B518F0"/>
    <w:rsid w:val="00B51B83"/>
    <w:rsid w:val="00B51E9C"/>
    <w:rsid w:val="00B52306"/>
    <w:rsid w:val="00B52983"/>
    <w:rsid w:val="00B52C42"/>
    <w:rsid w:val="00B52EC3"/>
    <w:rsid w:val="00B5325F"/>
    <w:rsid w:val="00B53DED"/>
    <w:rsid w:val="00B54039"/>
    <w:rsid w:val="00B54096"/>
    <w:rsid w:val="00B5422E"/>
    <w:rsid w:val="00B542B4"/>
    <w:rsid w:val="00B54683"/>
    <w:rsid w:val="00B54FE2"/>
    <w:rsid w:val="00B5505B"/>
    <w:rsid w:val="00B552B0"/>
    <w:rsid w:val="00B556E6"/>
    <w:rsid w:val="00B5576D"/>
    <w:rsid w:val="00B557E8"/>
    <w:rsid w:val="00B55856"/>
    <w:rsid w:val="00B558B7"/>
    <w:rsid w:val="00B55C90"/>
    <w:rsid w:val="00B55CF3"/>
    <w:rsid w:val="00B5682D"/>
    <w:rsid w:val="00B56D7B"/>
    <w:rsid w:val="00B571D8"/>
    <w:rsid w:val="00B5725A"/>
    <w:rsid w:val="00B577DB"/>
    <w:rsid w:val="00B57F05"/>
    <w:rsid w:val="00B57F91"/>
    <w:rsid w:val="00B60293"/>
    <w:rsid w:val="00B60301"/>
    <w:rsid w:val="00B60375"/>
    <w:rsid w:val="00B603EE"/>
    <w:rsid w:val="00B60BA4"/>
    <w:rsid w:val="00B60C8D"/>
    <w:rsid w:val="00B60D90"/>
    <w:rsid w:val="00B6177B"/>
    <w:rsid w:val="00B62702"/>
    <w:rsid w:val="00B63063"/>
    <w:rsid w:val="00B63771"/>
    <w:rsid w:val="00B63910"/>
    <w:rsid w:val="00B6397E"/>
    <w:rsid w:val="00B63A2D"/>
    <w:rsid w:val="00B63A59"/>
    <w:rsid w:val="00B640B3"/>
    <w:rsid w:val="00B649AA"/>
    <w:rsid w:val="00B64A5D"/>
    <w:rsid w:val="00B64C1F"/>
    <w:rsid w:val="00B6514D"/>
    <w:rsid w:val="00B655A1"/>
    <w:rsid w:val="00B6592D"/>
    <w:rsid w:val="00B6599E"/>
    <w:rsid w:val="00B659B7"/>
    <w:rsid w:val="00B661DD"/>
    <w:rsid w:val="00B664A1"/>
    <w:rsid w:val="00B666CC"/>
    <w:rsid w:val="00B669C4"/>
    <w:rsid w:val="00B66D4C"/>
    <w:rsid w:val="00B66E79"/>
    <w:rsid w:val="00B675F0"/>
    <w:rsid w:val="00B709BA"/>
    <w:rsid w:val="00B71B10"/>
    <w:rsid w:val="00B71B2E"/>
    <w:rsid w:val="00B71C1E"/>
    <w:rsid w:val="00B71C1F"/>
    <w:rsid w:val="00B72CD1"/>
    <w:rsid w:val="00B72D90"/>
    <w:rsid w:val="00B73CC1"/>
    <w:rsid w:val="00B742FB"/>
    <w:rsid w:val="00B746D0"/>
    <w:rsid w:val="00B74855"/>
    <w:rsid w:val="00B750F1"/>
    <w:rsid w:val="00B757F8"/>
    <w:rsid w:val="00B75C11"/>
    <w:rsid w:val="00B75E26"/>
    <w:rsid w:val="00B75ED3"/>
    <w:rsid w:val="00B77BDD"/>
    <w:rsid w:val="00B77DDF"/>
    <w:rsid w:val="00B77F52"/>
    <w:rsid w:val="00B80445"/>
    <w:rsid w:val="00B8090F"/>
    <w:rsid w:val="00B80A94"/>
    <w:rsid w:val="00B80E48"/>
    <w:rsid w:val="00B80FFF"/>
    <w:rsid w:val="00B81C32"/>
    <w:rsid w:val="00B81C9E"/>
    <w:rsid w:val="00B81CDB"/>
    <w:rsid w:val="00B81D0A"/>
    <w:rsid w:val="00B81EF6"/>
    <w:rsid w:val="00B820B8"/>
    <w:rsid w:val="00B82F56"/>
    <w:rsid w:val="00B82FEB"/>
    <w:rsid w:val="00B8324D"/>
    <w:rsid w:val="00B83430"/>
    <w:rsid w:val="00B83A2B"/>
    <w:rsid w:val="00B83B55"/>
    <w:rsid w:val="00B83CC4"/>
    <w:rsid w:val="00B8409D"/>
    <w:rsid w:val="00B84216"/>
    <w:rsid w:val="00B84268"/>
    <w:rsid w:val="00B84303"/>
    <w:rsid w:val="00B843EA"/>
    <w:rsid w:val="00B84447"/>
    <w:rsid w:val="00B851BC"/>
    <w:rsid w:val="00B8556B"/>
    <w:rsid w:val="00B85580"/>
    <w:rsid w:val="00B85820"/>
    <w:rsid w:val="00B85C90"/>
    <w:rsid w:val="00B85F93"/>
    <w:rsid w:val="00B869F6"/>
    <w:rsid w:val="00B86A2E"/>
    <w:rsid w:val="00B86B48"/>
    <w:rsid w:val="00B86B51"/>
    <w:rsid w:val="00B86E4A"/>
    <w:rsid w:val="00B86E80"/>
    <w:rsid w:val="00B87024"/>
    <w:rsid w:val="00B87527"/>
    <w:rsid w:val="00B87D5E"/>
    <w:rsid w:val="00B906D8"/>
    <w:rsid w:val="00B92225"/>
    <w:rsid w:val="00B922ED"/>
    <w:rsid w:val="00B924B3"/>
    <w:rsid w:val="00B92537"/>
    <w:rsid w:val="00B92739"/>
    <w:rsid w:val="00B92CC8"/>
    <w:rsid w:val="00B93023"/>
    <w:rsid w:val="00B932E2"/>
    <w:rsid w:val="00B9396D"/>
    <w:rsid w:val="00B93C7E"/>
    <w:rsid w:val="00B94507"/>
    <w:rsid w:val="00B946C6"/>
    <w:rsid w:val="00B9490C"/>
    <w:rsid w:val="00B94B3E"/>
    <w:rsid w:val="00B94DF2"/>
    <w:rsid w:val="00B94F03"/>
    <w:rsid w:val="00B950E2"/>
    <w:rsid w:val="00B9533A"/>
    <w:rsid w:val="00B9537D"/>
    <w:rsid w:val="00B9539F"/>
    <w:rsid w:val="00B95E84"/>
    <w:rsid w:val="00B962EB"/>
    <w:rsid w:val="00B96874"/>
    <w:rsid w:val="00B968CE"/>
    <w:rsid w:val="00B972A1"/>
    <w:rsid w:val="00B972FD"/>
    <w:rsid w:val="00B975DB"/>
    <w:rsid w:val="00B976F4"/>
    <w:rsid w:val="00B9782A"/>
    <w:rsid w:val="00B97EBD"/>
    <w:rsid w:val="00BA00BC"/>
    <w:rsid w:val="00BA0245"/>
    <w:rsid w:val="00BA04E1"/>
    <w:rsid w:val="00BA0517"/>
    <w:rsid w:val="00BA0D98"/>
    <w:rsid w:val="00BA0E16"/>
    <w:rsid w:val="00BA0EE2"/>
    <w:rsid w:val="00BA0EE7"/>
    <w:rsid w:val="00BA12AB"/>
    <w:rsid w:val="00BA12B4"/>
    <w:rsid w:val="00BA146C"/>
    <w:rsid w:val="00BA1557"/>
    <w:rsid w:val="00BA1774"/>
    <w:rsid w:val="00BA1E5F"/>
    <w:rsid w:val="00BA1F71"/>
    <w:rsid w:val="00BA203D"/>
    <w:rsid w:val="00BA22A2"/>
    <w:rsid w:val="00BA2450"/>
    <w:rsid w:val="00BA2816"/>
    <w:rsid w:val="00BA2E3C"/>
    <w:rsid w:val="00BA3167"/>
    <w:rsid w:val="00BA31EC"/>
    <w:rsid w:val="00BA32DF"/>
    <w:rsid w:val="00BA3521"/>
    <w:rsid w:val="00BA4200"/>
    <w:rsid w:val="00BA49DA"/>
    <w:rsid w:val="00BA5818"/>
    <w:rsid w:val="00BA5E97"/>
    <w:rsid w:val="00BA5FF6"/>
    <w:rsid w:val="00BA68E0"/>
    <w:rsid w:val="00BA69E8"/>
    <w:rsid w:val="00BA6B99"/>
    <w:rsid w:val="00BA7015"/>
    <w:rsid w:val="00BA7964"/>
    <w:rsid w:val="00BA7B2F"/>
    <w:rsid w:val="00BB01E5"/>
    <w:rsid w:val="00BB054E"/>
    <w:rsid w:val="00BB0654"/>
    <w:rsid w:val="00BB0B1C"/>
    <w:rsid w:val="00BB0D7A"/>
    <w:rsid w:val="00BB0FA0"/>
    <w:rsid w:val="00BB18C7"/>
    <w:rsid w:val="00BB1CEB"/>
    <w:rsid w:val="00BB2123"/>
    <w:rsid w:val="00BB26C8"/>
    <w:rsid w:val="00BB29C0"/>
    <w:rsid w:val="00BB3385"/>
    <w:rsid w:val="00BB3732"/>
    <w:rsid w:val="00BB37D6"/>
    <w:rsid w:val="00BB40C0"/>
    <w:rsid w:val="00BB4800"/>
    <w:rsid w:val="00BB4EC5"/>
    <w:rsid w:val="00BB51EC"/>
    <w:rsid w:val="00BB5475"/>
    <w:rsid w:val="00BB5F5A"/>
    <w:rsid w:val="00BB65E2"/>
    <w:rsid w:val="00BB68C8"/>
    <w:rsid w:val="00BB6A6E"/>
    <w:rsid w:val="00BB6AEE"/>
    <w:rsid w:val="00BB6CC5"/>
    <w:rsid w:val="00BB6FD1"/>
    <w:rsid w:val="00BB7142"/>
    <w:rsid w:val="00BB716B"/>
    <w:rsid w:val="00BB7C58"/>
    <w:rsid w:val="00BB7CE9"/>
    <w:rsid w:val="00BC0C79"/>
    <w:rsid w:val="00BC0E13"/>
    <w:rsid w:val="00BC154C"/>
    <w:rsid w:val="00BC1633"/>
    <w:rsid w:val="00BC24E7"/>
    <w:rsid w:val="00BC2F26"/>
    <w:rsid w:val="00BC2F47"/>
    <w:rsid w:val="00BC2F9A"/>
    <w:rsid w:val="00BC3134"/>
    <w:rsid w:val="00BC3235"/>
    <w:rsid w:val="00BC389B"/>
    <w:rsid w:val="00BC38B4"/>
    <w:rsid w:val="00BC3E25"/>
    <w:rsid w:val="00BC4213"/>
    <w:rsid w:val="00BC42E3"/>
    <w:rsid w:val="00BC4405"/>
    <w:rsid w:val="00BC4C16"/>
    <w:rsid w:val="00BC4E78"/>
    <w:rsid w:val="00BC5001"/>
    <w:rsid w:val="00BC53D6"/>
    <w:rsid w:val="00BC5941"/>
    <w:rsid w:val="00BC6AC1"/>
    <w:rsid w:val="00BC718E"/>
    <w:rsid w:val="00BC774E"/>
    <w:rsid w:val="00BC7BB9"/>
    <w:rsid w:val="00BC7CA4"/>
    <w:rsid w:val="00BD053D"/>
    <w:rsid w:val="00BD05D8"/>
    <w:rsid w:val="00BD0B7D"/>
    <w:rsid w:val="00BD0CFB"/>
    <w:rsid w:val="00BD0D56"/>
    <w:rsid w:val="00BD0E44"/>
    <w:rsid w:val="00BD1193"/>
    <w:rsid w:val="00BD12AE"/>
    <w:rsid w:val="00BD211D"/>
    <w:rsid w:val="00BD2518"/>
    <w:rsid w:val="00BD25CB"/>
    <w:rsid w:val="00BD2F22"/>
    <w:rsid w:val="00BD331E"/>
    <w:rsid w:val="00BD3396"/>
    <w:rsid w:val="00BD3736"/>
    <w:rsid w:val="00BD375A"/>
    <w:rsid w:val="00BD3AA6"/>
    <w:rsid w:val="00BD3FAA"/>
    <w:rsid w:val="00BD42F3"/>
    <w:rsid w:val="00BD44EC"/>
    <w:rsid w:val="00BD4C12"/>
    <w:rsid w:val="00BD4D87"/>
    <w:rsid w:val="00BD4DBE"/>
    <w:rsid w:val="00BD5057"/>
    <w:rsid w:val="00BD5338"/>
    <w:rsid w:val="00BD5369"/>
    <w:rsid w:val="00BD66DC"/>
    <w:rsid w:val="00BD6FD2"/>
    <w:rsid w:val="00BD720A"/>
    <w:rsid w:val="00BD7893"/>
    <w:rsid w:val="00BD7959"/>
    <w:rsid w:val="00BD7D38"/>
    <w:rsid w:val="00BD7F54"/>
    <w:rsid w:val="00BD7F5C"/>
    <w:rsid w:val="00BE0008"/>
    <w:rsid w:val="00BE05DB"/>
    <w:rsid w:val="00BE05EE"/>
    <w:rsid w:val="00BE113B"/>
    <w:rsid w:val="00BE11D9"/>
    <w:rsid w:val="00BE20D6"/>
    <w:rsid w:val="00BE20FE"/>
    <w:rsid w:val="00BE22D4"/>
    <w:rsid w:val="00BE2330"/>
    <w:rsid w:val="00BE23A2"/>
    <w:rsid w:val="00BE2978"/>
    <w:rsid w:val="00BE2CEB"/>
    <w:rsid w:val="00BE30DE"/>
    <w:rsid w:val="00BE3330"/>
    <w:rsid w:val="00BE4257"/>
    <w:rsid w:val="00BE4AD7"/>
    <w:rsid w:val="00BE4D04"/>
    <w:rsid w:val="00BE4D82"/>
    <w:rsid w:val="00BE5022"/>
    <w:rsid w:val="00BE551C"/>
    <w:rsid w:val="00BE579F"/>
    <w:rsid w:val="00BE6078"/>
    <w:rsid w:val="00BE6146"/>
    <w:rsid w:val="00BE6275"/>
    <w:rsid w:val="00BE6300"/>
    <w:rsid w:val="00BE6BB9"/>
    <w:rsid w:val="00BE6D0F"/>
    <w:rsid w:val="00BE6F14"/>
    <w:rsid w:val="00BE72FE"/>
    <w:rsid w:val="00BE7389"/>
    <w:rsid w:val="00BE7766"/>
    <w:rsid w:val="00BE7AF3"/>
    <w:rsid w:val="00BE7B76"/>
    <w:rsid w:val="00BE7C7C"/>
    <w:rsid w:val="00BE7EAD"/>
    <w:rsid w:val="00BE7F53"/>
    <w:rsid w:val="00BE7FBE"/>
    <w:rsid w:val="00BF0078"/>
    <w:rsid w:val="00BF00CF"/>
    <w:rsid w:val="00BF0167"/>
    <w:rsid w:val="00BF01CF"/>
    <w:rsid w:val="00BF0611"/>
    <w:rsid w:val="00BF0B2D"/>
    <w:rsid w:val="00BF1100"/>
    <w:rsid w:val="00BF13C7"/>
    <w:rsid w:val="00BF13E1"/>
    <w:rsid w:val="00BF1840"/>
    <w:rsid w:val="00BF1BC7"/>
    <w:rsid w:val="00BF1CF3"/>
    <w:rsid w:val="00BF22F1"/>
    <w:rsid w:val="00BF277A"/>
    <w:rsid w:val="00BF2F88"/>
    <w:rsid w:val="00BF2FD3"/>
    <w:rsid w:val="00BF3078"/>
    <w:rsid w:val="00BF35E2"/>
    <w:rsid w:val="00BF39B2"/>
    <w:rsid w:val="00BF3B22"/>
    <w:rsid w:val="00BF3EB6"/>
    <w:rsid w:val="00BF4314"/>
    <w:rsid w:val="00BF4A5D"/>
    <w:rsid w:val="00BF4AAC"/>
    <w:rsid w:val="00BF5933"/>
    <w:rsid w:val="00BF5EAA"/>
    <w:rsid w:val="00BF6137"/>
    <w:rsid w:val="00BF6963"/>
    <w:rsid w:val="00BF75DA"/>
    <w:rsid w:val="00BF7A02"/>
    <w:rsid w:val="00BF7B70"/>
    <w:rsid w:val="00BF7EE0"/>
    <w:rsid w:val="00C0020C"/>
    <w:rsid w:val="00C00C68"/>
    <w:rsid w:val="00C01336"/>
    <w:rsid w:val="00C01BF4"/>
    <w:rsid w:val="00C0224A"/>
    <w:rsid w:val="00C0248A"/>
    <w:rsid w:val="00C02591"/>
    <w:rsid w:val="00C028E1"/>
    <w:rsid w:val="00C02AAD"/>
    <w:rsid w:val="00C02F79"/>
    <w:rsid w:val="00C03529"/>
    <w:rsid w:val="00C039AD"/>
    <w:rsid w:val="00C0403D"/>
    <w:rsid w:val="00C040CE"/>
    <w:rsid w:val="00C04178"/>
    <w:rsid w:val="00C047E8"/>
    <w:rsid w:val="00C04CA5"/>
    <w:rsid w:val="00C050C9"/>
    <w:rsid w:val="00C05390"/>
    <w:rsid w:val="00C05553"/>
    <w:rsid w:val="00C057A2"/>
    <w:rsid w:val="00C06914"/>
    <w:rsid w:val="00C06B43"/>
    <w:rsid w:val="00C06E3B"/>
    <w:rsid w:val="00C0719B"/>
    <w:rsid w:val="00C0762D"/>
    <w:rsid w:val="00C0778A"/>
    <w:rsid w:val="00C101DA"/>
    <w:rsid w:val="00C10582"/>
    <w:rsid w:val="00C109C0"/>
    <w:rsid w:val="00C1119B"/>
    <w:rsid w:val="00C111A0"/>
    <w:rsid w:val="00C11B05"/>
    <w:rsid w:val="00C11B59"/>
    <w:rsid w:val="00C11DA4"/>
    <w:rsid w:val="00C11DE4"/>
    <w:rsid w:val="00C11F35"/>
    <w:rsid w:val="00C11FF1"/>
    <w:rsid w:val="00C12110"/>
    <w:rsid w:val="00C1252F"/>
    <w:rsid w:val="00C12BC2"/>
    <w:rsid w:val="00C130C0"/>
    <w:rsid w:val="00C13225"/>
    <w:rsid w:val="00C132C7"/>
    <w:rsid w:val="00C13C1D"/>
    <w:rsid w:val="00C14397"/>
    <w:rsid w:val="00C145BB"/>
    <w:rsid w:val="00C14A79"/>
    <w:rsid w:val="00C14FB1"/>
    <w:rsid w:val="00C15379"/>
    <w:rsid w:val="00C15DD8"/>
    <w:rsid w:val="00C16494"/>
    <w:rsid w:val="00C16618"/>
    <w:rsid w:val="00C16C04"/>
    <w:rsid w:val="00C16C9B"/>
    <w:rsid w:val="00C16DAB"/>
    <w:rsid w:val="00C170A8"/>
    <w:rsid w:val="00C170C6"/>
    <w:rsid w:val="00C1714C"/>
    <w:rsid w:val="00C179C7"/>
    <w:rsid w:val="00C17FE2"/>
    <w:rsid w:val="00C20054"/>
    <w:rsid w:val="00C20738"/>
    <w:rsid w:val="00C20745"/>
    <w:rsid w:val="00C20A99"/>
    <w:rsid w:val="00C20C22"/>
    <w:rsid w:val="00C20D25"/>
    <w:rsid w:val="00C20E8A"/>
    <w:rsid w:val="00C211F7"/>
    <w:rsid w:val="00C21423"/>
    <w:rsid w:val="00C21636"/>
    <w:rsid w:val="00C21EAC"/>
    <w:rsid w:val="00C22234"/>
    <w:rsid w:val="00C230E9"/>
    <w:rsid w:val="00C23179"/>
    <w:rsid w:val="00C231A3"/>
    <w:rsid w:val="00C235AE"/>
    <w:rsid w:val="00C239C5"/>
    <w:rsid w:val="00C24386"/>
    <w:rsid w:val="00C244C5"/>
    <w:rsid w:val="00C247BC"/>
    <w:rsid w:val="00C25128"/>
    <w:rsid w:val="00C2552B"/>
    <w:rsid w:val="00C256DD"/>
    <w:rsid w:val="00C25DCD"/>
    <w:rsid w:val="00C26000"/>
    <w:rsid w:val="00C2658F"/>
    <w:rsid w:val="00C265A1"/>
    <w:rsid w:val="00C26834"/>
    <w:rsid w:val="00C268EF"/>
    <w:rsid w:val="00C26E5A"/>
    <w:rsid w:val="00C2732E"/>
    <w:rsid w:val="00C2777C"/>
    <w:rsid w:val="00C2781A"/>
    <w:rsid w:val="00C27B98"/>
    <w:rsid w:val="00C27D2A"/>
    <w:rsid w:val="00C27DD2"/>
    <w:rsid w:val="00C27ED3"/>
    <w:rsid w:val="00C3009E"/>
    <w:rsid w:val="00C30130"/>
    <w:rsid w:val="00C30269"/>
    <w:rsid w:val="00C30357"/>
    <w:rsid w:val="00C30BE9"/>
    <w:rsid w:val="00C30DA4"/>
    <w:rsid w:val="00C30EF6"/>
    <w:rsid w:val="00C31063"/>
    <w:rsid w:val="00C31A2A"/>
    <w:rsid w:val="00C31C98"/>
    <w:rsid w:val="00C31F53"/>
    <w:rsid w:val="00C31FF4"/>
    <w:rsid w:val="00C320DA"/>
    <w:rsid w:val="00C32257"/>
    <w:rsid w:val="00C326E9"/>
    <w:rsid w:val="00C32BAE"/>
    <w:rsid w:val="00C32F8F"/>
    <w:rsid w:val="00C3305B"/>
    <w:rsid w:val="00C3309C"/>
    <w:rsid w:val="00C33EB9"/>
    <w:rsid w:val="00C33EBF"/>
    <w:rsid w:val="00C33EEC"/>
    <w:rsid w:val="00C33FE3"/>
    <w:rsid w:val="00C34007"/>
    <w:rsid w:val="00C340B5"/>
    <w:rsid w:val="00C34201"/>
    <w:rsid w:val="00C34469"/>
    <w:rsid w:val="00C34813"/>
    <w:rsid w:val="00C35727"/>
    <w:rsid w:val="00C3579A"/>
    <w:rsid w:val="00C35824"/>
    <w:rsid w:val="00C35881"/>
    <w:rsid w:val="00C35AF0"/>
    <w:rsid w:val="00C35BD7"/>
    <w:rsid w:val="00C360BD"/>
    <w:rsid w:val="00C3675E"/>
    <w:rsid w:val="00C36CE7"/>
    <w:rsid w:val="00C37007"/>
    <w:rsid w:val="00C37639"/>
    <w:rsid w:val="00C379D0"/>
    <w:rsid w:val="00C37D36"/>
    <w:rsid w:val="00C40190"/>
    <w:rsid w:val="00C4068A"/>
    <w:rsid w:val="00C4099B"/>
    <w:rsid w:val="00C40F83"/>
    <w:rsid w:val="00C4134C"/>
    <w:rsid w:val="00C416E5"/>
    <w:rsid w:val="00C41A7E"/>
    <w:rsid w:val="00C41BBB"/>
    <w:rsid w:val="00C41BFF"/>
    <w:rsid w:val="00C41DAF"/>
    <w:rsid w:val="00C41E6A"/>
    <w:rsid w:val="00C41FC4"/>
    <w:rsid w:val="00C4218A"/>
    <w:rsid w:val="00C427E7"/>
    <w:rsid w:val="00C428A4"/>
    <w:rsid w:val="00C42B86"/>
    <w:rsid w:val="00C43022"/>
    <w:rsid w:val="00C4310F"/>
    <w:rsid w:val="00C43174"/>
    <w:rsid w:val="00C43229"/>
    <w:rsid w:val="00C444DF"/>
    <w:rsid w:val="00C44696"/>
    <w:rsid w:val="00C44941"/>
    <w:rsid w:val="00C44A26"/>
    <w:rsid w:val="00C44F8D"/>
    <w:rsid w:val="00C4510E"/>
    <w:rsid w:val="00C45378"/>
    <w:rsid w:val="00C4576A"/>
    <w:rsid w:val="00C458F6"/>
    <w:rsid w:val="00C45BA7"/>
    <w:rsid w:val="00C46026"/>
    <w:rsid w:val="00C46300"/>
    <w:rsid w:val="00C46383"/>
    <w:rsid w:val="00C463C6"/>
    <w:rsid w:val="00C464B7"/>
    <w:rsid w:val="00C465F2"/>
    <w:rsid w:val="00C46AA2"/>
    <w:rsid w:val="00C46D68"/>
    <w:rsid w:val="00C47587"/>
    <w:rsid w:val="00C47E8E"/>
    <w:rsid w:val="00C50093"/>
    <w:rsid w:val="00C5023E"/>
    <w:rsid w:val="00C50320"/>
    <w:rsid w:val="00C50494"/>
    <w:rsid w:val="00C50828"/>
    <w:rsid w:val="00C51204"/>
    <w:rsid w:val="00C51A65"/>
    <w:rsid w:val="00C533A1"/>
    <w:rsid w:val="00C5361E"/>
    <w:rsid w:val="00C53889"/>
    <w:rsid w:val="00C53B05"/>
    <w:rsid w:val="00C53CC3"/>
    <w:rsid w:val="00C53F84"/>
    <w:rsid w:val="00C5400C"/>
    <w:rsid w:val="00C55543"/>
    <w:rsid w:val="00C55B04"/>
    <w:rsid w:val="00C55C3A"/>
    <w:rsid w:val="00C55E8C"/>
    <w:rsid w:val="00C5689C"/>
    <w:rsid w:val="00C56AB7"/>
    <w:rsid w:val="00C56DDC"/>
    <w:rsid w:val="00C56E25"/>
    <w:rsid w:val="00C57435"/>
    <w:rsid w:val="00C57F71"/>
    <w:rsid w:val="00C60B8D"/>
    <w:rsid w:val="00C60CB3"/>
    <w:rsid w:val="00C610D9"/>
    <w:rsid w:val="00C613E3"/>
    <w:rsid w:val="00C618B5"/>
    <w:rsid w:val="00C62FF0"/>
    <w:rsid w:val="00C63944"/>
    <w:rsid w:val="00C63D27"/>
    <w:rsid w:val="00C6429C"/>
    <w:rsid w:val="00C64368"/>
    <w:rsid w:val="00C6445E"/>
    <w:rsid w:val="00C647C0"/>
    <w:rsid w:val="00C648E6"/>
    <w:rsid w:val="00C64BD3"/>
    <w:rsid w:val="00C64BE5"/>
    <w:rsid w:val="00C64C6E"/>
    <w:rsid w:val="00C64EF6"/>
    <w:rsid w:val="00C65552"/>
    <w:rsid w:val="00C65851"/>
    <w:rsid w:val="00C65A99"/>
    <w:rsid w:val="00C65BE2"/>
    <w:rsid w:val="00C66174"/>
    <w:rsid w:val="00C661C3"/>
    <w:rsid w:val="00C664DC"/>
    <w:rsid w:val="00C66B36"/>
    <w:rsid w:val="00C66F92"/>
    <w:rsid w:val="00C670A3"/>
    <w:rsid w:val="00C67B57"/>
    <w:rsid w:val="00C70272"/>
    <w:rsid w:val="00C705B1"/>
    <w:rsid w:val="00C70AF4"/>
    <w:rsid w:val="00C717E0"/>
    <w:rsid w:val="00C71835"/>
    <w:rsid w:val="00C7199B"/>
    <w:rsid w:val="00C71C17"/>
    <w:rsid w:val="00C71C79"/>
    <w:rsid w:val="00C71CFF"/>
    <w:rsid w:val="00C720B5"/>
    <w:rsid w:val="00C7224D"/>
    <w:rsid w:val="00C72255"/>
    <w:rsid w:val="00C72519"/>
    <w:rsid w:val="00C728E6"/>
    <w:rsid w:val="00C72D08"/>
    <w:rsid w:val="00C73348"/>
    <w:rsid w:val="00C73A90"/>
    <w:rsid w:val="00C73B8C"/>
    <w:rsid w:val="00C74951"/>
    <w:rsid w:val="00C74952"/>
    <w:rsid w:val="00C74CCB"/>
    <w:rsid w:val="00C74D9C"/>
    <w:rsid w:val="00C75130"/>
    <w:rsid w:val="00C75A29"/>
    <w:rsid w:val="00C75E20"/>
    <w:rsid w:val="00C765DF"/>
    <w:rsid w:val="00C76A2E"/>
    <w:rsid w:val="00C76FDD"/>
    <w:rsid w:val="00C774E3"/>
    <w:rsid w:val="00C7784A"/>
    <w:rsid w:val="00C77BCB"/>
    <w:rsid w:val="00C77C20"/>
    <w:rsid w:val="00C801DB"/>
    <w:rsid w:val="00C80455"/>
    <w:rsid w:val="00C805B4"/>
    <w:rsid w:val="00C80897"/>
    <w:rsid w:val="00C80C86"/>
    <w:rsid w:val="00C81239"/>
    <w:rsid w:val="00C81326"/>
    <w:rsid w:val="00C8133A"/>
    <w:rsid w:val="00C815FA"/>
    <w:rsid w:val="00C81657"/>
    <w:rsid w:val="00C81D5E"/>
    <w:rsid w:val="00C81F2B"/>
    <w:rsid w:val="00C8201B"/>
    <w:rsid w:val="00C8276C"/>
    <w:rsid w:val="00C82A5F"/>
    <w:rsid w:val="00C82ACC"/>
    <w:rsid w:val="00C82AF0"/>
    <w:rsid w:val="00C82B90"/>
    <w:rsid w:val="00C82CB4"/>
    <w:rsid w:val="00C82DD7"/>
    <w:rsid w:val="00C82FC4"/>
    <w:rsid w:val="00C83077"/>
    <w:rsid w:val="00C83310"/>
    <w:rsid w:val="00C83A2A"/>
    <w:rsid w:val="00C83B02"/>
    <w:rsid w:val="00C84A7C"/>
    <w:rsid w:val="00C851C2"/>
    <w:rsid w:val="00C8588E"/>
    <w:rsid w:val="00C85C35"/>
    <w:rsid w:val="00C8612B"/>
    <w:rsid w:val="00C87030"/>
    <w:rsid w:val="00C8714F"/>
    <w:rsid w:val="00C871BE"/>
    <w:rsid w:val="00C87737"/>
    <w:rsid w:val="00C877BD"/>
    <w:rsid w:val="00C87A27"/>
    <w:rsid w:val="00C87B8D"/>
    <w:rsid w:val="00C87CC8"/>
    <w:rsid w:val="00C87D18"/>
    <w:rsid w:val="00C87D6A"/>
    <w:rsid w:val="00C90295"/>
    <w:rsid w:val="00C90662"/>
    <w:rsid w:val="00C90844"/>
    <w:rsid w:val="00C90AFF"/>
    <w:rsid w:val="00C90BFE"/>
    <w:rsid w:val="00C90D2E"/>
    <w:rsid w:val="00C90D80"/>
    <w:rsid w:val="00C90EA9"/>
    <w:rsid w:val="00C90EFD"/>
    <w:rsid w:val="00C91053"/>
    <w:rsid w:val="00C9119B"/>
    <w:rsid w:val="00C914B5"/>
    <w:rsid w:val="00C916A4"/>
    <w:rsid w:val="00C91815"/>
    <w:rsid w:val="00C91C3D"/>
    <w:rsid w:val="00C91D9E"/>
    <w:rsid w:val="00C91E36"/>
    <w:rsid w:val="00C91E94"/>
    <w:rsid w:val="00C9210C"/>
    <w:rsid w:val="00C9210F"/>
    <w:rsid w:val="00C92CE8"/>
    <w:rsid w:val="00C92DBB"/>
    <w:rsid w:val="00C930A4"/>
    <w:rsid w:val="00C930AA"/>
    <w:rsid w:val="00C930B1"/>
    <w:rsid w:val="00C93E01"/>
    <w:rsid w:val="00C941FB"/>
    <w:rsid w:val="00C94477"/>
    <w:rsid w:val="00C94651"/>
    <w:rsid w:val="00C94D62"/>
    <w:rsid w:val="00C95C37"/>
    <w:rsid w:val="00C961F2"/>
    <w:rsid w:val="00C966DA"/>
    <w:rsid w:val="00C9673E"/>
    <w:rsid w:val="00C96927"/>
    <w:rsid w:val="00C96EFB"/>
    <w:rsid w:val="00C978FD"/>
    <w:rsid w:val="00C97963"/>
    <w:rsid w:val="00C979CC"/>
    <w:rsid w:val="00C97D13"/>
    <w:rsid w:val="00CA0571"/>
    <w:rsid w:val="00CA11A6"/>
    <w:rsid w:val="00CA11CB"/>
    <w:rsid w:val="00CA1568"/>
    <w:rsid w:val="00CA191C"/>
    <w:rsid w:val="00CA2054"/>
    <w:rsid w:val="00CA2579"/>
    <w:rsid w:val="00CA26C7"/>
    <w:rsid w:val="00CA2C32"/>
    <w:rsid w:val="00CA2D88"/>
    <w:rsid w:val="00CA2DF3"/>
    <w:rsid w:val="00CA2EAB"/>
    <w:rsid w:val="00CA326F"/>
    <w:rsid w:val="00CA327D"/>
    <w:rsid w:val="00CA32ED"/>
    <w:rsid w:val="00CA334E"/>
    <w:rsid w:val="00CA3500"/>
    <w:rsid w:val="00CA3614"/>
    <w:rsid w:val="00CA3696"/>
    <w:rsid w:val="00CA380E"/>
    <w:rsid w:val="00CA3B98"/>
    <w:rsid w:val="00CA3DC8"/>
    <w:rsid w:val="00CA4052"/>
    <w:rsid w:val="00CA433E"/>
    <w:rsid w:val="00CA4354"/>
    <w:rsid w:val="00CA4946"/>
    <w:rsid w:val="00CA4B80"/>
    <w:rsid w:val="00CA4F0A"/>
    <w:rsid w:val="00CA559F"/>
    <w:rsid w:val="00CA56D8"/>
    <w:rsid w:val="00CA596F"/>
    <w:rsid w:val="00CA5A91"/>
    <w:rsid w:val="00CA5ADF"/>
    <w:rsid w:val="00CA63E8"/>
    <w:rsid w:val="00CA649C"/>
    <w:rsid w:val="00CA64AF"/>
    <w:rsid w:val="00CA6798"/>
    <w:rsid w:val="00CA6A59"/>
    <w:rsid w:val="00CA6CF6"/>
    <w:rsid w:val="00CA6D95"/>
    <w:rsid w:val="00CA702C"/>
    <w:rsid w:val="00CA7662"/>
    <w:rsid w:val="00CA7BDB"/>
    <w:rsid w:val="00CA7C6F"/>
    <w:rsid w:val="00CB0425"/>
    <w:rsid w:val="00CB05F0"/>
    <w:rsid w:val="00CB085B"/>
    <w:rsid w:val="00CB0A55"/>
    <w:rsid w:val="00CB0BEF"/>
    <w:rsid w:val="00CB0E4E"/>
    <w:rsid w:val="00CB1104"/>
    <w:rsid w:val="00CB18F0"/>
    <w:rsid w:val="00CB1B24"/>
    <w:rsid w:val="00CB1E6A"/>
    <w:rsid w:val="00CB1FE7"/>
    <w:rsid w:val="00CB24AC"/>
    <w:rsid w:val="00CB2ABB"/>
    <w:rsid w:val="00CB2F3F"/>
    <w:rsid w:val="00CB320D"/>
    <w:rsid w:val="00CB3451"/>
    <w:rsid w:val="00CB3F54"/>
    <w:rsid w:val="00CB410D"/>
    <w:rsid w:val="00CB41A4"/>
    <w:rsid w:val="00CB4402"/>
    <w:rsid w:val="00CB44E0"/>
    <w:rsid w:val="00CB47E8"/>
    <w:rsid w:val="00CB48C5"/>
    <w:rsid w:val="00CB4982"/>
    <w:rsid w:val="00CB4AC2"/>
    <w:rsid w:val="00CB51BE"/>
    <w:rsid w:val="00CB526E"/>
    <w:rsid w:val="00CB53FA"/>
    <w:rsid w:val="00CB61FD"/>
    <w:rsid w:val="00CB625E"/>
    <w:rsid w:val="00CB6451"/>
    <w:rsid w:val="00CB6538"/>
    <w:rsid w:val="00CB69AF"/>
    <w:rsid w:val="00CB767B"/>
    <w:rsid w:val="00CB7C52"/>
    <w:rsid w:val="00CB7D78"/>
    <w:rsid w:val="00CB7DA2"/>
    <w:rsid w:val="00CC0662"/>
    <w:rsid w:val="00CC0825"/>
    <w:rsid w:val="00CC094A"/>
    <w:rsid w:val="00CC0B15"/>
    <w:rsid w:val="00CC0D25"/>
    <w:rsid w:val="00CC0F9D"/>
    <w:rsid w:val="00CC11AD"/>
    <w:rsid w:val="00CC12D2"/>
    <w:rsid w:val="00CC143B"/>
    <w:rsid w:val="00CC14A8"/>
    <w:rsid w:val="00CC1669"/>
    <w:rsid w:val="00CC1B4D"/>
    <w:rsid w:val="00CC1C50"/>
    <w:rsid w:val="00CC2201"/>
    <w:rsid w:val="00CC22CD"/>
    <w:rsid w:val="00CC2DFE"/>
    <w:rsid w:val="00CC3D98"/>
    <w:rsid w:val="00CC3DCB"/>
    <w:rsid w:val="00CC43C7"/>
    <w:rsid w:val="00CC456D"/>
    <w:rsid w:val="00CC4604"/>
    <w:rsid w:val="00CC4A4F"/>
    <w:rsid w:val="00CC4FBD"/>
    <w:rsid w:val="00CC5049"/>
    <w:rsid w:val="00CC5137"/>
    <w:rsid w:val="00CC5208"/>
    <w:rsid w:val="00CC579D"/>
    <w:rsid w:val="00CC583A"/>
    <w:rsid w:val="00CC5AEA"/>
    <w:rsid w:val="00CC5D06"/>
    <w:rsid w:val="00CC657C"/>
    <w:rsid w:val="00CC686B"/>
    <w:rsid w:val="00CC6C1F"/>
    <w:rsid w:val="00CC6D1E"/>
    <w:rsid w:val="00CC6DD6"/>
    <w:rsid w:val="00CC7005"/>
    <w:rsid w:val="00CC762E"/>
    <w:rsid w:val="00CC796E"/>
    <w:rsid w:val="00CD02B1"/>
    <w:rsid w:val="00CD0793"/>
    <w:rsid w:val="00CD0F88"/>
    <w:rsid w:val="00CD14B5"/>
    <w:rsid w:val="00CD197C"/>
    <w:rsid w:val="00CD19EF"/>
    <w:rsid w:val="00CD2123"/>
    <w:rsid w:val="00CD24E5"/>
    <w:rsid w:val="00CD2916"/>
    <w:rsid w:val="00CD2A05"/>
    <w:rsid w:val="00CD2A2C"/>
    <w:rsid w:val="00CD31D5"/>
    <w:rsid w:val="00CD3434"/>
    <w:rsid w:val="00CD3F42"/>
    <w:rsid w:val="00CD3F7A"/>
    <w:rsid w:val="00CD4816"/>
    <w:rsid w:val="00CD4B75"/>
    <w:rsid w:val="00CD4E54"/>
    <w:rsid w:val="00CD4F79"/>
    <w:rsid w:val="00CD5520"/>
    <w:rsid w:val="00CD55B3"/>
    <w:rsid w:val="00CD564D"/>
    <w:rsid w:val="00CD5751"/>
    <w:rsid w:val="00CD594B"/>
    <w:rsid w:val="00CD59FF"/>
    <w:rsid w:val="00CD6110"/>
    <w:rsid w:val="00CD61A7"/>
    <w:rsid w:val="00CD6349"/>
    <w:rsid w:val="00CD6798"/>
    <w:rsid w:val="00CD7152"/>
    <w:rsid w:val="00CD7306"/>
    <w:rsid w:val="00CD73C4"/>
    <w:rsid w:val="00CD7615"/>
    <w:rsid w:val="00CE092E"/>
    <w:rsid w:val="00CE0A51"/>
    <w:rsid w:val="00CE0D83"/>
    <w:rsid w:val="00CE0E19"/>
    <w:rsid w:val="00CE1322"/>
    <w:rsid w:val="00CE16C8"/>
    <w:rsid w:val="00CE17B6"/>
    <w:rsid w:val="00CE224A"/>
    <w:rsid w:val="00CE239B"/>
    <w:rsid w:val="00CE28B6"/>
    <w:rsid w:val="00CE2C39"/>
    <w:rsid w:val="00CE2DE9"/>
    <w:rsid w:val="00CE2F3B"/>
    <w:rsid w:val="00CE3130"/>
    <w:rsid w:val="00CE3139"/>
    <w:rsid w:val="00CE33BD"/>
    <w:rsid w:val="00CE3648"/>
    <w:rsid w:val="00CE3679"/>
    <w:rsid w:val="00CE3D67"/>
    <w:rsid w:val="00CE3DA5"/>
    <w:rsid w:val="00CE4196"/>
    <w:rsid w:val="00CE41B4"/>
    <w:rsid w:val="00CE41D6"/>
    <w:rsid w:val="00CE41DB"/>
    <w:rsid w:val="00CE4350"/>
    <w:rsid w:val="00CE46BA"/>
    <w:rsid w:val="00CE4B26"/>
    <w:rsid w:val="00CE4E80"/>
    <w:rsid w:val="00CE51C0"/>
    <w:rsid w:val="00CE5210"/>
    <w:rsid w:val="00CE5280"/>
    <w:rsid w:val="00CE5751"/>
    <w:rsid w:val="00CE5F8F"/>
    <w:rsid w:val="00CE62DA"/>
    <w:rsid w:val="00CE677F"/>
    <w:rsid w:val="00CE76D9"/>
    <w:rsid w:val="00CE7B92"/>
    <w:rsid w:val="00CE7C51"/>
    <w:rsid w:val="00CF00BF"/>
    <w:rsid w:val="00CF07F4"/>
    <w:rsid w:val="00CF08C5"/>
    <w:rsid w:val="00CF1461"/>
    <w:rsid w:val="00CF1708"/>
    <w:rsid w:val="00CF176C"/>
    <w:rsid w:val="00CF20F9"/>
    <w:rsid w:val="00CF2226"/>
    <w:rsid w:val="00CF2542"/>
    <w:rsid w:val="00CF2ADA"/>
    <w:rsid w:val="00CF2E4B"/>
    <w:rsid w:val="00CF2FCF"/>
    <w:rsid w:val="00CF33AF"/>
    <w:rsid w:val="00CF372C"/>
    <w:rsid w:val="00CF3EC0"/>
    <w:rsid w:val="00CF3EDA"/>
    <w:rsid w:val="00CF4123"/>
    <w:rsid w:val="00CF4137"/>
    <w:rsid w:val="00CF4B85"/>
    <w:rsid w:val="00CF5CDE"/>
    <w:rsid w:val="00CF5FAF"/>
    <w:rsid w:val="00CF61F1"/>
    <w:rsid w:val="00CF6287"/>
    <w:rsid w:val="00CF67B1"/>
    <w:rsid w:val="00CF68E8"/>
    <w:rsid w:val="00CF7149"/>
    <w:rsid w:val="00CF78F3"/>
    <w:rsid w:val="00CF7C0B"/>
    <w:rsid w:val="00CF7DF8"/>
    <w:rsid w:val="00D00197"/>
    <w:rsid w:val="00D00B0B"/>
    <w:rsid w:val="00D00C97"/>
    <w:rsid w:val="00D00F32"/>
    <w:rsid w:val="00D010B6"/>
    <w:rsid w:val="00D015E1"/>
    <w:rsid w:val="00D01623"/>
    <w:rsid w:val="00D01E1D"/>
    <w:rsid w:val="00D01E96"/>
    <w:rsid w:val="00D02181"/>
    <w:rsid w:val="00D0371D"/>
    <w:rsid w:val="00D03838"/>
    <w:rsid w:val="00D039B6"/>
    <w:rsid w:val="00D03B83"/>
    <w:rsid w:val="00D03EB8"/>
    <w:rsid w:val="00D04115"/>
    <w:rsid w:val="00D0440E"/>
    <w:rsid w:val="00D04461"/>
    <w:rsid w:val="00D0488E"/>
    <w:rsid w:val="00D04B2F"/>
    <w:rsid w:val="00D04E31"/>
    <w:rsid w:val="00D05098"/>
    <w:rsid w:val="00D0608F"/>
    <w:rsid w:val="00D0619C"/>
    <w:rsid w:val="00D0673F"/>
    <w:rsid w:val="00D07B09"/>
    <w:rsid w:val="00D10082"/>
    <w:rsid w:val="00D107F9"/>
    <w:rsid w:val="00D10A3D"/>
    <w:rsid w:val="00D10B10"/>
    <w:rsid w:val="00D116B6"/>
    <w:rsid w:val="00D11D11"/>
    <w:rsid w:val="00D12796"/>
    <w:rsid w:val="00D128DB"/>
    <w:rsid w:val="00D12ACC"/>
    <w:rsid w:val="00D12C8F"/>
    <w:rsid w:val="00D12D64"/>
    <w:rsid w:val="00D131C8"/>
    <w:rsid w:val="00D135F0"/>
    <w:rsid w:val="00D13BF6"/>
    <w:rsid w:val="00D13CDA"/>
    <w:rsid w:val="00D14150"/>
    <w:rsid w:val="00D141E6"/>
    <w:rsid w:val="00D15D19"/>
    <w:rsid w:val="00D1760A"/>
    <w:rsid w:val="00D176BA"/>
    <w:rsid w:val="00D17FA2"/>
    <w:rsid w:val="00D20AD3"/>
    <w:rsid w:val="00D20F8C"/>
    <w:rsid w:val="00D213E2"/>
    <w:rsid w:val="00D2155D"/>
    <w:rsid w:val="00D21FE2"/>
    <w:rsid w:val="00D22064"/>
    <w:rsid w:val="00D22AD9"/>
    <w:rsid w:val="00D22EF4"/>
    <w:rsid w:val="00D232C2"/>
    <w:rsid w:val="00D23653"/>
    <w:rsid w:val="00D23923"/>
    <w:rsid w:val="00D24586"/>
    <w:rsid w:val="00D24A1F"/>
    <w:rsid w:val="00D252EB"/>
    <w:rsid w:val="00D256D0"/>
    <w:rsid w:val="00D25BEC"/>
    <w:rsid w:val="00D25C4B"/>
    <w:rsid w:val="00D25C57"/>
    <w:rsid w:val="00D25D35"/>
    <w:rsid w:val="00D26085"/>
    <w:rsid w:val="00D261DC"/>
    <w:rsid w:val="00D26210"/>
    <w:rsid w:val="00D2626A"/>
    <w:rsid w:val="00D26626"/>
    <w:rsid w:val="00D27056"/>
    <w:rsid w:val="00D308A0"/>
    <w:rsid w:val="00D30AAD"/>
    <w:rsid w:val="00D31063"/>
    <w:rsid w:val="00D313C8"/>
    <w:rsid w:val="00D314C4"/>
    <w:rsid w:val="00D31763"/>
    <w:rsid w:val="00D31949"/>
    <w:rsid w:val="00D320E0"/>
    <w:rsid w:val="00D32305"/>
    <w:rsid w:val="00D32387"/>
    <w:rsid w:val="00D32392"/>
    <w:rsid w:val="00D3239E"/>
    <w:rsid w:val="00D326B1"/>
    <w:rsid w:val="00D32821"/>
    <w:rsid w:val="00D32864"/>
    <w:rsid w:val="00D32978"/>
    <w:rsid w:val="00D33B9A"/>
    <w:rsid w:val="00D33E0D"/>
    <w:rsid w:val="00D343DD"/>
    <w:rsid w:val="00D344CF"/>
    <w:rsid w:val="00D34688"/>
    <w:rsid w:val="00D34891"/>
    <w:rsid w:val="00D34AE0"/>
    <w:rsid w:val="00D34AE1"/>
    <w:rsid w:val="00D34C58"/>
    <w:rsid w:val="00D34CF9"/>
    <w:rsid w:val="00D34F4F"/>
    <w:rsid w:val="00D353E2"/>
    <w:rsid w:val="00D35947"/>
    <w:rsid w:val="00D359DE"/>
    <w:rsid w:val="00D35EED"/>
    <w:rsid w:val="00D365C7"/>
    <w:rsid w:val="00D36B9A"/>
    <w:rsid w:val="00D3768A"/>
    <w:rsid w:val="00D37A1D"/>
    <w:rsid w:val="00D403A8"/>
    <w:rsid w:val="00D4088E"/>
    <w:rsid w:val="00D40AC7"/>
    <w:rsid w:val="00D41085"/>
    <w:rsid w:val="00D412B5"/>
    <w:rsid w:val="00D41517"/>
    <w:rsid w:val="00D41555"/>
    <w:rsid w:val="00D419C0"/>
    <w:rsid w:val="00D41AB6"/>
    <w:rsid w:val="00D41B90"/>
    <w:rsid w:val="00D41DDF"/>
    <w:rsid w:val="00D41F6B"/>
    <w:rsid w:val="00D41F71"/>
    <w:rsid w:val="00D42B5C"/>
    <w:rsid w:val="00D42CE9"/>
    <w:rsid w:val="00D42D6A"/>
    <w:rsid w:val="00D431A8"/>
    <w:rsid w:val="00D4325E"/>
    <w:rsid w:val="00D43663"/>
    <w:rsid w:val="00D43F16"/>
    <w:rsid w:val="00D43F45"/>
    <w:rsid w:val="00D4400F"/>
    <w:rsid w:val="00D442B9"/>
    <w:rsid w:val="00D44316"/>
    <w:rsid w:val="00D4486E"/>
    <w:rsid w:val="00D44D93"/>
    <w:rsid w:val="00D44EA5"/>
    <w:rsid w:val="00D45303"/>
    <w:rsid w:val="00D459F2"/>
    <w:rsid w:val="00D45A03"/>
    <w:rsid w:val="00D45E3F"/>
    <w:rsid w:val="00D462C4"/>
    <w:rsid w:val="00D463C2"/>
    <w:rsid w:val="00D467C8"/>
    <w:rsid w:val="00D46AE0"/>
    <w:rsid w:val="00D501B7"/>
    <w:rsid w:val="00D50321"/>
    <w:rsid w:val="00D50707"/>
    <w:rsid w:val="00D50B21"/>
    <w:rsid w:val="00D50E48"/>
    <w:rsid w:val="00D50EDE"/>
    <w:rsid w:val="00D5112F"/>
    <w:rsid w:val="00D516F6"/>
    <w:rsid w:val="00D5185E"/>
    <w:rsid w:val="00D524B9"/>
    <w:rsid w:val="00D52904"/>
    <w:rsid w:val="00D52A35"/>
    <w:rsid w:val="00D52A9A"/>
    <w:rsid w:val="00D52CE7"/>
    <w:rsid w:val="00D52DFE"/>
    <w:rsid w:val="00D5325F"/>
    <w:rsid w:val="00D5370D"/>
    <w:rsid w:val="00D5375C"/>
    <w:rsid w:val="00D53E39"/>
    <w:rsid w:val="00D53E3D"/>
    <w:rsid w:val="00D54E12"/>
    <w:rsid w:val="00D54FCF"/>
    <w:rsid w:val="00D552EE"/>
    <w:rsid w:val="00D555D9"/>
    <w:rsid w:val="00D5563B"/>
    <w:rsid w:val="00D559C1"/>
    <w:rsid w:val="00D560CB"/>
    <w:rsid w:val="00D5618B"/>
    <w:rsid w:val="00D56AAC"/>
    <w:rsid w:val="00D56E4B"/>
    <w:rsid w:val="00D57510"/>
    <w:rsid w:val="00D57A80"/>
    <w:rsid w:val="00D57ABC"/>
    <w:rsid w:val="00D57D9D"/>
    <w:rsid w:val="00D6005F"/>
    <w:rsid w:val="00D6009B"/>
    <w:rsid w:val="00D60869"/>
    <w:rsid w:val="00D60B60"/>
    <w:rsid w:val="00D60F34"/>
    <w:rsid w:val="00D60F53"/>
    <w:rsid w:val="00D61221"/>
    <w:rsid w:val="00D613B9"/>
    <w:rsid w:val="00D614AD"/>
    <w:rsid w:val="00D615D0"/>
    <w:rsid w:val="00D616A6"/>
    <w:rsid w:val="00D62660"/>
    <w:rsid w:val="00D627AE"/>
    <w:rsid w:val="00D62989"/>
    <w:rsid w:val="00D62F33"/>
    <w:rsid w:val="00D6310F"/>
    <w:rsid w:val="00D6314B"/>
    <w:rsid w:val="00D633BA"/>
    <w:rsid w:val="00D6354E"/>
    <w:rsid w:val="00D63659"/>
    <w:rsid w:val="00D63AB2"/>
    <w:rsid w:val="00D63AF5"/>
    <w:rsid w:val="00D63B0A"/>
    <w:rsid w:val="00D64225"/>
    <w:rsid w:val="00D64413"/>
    <w:rsid w:val="00D645B2"/>
    <w:rsid w:val="00D64A09"/>
    <w:rsid w:val="00D64C18"/>
    <w:rsid w:val="00D64F75"/>
    <w:rsid w:val="00D650E8"/>
    <w:rsid w:val="00D65AFD"/>
    <w:rsid w:val="00D65B58"/>
    <w:rsid w:val="00D65CCB"/>
    <w:rsid w:val="00D65D43"/>
    <w:rsid w:val="00D65F63"/>
    <w:rsid w:val="00D66952"/>
    <w:rsid w:val="00D66B13"/>
    <w:rsid w:val="00D671B0"/>
    <w:rsid w:val="00D67288"/>
    <w:rsid w:val="00D6783B"/>
    <w:rsid w:val="00D678A1"/>
    <w:rsid w:val="00D67A4C"/>
    <w:rsid w:val="00D7010B"/>
    <w:rsid w:val="00D7012D"/>
    <w:rsid w:val="00D70647"/>
    <w:rsid w:val="00D70A85"/>
    <w:rsid w:val="00D70FEC"/>
    <w:rsid w:val="00D711EF"/>
    <w:rsid w:val="00D712E0"/>
    <w:rsid w:val="00D7199D"/>
    <w:rsid w:val="00D71DB8"/>
    <w:rsid w:val="00D72221"/>
    <w:rsid w:val="00D722AE"/>
    <w:rsid w:val="00D722D7"/>
    <w:rsid w:val="00D72ACA"/>
    <w:rsid w:val="00D72C59"/>
    <w:rsid w:val="00D72D54"/>
    <w:rsid w:val="00D73182"/>
    <w:rsid w:val="00D736DA"/>
    <w:rsid w:val="00D73EA8"/>
    <w:rsid w:val="00D73EEA"/>
    <w:rsid w:val="00D7406D"/>
    <w:rsid w:val="00D74154"/>
    <w:rsid w:val="00D74376"/>
    <w:rsid w:val="00D74702"/>
    <w:rsid w:val="00D747C1"/>
    <w:rsid w:val="00D75358"/>
    <w:rsid w:val="00D753A4"/>
    <w:rsid w:val="00D75738"/>
    <w:rsid w:val="00D757C3"/>
    <w:rsid w:val="00D75CCB"/>
    <w:rsid w:val="00D75EEC"/>
    <w:rsid w:val="00D76133"/>
    <w:rsid w:val="00D7706F"/>
    <w:rsid w:val="00D770C4"/>
    <w:rsid w:val="00D7741C"/>
    <w:rsid w:val="00D77852"/>
    <w:rsid w:val="00D77A01"/>
    <w:rsid w:val="00D77A5C"/>
    <w:rsid w:val="00D77F40"/>
    <w:rsid w:val="00D802E5"/>
    <w:rsid w:val="00D8036A"/>
    <w:rsid w:val="00D803CA"/>
    <w:rsid w:val="00D80A25"/>
    <w:rsid w:val="00D80ED9"/>
    <w:rsid w:val="00D8160B"/>
    <w:rsid w:val="00D818CA"/>
    <w:rsid w:val="00D819B1"/>
    <w:rsid w:val="00D81BE4"/>
    <w:rsid w:val="00D82232"/>
    <w:rsid w:val="00D828E9"/>
    <w:rsid w:val="00D82AAD"/>
    <w:rsid w:val="00D83DBC"/>
    <w:rsid w:val="00D840B0"/>
    <w:rsid w:val="00D84157"/>
    <w:rsid w:val="00D8428D"/>
    <w:rsid w:val="00D85114"/>
    <w:rsid w:val="00D85340"/>
    <w:rsid w:val="00D859EA"/>
    <w:rsid w:val="00D86289"/>
    <w:rsid w:val="00D86290"/>
    <w:rsid w:val="00D864DB"/>
    <w:rsid w:val="00D8652F"/>
    <w:rsid w:val="00D86AF2"/>
    <w:rsid w:val="00D86D9C"/>
    <w:rsid w:val="00D86FB3"/>
    <w:rsid w:val="00D87B88"/>
    <w:rsid w:val="00D87CB2"/>
    <w:rsid w:val="00D9020F"/>
    <w:rsid w:val="00D902F1"/>
    <w:rsid w:val="00D9063E"/>
    <w:rsid w:val="00D90971"/>
    <w:rsid w:val="00D90C92"/>
    <w:rsid w:val="00D90DDB"/>
    <w:rsid w:val="00D90FC7"/>
    <w:rsid w:val="00D912B4"/>
    <w:rsid w:val="00D91458"/>
    <w:rsid w:val="00D914EE"/>
    <w:rsid w:val="00D91D5B"/>
    <w:rsid w:val="00D91DF8"/>
    <w:rsid w:val="00D927F1"/>
    <w:rsid w:val="00D92F52"/>
    <w:rsid w:val="00D93515"/>
    <w:rsid w:val="00D9378F"/>
    <w:rsid w:val="00D93FAE"/>
    <w:rsid w:val="00D94732"/>
    <w:rsid w:val="00D9504E"/>
    <w:rsid w:val="00D96091"/>
    <w:rsid w:val="00D96285"/>
    <w:rsid w:val="00D96C1B"/>
    <w:rsid w:val="00D96F22"/>
    <w:rsid w:val="00D972F3"/>
    <w:rsid w:val="00D97510"/>
    <w:rsid w:val="00D975F1"/>
    <w:rsid w:val="00D97628"/>
    <w:rsid w:val="00DA0075"/>
    <w:rsid w:val="00DA009B"/>
    <w:rsid w:val="00DA1148"/>
    <w:rsid w:val="00DA16A7"/>
    <w:rsid w:val="00DA1825"/>
    <w:rsid w:val="00DA1BBB"/>
    <w:rsid w:val="00DA1CF8"/>
    <w:rsid w:val="00DA21FF"/>
    <w:rsid w:val="00DA2949"/>
    <w:rsid w:val="00DA299A"/>
    <w:rsid w:val="00DA2B85"/>
    <w:rsid w:val="00DA3013"/>
    <w:rsid w:val="00DA3042"/>
    <w:rsid w:val="00DA3153"/>
    <w:rsid w:val="00DA392F"/>
    <w:rsid w:val="00DA3A45"/>
    <w:rsid w:val="00DA3E5D"/>
    <w:rsid w:val="00DA40E4"/>
    <w:rsid w:val="00DA47C2"/>
    <w:rsid w:val="00DA4DE8"/>
    <w:rsid w:val="00DA5057"/>
    <w:rsid w:val="00DA50DA"/>
    <w:rsid w:val="00DA5432"/>
    <w:rsid w:val="00DA58B1"/>
    <w:rsid w:val="00DA5B7A"/>
    <w:rsid w:val="00DA5F4F"/>
    <w:rsid w:val="00DA6060"/>
    <w:rsid w:val="00DA6253"/>
    <w:rsid w:val="00DA68E9"/>
    <w:rsid w:val="00DA6D78"/>
    <w:rsid w:val="00DA6D7E"/>
    <w:rsid w:val="00DA76BA"/>
    <w:rsid w:val="00DA7E17"/>
    <w:rsid w:val="00DB042B"/>
    <w:rsid w:val="00DB05DA"/>
    <w:rsid w:val="00DB107B"/>
    <w:rsid w:val="00DB1A31"/>
    <w:rsid w:val="00DB1B39"/>
    <w:rsid w:val="00DB208C"/>
    <w:rsid w:val="00DB20D7"/>
    <w:rsid w:val="00DB2561"/>
    <w:rsid w:val="00DB2A1A"/>
    <w:rsid w:val="00DB2E1C"/>
    <w:rsid w:val="00DB3686"/>
    <w:rsid w:val="00DB4CBD"/>
    <w:rsid w:val="00DB4FE9"/>
    <w:rsid w:val="00DB571D"/>
    <w:rsid w:val="00DB58BE"/>
    <w:rsid w:val="00DB5F8E"/>
    <w:rsid w:val="00DB60DE"/>
    <w:rsid w:val="00DB682E"/>
    <w:rsid w:val="00DB6E04"/>
    <w:rsid w:val="00DB74D1"/>
    <w:rsid w:val="00DB78C3"/>
    <w:rsid w:val="00DB7DCD"/>
    <w:rsid w:val="00DC0147"/>
    <w:rsid w:val="00DC0BCA"/>
    <w:rsid w:val="00DC0C44"/>
    <w:rsid w:val="00DC13EF"/>
    <w:rsid w:val="00DC1648"/>
    <w:rsid w:val="00DC1694"/>
    <w:rsid w:val="00DC23B0"/>
    <w:rsid w:val="00DC259B"/>
    <w:rsid w:val="00DC25B2"/>
    <w:rsid w:val="00DC25C6"/>
    <w:rsid w:val="00DC2664"/>
    <w:rsid w:val="00DC2745"/>
    <w:rsid w:val="00DC2828"/>
    <w:rsid w:val="00DC2A4F"/>
    <w:rsid w:val="00DC2E15"/>
    <w:rsid w:val="00DC3192"/>
    <w:rsid w:val="00DC3747"/>
    <w:rsid w:val="00DC422A"/>
    <w:rsid w:val="00DC465B"/>
    <w:rsid w:val="00DC46DE"/>
    <w:rsid w:val="00DC54F9"/>
    <w:rsid w:val="00DC5AD9"/>
    <w:rsid w:val="00DC628B"/>
    <w:rsid w:val="00DC6313"/>
    <w:rsid w:val="00DC642B"/>
    <w:rsid w:val="00DC67A3"/>
    <w:rsid w:val="00DC6BFB"/>
    <w:rsid w:val="00DC6C42"/>
    <w:rsid w:val="00DC6EBA"/>
    <w:rsid w:val="00DC7132"/>
    <w:rsid w:val="00DC7241"/>
    <w:rsid w:val="00DC7463"/>
    <w:rsid w:val="00DC77D1"/>
    <w:rsid w:val="00DC7985"/>
    <w:rsid w:val="00DD0391"/>
    <w:rsid w:val="00DD068D"/>
    <w:rsid w:val="00DD12E1"/>
    <w:rsid w:val="00DD178C"/>
    <w:rsid w:val="00DD1826"/>
    <w:rsid w:val="00DD1915"/>
    <w:rsid w:val="00DD1934"/>
    <w:rsid w:val="00DD1DC8"/>
    <w:rsid w:val="00DD1DD9"/>
    <w:rsid w:val="00DD2732"/>
    <w:rsid w:val="00DD2871"/>
    <w:rsid w:val="00DD328B"/>
    <w:rsid w:val="00DD32A6"/>
    <w:rsid w:val="00DD4420"/>
    <w:rsid w:val="00DD496A"/>
    <w:rsid w:val="00DD4D04"/>
    <w:rsid w:val="00DD4E96"/>
    <w:rsid w:val="00DD4EEE"/>
    <w:rsid w:val="00DD5314"/>
    <w:rsid w:val="00DD53B3"/>
    <w:rsid w:val="00DD53B6"/>
    <w:rsid w:val="00DD606D"/>
    <w:rsid w:val="00DD62C8"/>
    <w:rsid w:val="00DD62DF"/>
    <w:rsid w:val="00DD678D"/>
    <w:rsid w:val="00DD67E4"/>
    <w:rsid w:val="00DD6B13"/>
    <w:rsid w:val="00DD6F72"/>
    <w:rsid w:val="00DD7651"/>
    <w:rsid w:val="00DD7BE2"/>
    <w:rsid w:val="00DE01B3"/>
    <w:rsid w:val="00DE01C1"/>
    <w:rsid w:val="00DE0828"/>
    <w:rsid w:val="00DE0C9B"/>
    <w:rsid w:val="00DE0ED5"/>
    <w:rsid w:val="00DE232E"/>
    <w:rsid w:val="00DE270F"/>
    <w:rsid w:val="00DE273E"/>
    <w:rsid w:val="00DE2877"/>
    <w:rsid w:val="00DE2B25"/>
    <w:rsid w:val="00DE2D0A"/>
    <w:rsid w:val="00DE2E6C"/>
    <w:rsid w:val="00DE3441"/>
    <w:rsid w:val="00DE3492"/>
    <w:rsid w:val="00DE377C"/>
    <w:rsid w:val="00DE3872"/>
    <w:rsid w:val="00DE39ED"/>
    <w:rsid w:val="00DE4128"/>
    <w:rsid w:val="00DE4490"/>
    <w:rsid w:val="00DE456A"/>
    <w:rsid w:val="00DE4597"/>
    <w:rsid w:val="00DE48D0"/>
    <w:rsid w:val="00DE4B26"/>
    <w:rsid w:val="00DE4B67"/>
    <w:rsid w:val="00DE4CCA"/>
    <w:rsid w:val="00DE5938"/>
    <w:rsid w:val="00DE59DD"/>
    <w:rsid w:val="00DE5A10"/>
    <w:rsid w:val="00DE5C54"/>
    <w:rsid w:val="00DE6282"/>
    <w:rsid w:val="00DE67FC"/>
    <w:rsid w:val="00DE6821"/>
    <w:rsid w:val="00DE6DA3"/>
    <w:rsid w:val="00DE6FD0"/>
    <w:rsid w:val="00DE7598"/>
    <w:rsid w:val="00DE75A4"/>
    <w:rsid w:val="00DE7DFF"/>
    <w:rsid w:val="00DE7F7C"/>
    <w:rsid w:val="00DF0423"/>
    <w:rsid w:val="00DF04B2"/>
    <w:rsid w:val="00DF07E6"/>
    <w:rsid w:val="00DF0B86"/>
    <w:rsid w:val="00DF1A29"/>
    <w:rsid w:val="00DF1A3B"/>
    <w:rsid w:val="00DF1CDE"/>
    <w:rsid w:val="00DF1D6C"/>
    <w:rsid w:val="00DF21B3"/>
    <w:rsid w:val="00DF23E1"/>
    <w:rsid w:val="00DF2A7F"/>
    <w:rsid w:val="00DF2B3D"/>
    <w:rsid w:val="00DF2B66"/>
    <w:rsid w:val="00DF2CC0"/>
    <w:rsid w:val="00DF2D05"/>
    <w:rsid w:val="00DF2E3A"/>
    <w:rsid w:val="00DF36FA"/>
    <w:rsid w:val="00DF370F"/>
    <w:rsid w:val="00DF3967"/>
    <w:rsid w:val="00DF3BDB"/>
    <w:rsid w:val="00DF3E2D"/>
    <w:rsid w:val="00DF421D"/>
    <w:rsid w:val="00DF486C"/>
    <w:rsid w:val="00DF4D94"/>
    <w:rsid w:val="00DF4F74"/>
    <w:rsid w:val="00DF54FB"/>
    <w:rsid w:val="00DF5756"/>
    <w:rsid w:val="00DF5C1C"/>
    <w:rsid w:val="00DF5FCE"/>
    <w:rsid w:val="00DF602D"/>
    <w:rsid w:val="00DF642D"/>
    <w:rsid w:val="00DF65D7"/>
    <w:rsid w:val="00DF65E8"/>
    <w:rsid w:val="00DF6780"/>
    <w:rsid w:val="00DF6CF0"/>
    <w:rsid w:val="00DF706F"/>
    <w:rsid w:val="00DF7134"/>
    <w:rsid w:val="00DF742B"/>
    <w:rsid w:val="00E00044"/>
    <w:rsid w:val="00E00058"/>
    <w:rsid w:val="00E0025B"/>
    <w:rsid w:val="00E00330"/>
    <w:rsid w:val="00E009B4"/>
    <w:rsid w:val="00E00E74"/>
    <w:rsid w:val="00E01907"/>
    <w:rsid w:val="00E01E83"/>
    <w:rsid w:val="00E02014"/>
    <w:rsid w:val="00E02270"/>
    <w:rsid w:val="00E02DA2"/>
    <w:rsid w:val="00E03ECF"/>
    <w:rsid w:val="00E042FD"/>
    <w:rsid w:val="00E0439E"/>
    <w:rsid w:val="00E048CA"/>
    <w:rsid w:val="00E049EB"/>
    <w:rsid w:val="00E04C7D"/>
    <w:rsid w:val="00E04CA9"/>
    <w:rsid w:val="00E05221"/>
    <w:rsid w:val="00E0534E"/>
    <w:rsid w:val="00E0564B"/>
    <w:rsid w:val="00E05E5B"/>
    <w:rsid w:val="00E06607"/>
    <w:rsid w:val="00E068B1"/>
    <w:rsid w:val="00E06CCC"/>
    <w:rsid w:val="00E06CDE"/>
    <w:rsid w:val="00E07333"/>
    <w:rsid w:val="00E07B56"/>
    <w:rsid w:val="00E07C04"/>
    <w:rsid w:val="00E07C72"/>
    <w:rsid w:val="00E10055"/>
    <w:rsid w:val="00E106DE"/>
    <w:rsid w:val="00E10EEE"/>
    <w:rsid w:val="00E11720"/>
    <w:rsid w:val="00E1184F"/>
    <w:rsid w:val="00E11ECA"/>
    <w:rsid w:val="00E11EDA"/>
    <w:rsid w:val="00E122A1"/>
    <w:rsid w:val="00E12794"/>
    <w:rsid w:val="00E12958"/>
    <w:rsid w:val="00E12CDA"/>
    <w:rsid w:val="00E1330C"/>
    <w:rsid w:val="00E134DD"/>
    <w:rsid w:val="00E13552"/>
    <w:rsid w:val="00E1379F"/>
    <w:rsid w:val="00E1399D"/>
    <w:rsid w:val="00E13D8F"/>
    <w:rsid w:val="00E142A0"/>
    <w:rsid w:val="00E1453F"/>
    <w:rsid w:val="00E14AA5"/>
    <w:rsid w:val="00E14CA4"/>
    <w:rsid w:val="00E15391"/>
    <w:rsid w:val="00E1574D"/>
    <w:rsid w:val="00E15849"/>
    <w:rsid w:val="00E15919"/>
    <w:rsid w:val="00E15CAC"/>
    <w:rsid w:val="00E15E70"/>
    <w:rsid w:val="00E1643B"/>
    <w:rsid w:val="00E16584"/>
    <w:rsid w:val="00E16ACE"/>
    <w:rsid w:val="00E16E88"/>
    <w:rsid w:val="00E16EC4"/>
    <w:rsid w:val="00E17025"/>
    <w:rsid w:val="00E1737B"/>
    <w:rsid w:val="00E1761E"/>
    <w:rsid w:val="00E17852"/>
    <w:rsid w:val="00E2001D"/>
    <w:rsid w:val="00E20740"/>
    <w:rsid w:val="00E20B95"/>
    <w:rsid w:val="00E20EC7"/>
    <w:rsid w:val="00E213F9"/>
    <w:rsid w:val="00E21E38"/>
    <w:rsid w:val="00E221D6"/>
    <w:rsid w:val="00E22443"/>
    <w:rsid w:val="00E228AC"/>
    <w:rsid w:val="00E22D48"/>
    <w:rsid w:val="00E22E71"/>
    <w:rsid w:val="00E23026"/>
    <w:rsid w:val="00E230D7"/>
    <w:rsid w:val="00E23321"/>
    <w:rsid w:val="00E236E0"/>
    <w:rsid w:val="00E23BB9"/>
    <w:rsid w:val="00E23F4C"/>
    <w:rsid w:val="00E24678"/>
    <w:rsid w:val="00E25410"/>
    <w:rsid w:val="00E25C58"/>
    <w:rsid w:val="00E25D0F"/>
    <w:rsid w:val="00E26A1F"/>
    <w:rsid w:val="00E26A48"/>
    <w:rsid w:val="00E26B88"/>
    <w:rsid w:val="00E26C70"/>
    <w:rsid w:val="00E26E1D"/>
    <w:rsid w:val="00E2796F"/>
    <w:rsid w:val="00E30877"/>
    <w:rsid w:val="00E30E09"/>
    <w:rsid w:val="00E314E0"/>
    <w:rsid w:val="00E31A33"/>
    <w:rsid w:val="00E328CF"/>
    <w:rsid w:val="00E3293A"/>
    <w:rsid w:val="00E32C1F"/>
    <w:rsid w:val="00E3319C"/>
    <w:rsid w:val="00E331A7"/>
    <w:rsid w:val="00E337BE"/>
    <w:rsid w:val="00E3384B"/>
    <w:rsid w:val="00E33EDD"/>
    <w:rsid w:val="00E34365"/>
    <w:rsid w:val="00E34A55"/>
    <w:rsid w:val="00E34C76"/>
    <w:rsid w:val="00E35287"/>
    <w:rsid w:val="00E353A7"/>
    <w:rsid w:val="00E35890"/>
    <w:rsid w:val="00E35C2A"/>
    <w:rsid w:val="00E35FAD"/>
    <w:rsid w:val="00E362A4"/>
    <w:rsid w:val="00E366E4"/>
    <w:rsid w:val="00E369CD"/>
    <w:rsid w:val="00E36D0D"/>
    <w:rsid w:val="00E36DBA"/>
    <w:rsid w:val="00E36E2C"/>
    <w:rsid w:val="00E3704C"/>
    <w:rsid w:val="00E37432"/>
    <w:rsid w:val="00E37450"/>
    <w:rsid w:val="00E37BF1"/>
    <w:rsid w:val="00E40723"/>
    <w:rsid w:val="00E40882"/>
    <w:rsid w:val="00E40B0F"/>
    <w:rsid w:val="00E40F92"/>
    <w:rsid w:val="00E411EA"/>
    <w:rsid w:val="00E419AD"/>
    <w:rsid w:val="00E419F2"/>
    <w:rsid w:val="00E41F2D"/>
    <w:rsid w:val="00E421C1"/>
    <w:rsid w:val="00E42A41"/>
    <w:rsid w:val="00E42E79"/>
    <w:rsid w:val="00E42F5D"/>
    <w:rsid w:val="00E42FCE"/>
    <w:rsid w:val="00E43640"/>
    <w:rsid w:val="00E43B6B"/>
    <w:rsid w:val="00E44005"/>
    <w:rsid w:val="00E4416A"/>
    <w:rsid w:val="00E442DA"/>
    <w:rsid w:val="00E4441D"/>
    <w:rsid w:val="00E45279"/>
    <w:rsid w:val="00E4546B"/>
    <w:rsid w:val="00E4564C"/>
    <w:rsid w:val="00E45B53"/>
    <w:rsid w:val="00E45B83"/>
    <w:rsid w:val="00E45D89"/>
    <w:rsid w:val="00E46150"/>
    <w:rsid w:val="00E46328"/>
    <w:rsid w:val="00E46F24"/>
    <w:rsid w:val="00E47A3E"/>
    <w:rsid w:val="00E47C87"/>
    <w:rsid w:val="00E47D58"/>
    <w:rsid w:val="00E5039B"/>
    <w:rsid w:val="00E503DB"/>
    <w:rsid w:val="00E50FE1"/>
    <w:rsid w:val="00E51069"/>
    <w:rsid w:val="00E512D6"/>
    <w:rsid w:val="00E5149B"/>
    <w:rsid w:val="00E514E5"/>
    <w:rsid w:val="00E516B8"/>
    <w:rsid w:val="00E51B4E"/>
    <w:rsid w:val="00E51D33"/>
    <w:rsid w:val="00E51DC9"/>
    <w:rsid w:val="00E522C2"/>
    <w:rsid w:val="00E52740"/>
    <w:rsid w:val="00E527EC"/>
    <w:rsid w:val="00E5295B"/>
    <w:rsid w:val="00E52A82"/>
    <w:rsid w:val="00E52F76"/>
    <w:rsid w:val="00E530C2"/>
    <w:rsid w:val="00E5338B"/>
    <w:rsid w:val="00E53A14"/>
    <w:rsid w:val="00E53C8A"/>
    <w:rsid w:val="00E53D3A"/>
    <w:rsid w:val="00E53D9B"/>
    <w:rsid w:val="00E5429B"/>
    <w:rsid w:val="00E54995"/>
    <w:rsid w:val="00E549C5"/>
    <w:rsid w:val="00E54B0B"/>
    <w:rsid w:val="00E550A7"/>
    <w:rsid w:val="00E55E22"/>
    <w:rsid w:val="00E560DA"/>
    <w:rsid w:val="00E56535"/>
    <w:rsid w:val="00E56B15"/>
    <w:rsid w:val="00E56BE6"/>
    <w:rsid w:val="00E574AC"/>
    <w:rsid w:val="00E57E22"/>
    <w:rsid w:val="00E60094"/>
    <w:rsid w:val="00E602D9"/>
    <w:rsid w:val="00E60530"/>
    <w:rsid w:val="00E61147"/>
    <w:rsid w:val="00E613EF"/>
    <w:rsid w:val="00E61582"/>
    <w:rsid w:val="00E61614"/>
    <w:rsid w:val="00E616C3"/>
    <w:rsid w:val="00E61D4F"/>
    <w:rsid w:val="00E62472"/>
    <w:rsid w:val="00E62661"/>
    <w:rsid w:val="00E628DC"/>
    <w:rsid w:val="00E629C4"/>
    <w:rsid w:val="00E62DFE"/>
    <w:rsid w:val="00E62E06"/>
    <w:rsid w:val="00E63495"/>
    <w:rsid w:val="00E63B4B"/>
    <w:rsid w:val="00E63D28"/>
    <w:rsid w:val="00E64AFB"/>
    <w:rsid w:val="00E64B46"/>
    <w:rsid w:val="00E64E3C"/>
    <w:rsid w:val="00E6544B"/>
    <w:rsid w:val="00E65651"/>
    <w:rsid w:val="00E659FF"/>
    <w:rsid w:val="00E65BD2"/>
    <w:rsid w:val="00E65D2E"/>
    <w:rsid w:val="00E65F3B"/>
    <w:rsid w:val="00E66268"/>
    <w:rsid w:val="00E6696B"/>
    <w:rsid w:val="00E66A7B"/>
    <w:rsid w:val="00E67204"/>
    <w:rsid w:val="00E67718"/>
    <w:rsid w:val="00E679BB"/>
    <w:rsid w:val="00E701F1"/>
    <w:rsid w:val="00E704B0"/>
    <w:rsid w:val="00E704E9"/>
    <w:rsid w:val="00E7086C"/>
    <w:rsid w:val="00E70F4D"/>
    <w:rsid w:val="00E712A8"/>
    <w:rsid w:val="00E71303"/>
    <w:rsid w:val="00E71670"/>
    <w:rsid w:val="00E7167B"/>
    <w:rsid w:val="00E717CB"/>
    <w:rsid w:val="00E71E81"/>
    <w:rsid w:val="00E7285D"/>
    <w:rsid w:val="00E729AC"/>
    <w:rsid w:val="00E72A17"/>
    <w:rsid w:val="00E72EAF"/>
    <w:rsid w:val="00E73774"/>
    <w:rsid w:val="00E73A96"/>
    <w:rsid w:val="00E7500D"/>
    <w:rsid w:val="00E7557C"/>
    <w:rsid w:val="00E755B8"/>
    <w:rsid w:val="00E756F4"/>
    <w:rsid w:val="00E75749"/>
    <w:rsid w:val="00E75DB8"/>
    <w:rsid w:val="00E76449"/>
    <w:rsid w:val="00E767BA"/>
    <w:rsid w:val="00E767D5"/>
    <w:rsid w:val="00E769AC"/>
    <w:rsid w:val="00E76B4B"/>
    <w:rsid w:val="00E76BE2"/>
    <w:rsid w:val="00E76E22"/>
    <w:rsid w:val="00E77627"/>
    <w:rsid w:val="00E80449"/>
    <w:rsid w:val="00E806BB"/>
    <w:rsid w:val="00E80CDF"/>
    <w:rsid w:val="00E81230"/>
    <w:rsid w:val="00E812D3"/>
    <w:rsid w:val="00E817E4"/>
    <w:rsid w:val="00E81F50"/>
    <w:rsid w:val="00E82421"/>
    <w:rsid w:val="00E82692"/>
    <w:rsid w:val="00E82709"/>
    <w:rsid w:val="00E827F9"/>
    <w:rsid w:val="00E82A7C"/>
    <w:rsid w:val="00E82C61"/>
    <w:rsid w:val="00E82F62"/>
    <w:rsid w:val="00E8310B"/>
    <w:rsid w:val="00E83D6E"/>
    <w:rsid w:val="00E8435B"/>
    <w:rsid w:val="00E84959"/>
    <w:rsid w:val="00E84B15"/>
    <w:rsid w:val="00E84C14"/>
    <w:rsid w:val="00E84C97"/>
    <w:rsid w:val="00E84F89"/>
    <w:rsid w:val="00E85302"/>
    <w:rsid w:val="00E869D9"/>
    <w:rsid w:val="00E86A6F"/>
    <w:rsid w:val="00E86C8E"/>
    <w:rsid w:val="00E86E2B"/>
    <w:rsid w:val="00E86F59"/>
    <w:rsid w:val="00E87AC6"/>
    <w:rsid w:val="00E87BF2"/>
    <w:rsid w:val="00E87F57"/>
    <w:rsid w:val="00E902BC"/>
    <w:rsid w:val="00E90B24"/>
    <w:rsid w:val="00E90C4C"/>
    <w:rsid w:val="00E90DD9"/>
    <w:rsid w:val="00E911A9"/>
    <w:rsid w:val="00E91503"/>
    <w:rsid w:val="00E9245D"/>
    <w:rsid w:val="00E9287B"/>
    <w:rsid w:val="00E92911"/>
    <w:rsid w:val="00E92F9A"/>
    <w:rsid w:val="00E930BC"/>
    <w:rsid w:val="00E93375"/>
    <w:rsid w:val="00E935A6"/>
    <w:rsid w:val="00E93B4E"/>
    <w:rsid w:val="00E94085"/>
    <w:rsid w:val="00E940DC"/>
    <w:rsid w:val="00E948C7"/>
    <w:rsid w:val="00E95320"/>
    <w:rsid w:val="00E955D4"/>
    <w:rsid w:val="00E957CE"/>
    <w:rsid w:val="00E95B4E"/>
    <w:rsid w:val="00E95C81"/>
    <w:rsid w:val="00E95D47"/>
    <w:rsid w:val="00E95EEA"/>
    <w:rsid w:val="00E96899"/>
    <w:rsid w:val="00E968E5"/>
    <w:rsid w:val="00E969B8"/>
    <w:rsid w:val="00E96CC0"/>
    <w:rsid w:val="00E9705B"/>
    <w:rsid w:val="00E9726D"/>
    <w:rsid w:val="00E977BD"/>
    <w:rsid w:val="00E97C51"/>
    <w:rsid w:val="00E97E7B"/>
    <w:rsid w:val="00EA0250"/>
    <w:rsid w:val="00EA0662"/>
    <w:rsid w:val="00EA09C4"/>
    <w:rsid w:val="00EA09ED"/>
    <w:rsid w:val="00EA0A0A"/>
    <w:rsid w:val="00EA1066"/>
    <w:rsid w:val="00EA1381"/>
    <w:rsid w:val="00EA142E"/>
    <w:rsid w:val="00EA18A3"/>
    <w:rsid w:val="00EA1C48"/>
    <w:rsid w:val="00EA1D76"/>
    <w:rsid w:val="00EA1D8E"/>
    <w:rsid w:val="00EA1DE7"/>
    <w:rsid w:val="00EA20E1"/>
    <w:rsid w:val="00EA225C"/>
    <w:rsid w:val="00EA2694"/>
    <w:rsid w:val="00EA2851"/>
    <w:rsid w:val="00EA2A39"/>
    <w:rsid w:val="00EA2ACE"/>
    <w:rsid w:val="00EA2B40"/>
    <w:rsid w:val="00EA2C03"/>
    <w:rsid w:val="00EA3580"/>
    <w:rsid w:val="00EA3A92"/>
    <w:rsid w:val="00EA3BC7"/>
    <w:rsid w:val="00EA464B"/>
    <w:rsid w:val="00EA4845"/>
    <w:rsid w:val="00EA4BAE"/>
    <w:rsid w:val="00EA4D45"/>
    <w:rsid w:val="00EA4FDB"/>
    <w:rsid w:val="00EA50AD"/>
    <w:rsid w:val="00EA52C6"/>
    <w:rsid w:val="00EA5AD6"/>
    <w:rsid w:val="00EA61CA"/>
    <w:rsid w:val="00EA64BA"/>
    <w:rsid w:val="00EA656B"/>
    <w:rsid w:val="00EA67FE"/>
    <w:rsid w:val="00EA7149"/>
    <w:rsid w:val="00EA765D"/>
    <w:rsid w:val="00EA7A17"/>
    <w:rsid w:val="00EA7A94"/>
    <w:rsid w:val="00EA7EA0"/>
    <w:rsid w:val="00EB0123"/>
    <w:rsid w:val="00EB0125"/>
    <w:rsid w:val="00EB06E9"/>
    <w:rsid w:val="00EB09E7"/>
    <w:rsid w:val="00EB157C"/>
    <w:rsid w:val="00EB1604"/>
    <w:rsid w:val="00EB196C"/>
    <w:rsid w:val="00EB1DB3"/>
    <w:rsid w:val="00EB1E9F"/>
    <w:rsid w:val="00EB1EAF"/>
    <w:rsid w:val="00EB1F6F"/>
    <w:rsid w:val="00EB20C3"/>
    <w:rsid w:val="00EB25BD"/>
    <w:rsid w:val="00EB2755"/>
    <w:rsid w:val="00EB27CF"/>
    <w:rsid w:val="00EB27F6"/>
    <w:rsid w:val="00EB296A"/>
    <w:rsid w:val="00EB2B58"/>
    <w:rsid w:val="00EB2D2C"/>
    <w:rsid w:val="00EB2FB8"/>
    <w:rsid w:val="00EB3938"/>
    <w:rsid w:val="00EB4191"/>
    <w:rsid w:val="00EB4332"/>
    <w:rsid w:val="00EB45D8"/>
    <w:rsid w:val="00EB4B27"/>
    <w:rsid w:val="00EB4DFB"/>
    <w:rsid w:val="00EB4EEB"/>
    <w:rsid w:val="00EB4FB3"/>
    <w:rsid w:val="00EB50DB"/>
    <w:rsid w:val="00EB56CF"/>
    <w:rsid w:val="00EB589B"/>
    <w:rsid w:val="00EB5FE7"/>
    <w:rsid w:val="00EB606A"/>
    <w:rsid w:val="00EB61FA"/>
    <w:rsid w:val="00EB6857"/>
    <w:rsid w:val="00EB699A"/>
    <w:rsid w:val="00EB6BF5"/>
    <w:rsid w:val="00EB6C1D"/>
    <w:rsid w:val="00EB6CC5"/>
    <w:rsid w:val="00EB7097"/>
    <w:rsid w:val="00EB70F4"/>
    <w:rsid w:val="00EB7119"/>
    <w:rsid w:val="00EB7469"/>
    <w:rsid w:val="00EB7FB8"/>
    <w:rsid w:val="00EC0014"/>
    <w:rsid w:val="00EC08AF"/>
    <w:rsid w:val="00EC0956"/>
    <w:rsid w:val="00EC1391"/>
    <w:rsid w:val="00EC13DE"/>
    <w:rsid w:val="00EC1C3C"/>
    <w:rsid w:val="00EC1F64"/>
    <w:rsid w:val="00EC233C"/>
    <w:rsid w:val="00EC26E2"/>
    <w:rsid w:val="00EC285D"/>
    <w:rsid w:val="00EC295C"/>
    <w:rsid w:val="00EC2D8F"/>
    <w:rsid w:val="00EC2FFE"/>
    <w:rsid w:val="00EC39F2"/>
    <w:rsid w:val="00EC3BEB"/>
    <w:rsid w:val="00EC3C23"/>
    <w:rsid w:val="00EC3D95"/>
    <w:rsid w:val="00EC4066"/>
    <w:rsid w:val="00EC4323"/>
    <w:rsid w:val="00EC4643"/>
    <w:rsid w:val="00EC4BC1"/>
    <w:rsid w:val="00EC4C0F"/>
    <w:rsid w:val="00EC4C6E"/>
    <w:rsid w:val="00EC4DA0"/>
    <w:rsid w:val="00EC5582"/>
    <w:rsid w:val="00EC56A2"/>
    <w:rsid w:val="00EC5CEA"/>
    <w:rsid w:val="00EC5D21"/>
    <w:rsid w:val="00EC5D7D"/>
    <w:rsid w:val="00EC5DA9"/>
    <w:rsid w:val="00EC5F15"/>
    <w:rsid w:val="00EC602F"/>
    <w:rsid w:val="00EC6096"/>
    <w:rsid w:val="00EC623E"/>
    <w:rsid w:val="00EC66E3"/>
    <w:rsid w:val="00EC6C76"/>
    <w:rsid w:val="00EC6C8C"/>
    <w:rsid w:val="00EC6E62"/>
    <w:rsid w:val="00EC75AC"/>
    <w:rsid w:val="00EC783D"/>
    <w:rsid w:val="00ED00B6"/>
    <w:rsid w:val="00ED0B3C"/>
    <w:rsid w:val="00ED1183"/>
    <w:rsid w:val="00ED1A91"/>
    <w:rsid w:val="00ED1CF6"/>
    <w:rsid w:val="00ED1E49"/>
    <w:rsid w:val="00ED2491"/>
    <w:rsid w:val="00ED2536"/>
    <w:rsid w:val="00ED2C5F"/>
    <w:rsid w:val="00ED33E9"/>
    <w:rsid w:val="00ED3531"/>
    <w:rsid w:val="00ED3749"/>
    <w:rsid w:val="00ED3C37"/>
    <w:rsid w:val="00ED3D01"/>
    <w:rsid w:val="00ED41AE"/>
    <w:rsid w:val="00ED45C7"/>
    <w:rsid w:val="00ED50B7"/>
    <w:rsid w:val="00ED53FE"/>
    <w:rsid w:val="00ED5E78"/>
    <w:rsid w:val="00ED5E8C"/>
    <w:rsid w:val="00ED6064"/>
    <w:rsid w:val="00ED61EA"/>
    <w:rsid w:val="00ED6614"/>
    <w:rsid w:val="00ED68FF"/>
    <w:rsid w:val="00ED69AF"/>
    <w:rsid w:val="00ED6DD2"/>
    <w:rsid w:val="00ED6F07"/>
    <w:rsid w:val="00ED7556"/>
    <w:rsid w:val="00ED75AA"/>
    <w:rsid w:val="00ED76D2"/>
    <w:rsid w:val="00ED792D"/>
    <w:rsid w:val="00ED7E3A"/>
    <w:rsid w:val="00EE0136"/>
    <w:rsid w:val="00EE06ED"/>
    <w:rsid w:val="00EE0959"/>
    <w:rsid w:val="00EE0DAA"/>
    <w:rsid w:val="00EE122D"/>
    <w:rsid w:val="00EE1A82"/>
    <w:rsid w:val="00EE1B9B"/>
    <w:rsid w:val="00EE1CAF"/>
    <w:rsid w:val="00EE28FA"/>
    <w:rsid w:val="00EE2AB6"/>
    <w:rsid w:val="00EE2B1F"/>
    <w:rsid w:val="00EE2D54"/>
    <w:rsid w:val="00EE2D76"/>
    <w:rsid w:val="00EE2F3F"/>
    <w:rsid w:val="00EE2FA7"/>
    <w:rsid w:val="00EE30B2"/>
    <w:rsid w:val="00EE3196"/>
    <w:rsid w:val="00EE31EC"/>
    <w:rsid w:val="00EE3AF9"/>
    <w:rsid w:val="00EE3CF7"/>
    <w:rsid w:val="00EE43DB"/>
    <w:rsid w:val="00EE4648"/>
    <w:rsid w:val="00EE464F"/>
    <w:rsid w:val="00EE4655"/>
    <w:rsid w:val="00EE4B56"/>
    <w:rsid w:val="00EE4C38"/>
    <w:rsid w:val="00EE57C1"/>
    <w:rsid w:val="00EE5917"/>
    <w:rsid w:val="00EE5D68"/>
    <w:rsid w:val="00EE5E8D"/>
    <w:rsid w:val="00EE6098"/>
    <w:rsid w:val="00EE646B"/>
    <w:rsid w:val="00EE655C"/>
    <w:rsid w:val="00EE655D"/>
    <w:rsid w:val="00EE689E"/>
    <w:rsid w:val="00EE6AEB"/>
    <w:rsid w:val="00EE738F"/>
    <w:rsid w:val="00EE79B1"/>
    <w:rsid w:val="00EE7DE9"/>
    <w:rsid w:val="00EE7DEE"/>
    <w:rsid w:val="00EE7E92"/>
    <w:rsid w:val="00EF0CCA"/>
    <w:rsid w:val="00EF1661"/>
    <w:rsid w:val="00EF1868"/>
    <w:rsid w:val="00EF197D"/>
    <w:rsid w:val="00EF2C45"/>
    <w:rsid w:val="00EF2E50"/>
    <w:rsid w:val="00EF334D"/>
    <w:rsid w:val="00EF3A67"/>
    <w:rsid w:val="00EF3C2F"/>
    <w:rsid w:val="00EF3F6A"/>
    <w:rsid w:val="00EF4449"/>
    <w:rsid w:val="00EF4B7D"/>
    <w:rsid w:val="00EF4DEC"/>
    <w:rsid w:val="00EF5369"/>
    <w:rsid w:val="00EF59F5"/>
    <w:rsid w:val="00EF5D1C"/>
    <w:rsid w:val="00EF5DCF"/>
    <w:rsid w:val="00EF6C89"/>
    <w:rsid w:val="00EF704A"/>
    <w:rsid w:val="00EF724C"/>
    <w:rsid w:val="00EF7352"/>
    <w:rsid w:val="00EF7515"/>
    <w:rsid w:val="00EF7620"/>
    <w:rsid w:val="00F00265"/>
    <w:rsid w:val="00F0082F"/>
    <w:rsid w:val="00F00D03"/>
    <w:rsid w:val="00F00D7E"/>
    <w:rsid w:val="00F01646"/>
    <w:rsid w:val="00F0171C"/>
    <w:rsid w:val="00F018DF"/>
    <w:rsid w:val="00F01F59"/>
    <w:rsid w:val="00F02239"/>
    <w:rsid w:val="00F022A4"/>
    <w:rsid w:val="00F0243B"/>
    <w:rsid w:val="00F025F8"/>
    <w:rsid w:val="00F0263A"/>
    <w:rsid w:val="00F02697"/>
    <w:rsid w:val="00F02A1B"/>
    <w:rsid w:val="00F03E95"/>
    <w:rsid w:val="00F04C31"/>
    <w:rsid w:val="00F055D6"/>
    <w:rsid w:val="00F05909"/>
    <w:rsid w:val="00F05DB3"/>
    <w:rsid w:val="00F06083"/>
    <w:rsid w:val="00F06542"/>
    <w:rsid w:val="00F06666"/>
    <w:rsid w:val="00F066E5"/>
    <w:rsid w:val="00F06B98"/>
    <w:rsid w:val="00F06D4F"/>
    <w:rsid w:val="00F07E3A"/>
    <w:rsid w:val="00F10012"/>
    <w:rsid w:val="00F100C5"/>
    <w:rsid w:val="00F101FD"/>
    <w:rsid w:val="00F103D2"/>
    <w:rsid w:val="00F1055F"/>
    <w:rsid w:val="00F1079B"/>
    <w:rsid w:val="00F1087A"/>
    <w:rsid w:val="00F114AC"/>
    <w:rsid w:val="00F11809"/>
    <w:rsid w:val="00F1188A"/>
    <w:rsid w:val="00F11946"/>
    <w:rsid w:val="00F11AB5"/>
    <w:rsid w:val="00F11E96"/>
    <w:rsid w:val="00F11EE7"/>
    <w:rsid w:val="00F126A9"/>
    <w:rsid w:val="00F12B62"/>
    <w:rsid w:val="00F12E67"/>
    <w:rsid w:val="00F13125"/>
    <w:rsid w:val="00F1327A"/>
    <w:rsid w:val="00F13F28"/>
    <w:rsid w:val="00F13FC7"/>
    <w:rsid w:val="00F1476F"/>
    <w:rsid w:val="00F14FDC"/>
    <w:rsid w:val="00F15299"/>
    <w:rsid w:val="00F1622A"/>
    <w:rsid w:val="00F166C1"/>
    <w:rsid w:val="00F16A85"/>
    <w:rsid w:val="00F1725F"/>
    <w:rsid w:val="00F178F6"/>
    <w:rsid w:val="00F17A11"/>
    <w:rsid w:val="00F17EE3"/>
    <w:rsid w:val="00F17FAD"/>
    <w:rsid w:val="00F204A8"/>
    <w:rsid w:val="00F20B2D"/>
    <w:rsid w:val="00F20E97"/>
    <w:rsid w:val="00F20EDC"/>
    <w:rsid w:val="00F2135F"/>
    <w:rsid w:val="00F21EFD"/>
    <w:rsid w:val="00F226F0"/>
    <w:rsid w:val="00F228A1"/>
    <w:rsid w:val="00F231F8"/>
    <w:rsid w:val="00F235F2"/>
    <w:rsid w:val="00F2377F"/>
    <w:rsid w:val="00F23889"/>
    <w:rsid w:val="00F23D0D"/>
    <w:rsid w:val="00F24279"/>
    <w:rsid w:val="00F24640"/>
    <w:rsid w:val="00F246F9"/>
    <w:rsid w:val="00F248C4"/>
    <w:rsid w:val="00F249FB"/>
    <w:rsid w:val="00F24A1D"/>
    <w:rsid w:val="00F24C0F"/>
    <w:rsid w:val="00F250BE"/>
    <w:rsid w:val="00F2592D"/>
    <w:rsid w:val="00F2646C"/>
    <w:rsid w:val="00F2647E"/>
    <w:rsid w:val="00F266FD"/>
    <w:rsid w:val="00F2689C"/>
    <w:rsid w:val="00F2753F"/>
    <w:rsid w:val="00F279E9"/>
    <w:rsid w:val="00F303AF"/>
    <w:rsid w:val="00F31774"/>
    <w:rsid w:val="00F3186B"/>
    <w:rsid w:val="00F318D4"/>
    <w:rsid w:val="00F31A7A"/>
    <w:rsid w:val="00F31FB7"/>
    <w:rsid w:val="00F3227F"/>
    <w:rsid w:val="00F324D3"/>
    <w:rsid w:val="00F3295D"/>
    <w:rsid w:val="00F32A8D"/>
    <w:rsid w:val="00F33713"/>
    <w:rsid w:val="00F33753"/>
    <w:rsid w:val="00F33AFB"/>
    <w:rsid w:val="00F33E15"/>
    <w:rsid w:val="00F340FF"/>
    <w:rsid w:val="00F34336"/>
    <w:rsid w:val="00F344F7"/>
    <w:rsid w:val="00F34E6F"/>
    <w:rsid w:val="00F35504"/>
    <w:rsid w:val="00F35AD7"/>
    <w:rsid w:val="00F35BDA"/>
    <w:rsid w:val="00F35C25"/>
    <w:rsid w:val="00F361D3"/>
    <w:rsid w:val="00F36275"/>
    <w:rsid w:val="00F362F3"/>
    <w:rsid w:val="00F36AD8"/>
    <w:rsid w:val="00F36F4E"/>
    <w:rsid w:val="00F37871"/>
    <w:rsid w:val="00F37E21"/>
    <w:rsid w:val="00F37F71"/>
    <w:rsid w:val="00F4011E"/>
    <w:rsid w:val="00F40614"/>
    <w:rsid w:val="00F4082D"/>
    <w:rsid w:val="00F40DA1"/>
    <w:rsid w:val="00F412DB"/>
    <w:rsid w:val="00F41D52"/>
    <w:rsid w:val="00F41D78"/>
    <w:rsid w:val="00F422F7"/>
    <w:rsid w:val="00F425CA"/>
    <w:rsid w:val="00F426C1"/>
    <w:rsid w:val="00F42A76"/>
    <w:rsid w:val="00F42D64"/>
    <w:rsid w:val="00F42FFB"/>
    <w:rsid w:val="00F431AE"/>
    <w:rsid w:val="00F432A2"/>
    <w:rsid w:val="00F433A6"/>
    <w:rsid w:val="00F43724"/>
    <w:rsid w:val="00F43A99"/>
    <w:rsid w:val="00F43C37"/>
    <w:rsid w:val="00F43D70"/>
    <w:rsid w:val="00F43F1B"/>
    <w:rsid w:val="00F44C15"/>
    <w:rsid w:val="00F44DC7"/>
    <w:rsid w:val="00F454DB"/>
    <w:rsid w:val="00F4558B"/>
    <w:rsid w:val="00F45861"/>
    <w:rsid w:val="00F45B1A"/>
    <w:rsid w:val="00F45C13"/>
    <w:rsid w:val="00F4658A"/>
    <w:rsid w:val="00F47091"/>
    <w:rsid w:val="00F4727A"/>
    <w:rsid w:val="00F47681"/>
    <w:rsid w:val="00F4781D"/>
    <w:rsid w:val="00F4796E"/>
    <w:rsid w:val="00F47B05"/>
    <w:rsid w:val="00F47C1D"/>
    <w:rsid w:val="00F47E1A"/>
    <w:rsid w:val="00F501FE"/>
    <w:rsid w:val="00F505E9"/>
    <w:rsid w:val="00F5078A"/>
    <w:rsid w:val="00F508C8"/>
    <w:rsid w:val="00F50D67"/>
    <w:rsid w:val="00F50FAF"/>
    <w:rsid w:val="00F510EF"/>
    <w:rsid w:val="00F51663"/>
    <w:rsid w:val="00F51F3E"/>
    <w:rsid w:val="00F5247F"/>
    <w:rsid w:val="00F5284E"/>
    <w:rsid w:val="00F52F2A"/>
    <w:rsid w:val="00F5313A"/>
    <w:rsid w:val="00F531F2"/>
    <w:rsid w:val="00F533FC"/>
    <w:rsid w:val="00F535D0"/>
    <w:rsid w:val="00F53C83"/>
    <w:rsid w:val="00F54161"/>
    <w:rsid w:val="00F5480F"/>
    <w:rsid w:val="00F5481E"/>
    <w:rsid w:val="00F54AB5"/>
    <w:rsid w:val="00F55596"/>
    <w:rsid w:val="00F555B8"/>
    <w:rsid w:val="00F558F1"/>
    <w:rsid w:val="00F55C72"/>
    <w:rsid w:val="00F55F80"/>
    <w:rsid w:val="00F563EB"/>
    <w:rsid w:val="00F56552"/>
    <w:rsid w:val="00F5658A"/>
    <w:rsid w:val="00F56B71"/>
    <w:rsid w:val="00F56CB5"/>
    <w:rsid w:val="00F56EF1"/>
    <w:rsid w:val="00F56F0D"/>
    <w:rsid w:val="00F57043"/>
    <w:rsid w:val="00F57288"/>
    <w:rsid w:val="00F5738D"/>
    <w:rsid w:val="00F57906"/>
    <w:rsid w:val="00F57BD4"/>
    <w:rsid w:val="00F57DA1"/>
    <w:rsid w:val="00F57F81"/>
    <w:rsid w:val="00F600D1"/>
    <w:rsid w:val="00F6051C"/>
    <w:rsid w:val="00F60D3B"/>
    <w:rsid w:val="00F60DEC"/>
    <w:rsid w:val="00F6110C"/>
    <w:rsid w:val="00F6120D"/>
    <w:rsid w:val="00F6120E"/>
    <w:rsid w:val="00F61222"/>
    <w:rsid w:val="00F612D0"/>
    <w:rsid w:val="00F61880"/>
    <w:rsid w:val="00F61A77"/>
    <w:rsid w:val="00F6226D"/>
    <w:rsid w:val="00F62ACD"/>
    <w:rsid w:val="00F62AFE"/>
    <w:rsid w:val="00F630B3"/>
    <w:rsid w:val="00F635A7"/>
    <w:rsid w:val="00F637EC"/>
    <w:rsid w:val="00F63AF6"/>
    <w:rsid w:val="00F63B9B"/>
    <w:rsid w:val="00F63D2E"/>
    <w:rsid w:val="00F63F13"/>
    <w:rsid w:val="00F640ED"/>
    <w:rsid w:val="00F64241"/>
    <w:rsid w:val="00F6463B"/>
    <w:rsid w:val="00F64C2E"/>
    <w:rsid w:val="00F64D58"/>
    <w:rsid w:val="00F651BB"/>
    <w:rsid w:val="00F651C2"/>
    <w:rsid w:val="00F65849"/>
    <w:rsid w:val="00F659EA"/>
    <w:rsid w:val="00F65BD5"/>
    <w:rsid w:val="00F65D9D"/>
    <w:rsid w:val="00F6622B"/>
    <w:rsid w:val="00F662F4"/>
    <w:rsid w:val="00F66544"/>
    <w:rsid w:val="00F669D7"/>
    <w:rsid w:val="00F66AC3"/>
    <w:rsid w:val="00F66BF9"/>
    <w:rsid w:val="00F66CE9"/>
    <w:rsid w:val="00F66FDF"/>
    <w:rsid w:val="00F670F5"/>
    <w:rsid w:val="00F67472"/>
    <w:rsid w:val="00F67D72"/>
    <w:rsid w:val="00F67EB8"/>
    <w:rsid w:val="00F70153"/>
    <w:rsid w:val="00F70C3B"/>
    <w:rsid w:val="00F7121D"/>
    <w:rsid w:val="00F71484"/>
    <w:rsid w:val="00F715FF"/>
    <w:rsid w:val="00F71BF4"/>
    <w:rsid w:val="00F71EBB"/>
    <w:rsid w:val="00F72778"/>
    <w:rsid w:val="00F730A2"/>
    <w:rsid w:val="00F731D7"/>
    <w:rsid w:val="00F736EA"/>
    <w:rsid w:val="00F73878"/>
    <w:rsid w:val="00F73950"/>
    <w:rsid w:val="00F73D1C"/>
    <w:rsid w:val="00F740B3"/>
    <w:rsid w:val="00F7410D"/>
    <w:rsid w:val="00F74D33"/>
    <w:rsid w:val="00F758E8"/>
    <w:rsid w:val="00F75977"/>
    <w:rsid w:val="00F75CEB"/>
    <w:rsid w:val="00F7631F"/>
    <w:rsid w:val="00F76B5E"/>
    <w:rsid w:val="00F76BF1"/>
    <w:rsid w:val="00F76F36"/>
    <w:rsid w:val="00F7704A"/>
    <w:rsid w:val="00F77965"/>
    <w:rsid w:val="00F77E2F"/>
    <w:rsid w:val="00F80111"/>
    <w:rsid w:val="00F8017F"/>
    <w:rsid w:val="00F8025B"/>
    <w:rsid w:val="00F804DB"/>
    <w:rsid w:val="00F809CB"/>
    <w:rsid w:val="00F80AB2"/>
    <w:rsid w:val="00F80FC8"/>
    <w:rsid w:val="00F81073"/>
    <w:rsid w:val="00F8111B"/>
    <w:rsid w:val="00F811D2"/>
    <w:rsid w:val="00F8162A"/>
    <w:rsid w:val="00F819F0"/>
    <w:rsid w:val="00F81A5B"/>
    <w:rsid w:val="00F8220E"/>
    <w:rsid w:val="00F8270E"/>
    <w:rsid w:val="00F8280A"/>
    <w:rsid w:val="00F82CB9"/>
    <w:rsid w:val="00F82EE6"/>
    <w:rsid w:val="00F82FB6"/>
    <w:rsid w:val="00F8319C"/>
    <w:rsid w:val="00F83511"/>
    <w:rsid w:val="00F83890"/>
    <w:rsid w:val="00F83C01"/>
    <w:rsid w:val="00F83C16"/>
    <w:rsid w:val="00F843CE"/>
    <w:rsid w:val="00F848AD"/>
    <w:rsid w:val="00F85773"/>
    <w:rsid w:val="00F85C31"/>
    <w:rsid w:val="00F86073"/>
    <w:rsid w:val="00F86459"/>
    <w:rsid w:val="00F8648C"/>
    <w:rsid w:val="00F86523"/>
    <w:rsid w:val="00F86648"/>
    <w:rsid w:val="00F86832"/>
    <w:rsid w:val="00F86A87"/>
    <w:rsid w:val="00F86BFA"/>
    <w:rsid w:val="00F86C57"/>
    <w:rsid w:val="00F86F75"/>
    <w:rsid w:val="00F87D84"/>
    <w:rsid w:val="00F90222"/>
    <w:rsid w:val="00F9024A"/>
    <w:rsid w:val="00F902A4"/>
    <w:rsid w:val="00F903CD"/>
    <w:rsid w:val="00F90594"/>
    <w:rsid w:val="00F90980"/>
    <w:rsid w:val="00F912EE"/>
    <w:rsid w:val="00F91B5E"/>
    <w:rsid w:val="00F91CA4"/>
    <w:rsid w:val="00F91E59"/>
    <w:rsid w:val="00F92008"/>
    <w:rsid w:val="00F923FE"/>
    <w:rsid w:val="00F927C5"/>
    <w:rsid w:val="00F928AE"/>
    <w:rsid w:val="00F92EF4"/>
    <w:rsid w:val="00F92F3A"/>
    <w:rsid w:val="00F933CF"/>
    <w:rsid w:val="00F934F1"/>
    <w:rsid w:val="00F9359E"/>
    <w:rsid w:val="00F936FB"/>
    <w:rsid w:val="00F9396D"/>
    <w:rsid w:val="00F93D97"/>
    <w:rsid w:val="00F949DC"/>
    <w:rsid w:val="00F94B42"/>
    <w:rsid w:val="00F94EB4"/>
    <w:rsid w:val="00F952FC"/>
    <w:rsid w:val="00F95A87"/>
    <w:rsid w:val="00F95B44"/>
    <w:rsid w:val="00F95CC2"/>
    <w:rsid w:val="00F95F11"/>
    <w:rsid w:val="00F960EB"/>
    <w:rsid w:val="00F96903"/>
    <w:rsid w:val="00F9696A"/>
    <w:rsid w:val="00F969DC"/>
    <w:rsid w:val="00F9727D"/>
    <w:rsid w:val="00F97353"/>
    <w:rsid w:val="00F978F5"/>
    <w:rsid w:val="00F97AD3"/>
    <w:rsid w:val="00F97B5A"/>
    <w:rsid w:val="00FA0DB0"/>
    <w:rsid w:val="00FA1A96"/>
    <w:rsid w:val="00FA1C37"/>
    <w:rsid w:val="00FA1E0C"/>
    <w:rsid w:val="00FA1FB0"/>
    <w:rsid w:val="00FA2043"/>
    <w:rsid w:val="00FA213C"/>
    <w:rsid w:val="00FA24C4"/>
    <w:rsid w:val="00FA2595"/>
    <w:rsid w:val="00FA2783"/>
    <w:rsid w:val="00FA2B42"/>
    <w:rsid w:val="00FA2C5F"/>
    <w:rsid w:val="00FA343C"/>
    <w:rsid w:val="00FA3CD6"/>
    <w:rsid w:val="00FA4B63"/>
    <w:rsid w:val="00FA4CEF"/>
    <w:rsid w:val="00FA4D1E"/>
    <w:rsid w:val="00FA52F9"/>
    <w:rsid w:val="00FA57C3"/>
    <w:rsid w:val="00FA5B3E"/>
    <w:rsid w:val="00FA5C3F"/>
    <w:rsid w:val="00FA6323"/>
    <w:rsid w:val="00FA63C2"/>
    <w:rsid w:val="00FA700E"/>
    <w:rsid w:val="00FA7339"/>
    <w:rsid w:val="00FA7684"/>
    <w:rsid w:val="00FA7F32"/>
    <w:rsid w:val="00FB01BE"/>
    <w:rsid w:val="00FB02CE"/>
    <w:rsid w:val="00FB0493"/>
    <w:rsid w:val="00FB0D52"/>
    <w:rsid w:val="00FB0E14"/>
    <w:rsid w:val="00FB128B"/>
    <w:rsid w:val="00FB12C9"/>
    <w:rsid w:val="00FB21E2"/>
    <w:rsid w:val="00FB228D"/>
    <w:rsid w:val="00FB26F8"/>
    <w:rsid w:val="00FB290B"/>
    <w:rsid w:val="00FB2B93"/>
    <w:rsid w:val="00FB2C29"/>
    <w:rsid w:val="00FB2FC4"/>
    <w:rsid w:val="00FB3362"/>
    <w:rsid w:val="00FB3B2D"/>
    <w:rsid w:val="00FB4823"/>
    <w:rsid w:val="00FB54B3"/>
    <w:rsid w:val="00FB56FB"/>
    <w:rsid w:val="00FB5CA7"/>
    <w:rsid w:val="00FB5EEC"/>
    <w:rsid w:val="00FB5F41"/>
    <w:rsid w:val="00FB62DC"/>
    <w:rsid w:val="00FB69B7"/>
    <w:rsid w:val="00FB6B03"/>
    <w:rsid w:val="00FB6BB9"/>
    <w:rsid w:val="00FB6D59"/>
    <w:rsid w:val="00FB7290"/>
    <w:rsid w:val="00FB72BA"/>
    <w:rsid w:val="00FB75EE"/>
    <w:rsid w:val="00FB7E35"/>
    <w:rsid w:val="00FC0005"/>
    <w:rsid w:val="00FC015B"/>
    <w:rsid w:val="00FC0726"/>
    <w:rsid w:val="00FC07C2"/>
    <w:rsid w:val="00FC0833"/>
    <w:rsid w:val="00FC0A76"/>
    <w:rsid w:val="00FC136B"/>
    <w:rsid w:val="00FC19BF"/>
    <w:rsid w:val="00FC1A34"/>
    <w:rsid w:val="00FC1BE1"/>
    <w:rsid w:val="00FC1E86"/>
    <w:rsid w:val="00FC21D6"/>
    <w:rsid w:val="00FC22BD"/>
    <w:rsid w:val="00FC26CA"/>
    <w:rsid w:val="00FC2A05"/>
    <w:rsid w:val="00FC2A8A"/>
    <w:rsid w:val="00FC2CED"/>
    <w:rsid w:val="00FC3069"/>
    <w:rsid w:val="00FC3096"/>
    <w:rsid w:val="00FC3691"/>
    <w:rsid w:val="00FC3A79"/>
    <w:rsid w:val="00FC3CBE"/>
    <w:rsid w:val="00FC45D1"/>
    <w:rsid w:val="00FC481E"/>
    <w:rsid w:val="00FC4853"/>
    <w:rsid w:val="00FC4F73"/>
    <w:rsid w:val="00FC530D"/>
    <w:rsid w:val="00FC57B8"/>
    <w:rsid w:val="00FC5A67"/>
    <w:rsid w:val="00FC6056"/>
    <w:rsid w:val="00FC611D"/>
    <w:rsid w:val="00FC6B61"/>
    <w:rsid w:val="00FC7063"/>
    <w:rsid w:val="00FC7251"/>
    <w:rsid w:val="00FC7D35"/>
    <w:rsid w:val="00FC7FC6"/>
    <w:rsid w:val="00FD0191"/>
    <w:rsid w:val="00FD01DE"/>
    <w:rsid w:val="00FD01F3"/>
    <w:rsid w:val="00FD0543"/>
    <w:rsid w:val="00FD0C1F"/>
    <w:rsid w:val="00FD0DFF"/>
    <w:rsid w:val="00FD183A"/>
    <w:rsid w:val="00FD1A1A"/>
    <w:rsid w:val="00FD1AC3"/>
    <w:rsid w:val="00FD1EFE"/>
    <w:rsid w:val="00FD2403"/>
    <w:rsid w:val="00FD24A1"/>
    <w:rsid w:val="00FD2536"/>
    <w:rsid w:val="00FD2DCD"/>
    <w:rsid w:val="00FD2FDC"/>
    <w:rsid w:val="00FD3054"/>
    <w:rsid w:val="00FD31C8"/>
    <w:rsid w:val="00FD3508"/>
    <w:rsid w:val="00FD37AD"/>
    <w:rsid w:val="00FD394D"/>
    <w:rsid w:val="00FD3D3D"/>
    <w:rsid w:val="00FD4199"/>
    <w:rsid w:val="00FD426A"/>
    <w:rsid w:val="00FD5276"/>
    <w:rsid w:val="00FD5366"/>
    <w:rsid w:val="00FD5414"/>
    <w:rsid w:val="00FD5C56"/>
    <w:rsid w:val="00FD5FF0"/>
    <w:rsid w:val="00FD60C9"/>
    <w:rsid w:val="00FD6774"/>
    <w:rsid w:val="00FD6961"/>
    <w:rsid w:val="00FD6A74"/>
    <w:rsid w:val="00FD6FF0"/>
    <w:rsid w:val="00FD755C"/>
    <w:rsid w:val="00FD7788"/>
    <w:rsid w:val="00FD788A"/>
    <w:rsid w:val="00FD7DAB"/>
    <w:rsid w:val="00FD7E6B"/>
    <w:rsid w:val="00FD7EEB"/>
    <w:rsid w:val="00FE027E"/>
    <w:rsid w:val="00FE05A9"/>
    <w:rsid w:val="00FE184C"/>
    <w:rsid w:val="00FE1ADF"/>
    <w:rsid w:val="00FE1EAB"/>
    <w:rsid w:val="00FE22F8"/>
    <w:rsid w:val="00FE26A4"/>
    <w:rsid w:val="00FE2A83"/>
    <w:rsid w:val="00FE2BF7"/>
    <w:rsid w:val="00FE3164"/>
    <w:rsid w:val="00FE3356"/>
    <w:rsid w:val="00FE3820"/>
    <w:rsid w:val="00FE38A0"/>
    <w:rsid w:val="00FE3996"/>
    <w:rsid w:val="00FE3D19"/>
    <w:rsid w:val="00FE4951"/>
    <w:rsid w:val="00FE52C1"/>
    <w:rsid w:val="00FE55E8"/>
    <w:rsid w:val="00FE5782"/>
    <w:rsid w:val="00FE5799"/>
    <w:rsid w:val="00FE58D8"/>
    <w:rsid w:val="00FE58F9"/>
    <w:rsid w:val="00FE5901"/>
    <w:rsid w:val="00FE5968"/>
    <w:rsid w:val="00FE5D41"/>
    <w:rsid w:val="00FE5EFF"/>
    <w:rsid w:val="00FE64AA"/>
    <w:rsid w:val="00FE6705"/>
    <w:rsid w:val="00FE69AD"/>
    <w:rsid w:val="00FE6CA9"/>
    <w:rsid w:val="00FE7310"/>
    <w:rsid w:val="00FE7454"/>
    <w:rsid w:val="00FE75DF"/>
    <w:rsid w:val="00FE7A8F"/>
    <w:rsid w:val="00FE7C2A"/>
    <w:rsid w:val="00FE7D0B"/>
    <w:rsid w:val="00FE7FF0"/>
    <w:rsid w:val="00FF0515"/>
    <w:rsid w:val="00FF09C8"/>
    <w:rsid w:val="00FF0DFF"/>
    <w:rsid w:val="00FF0E5F"/>
    <w:rsid w:val="00FF1110"/>
    <w:rsid w:val="00FF1177"/>
    <w:rsid w:val="00FF15BA"/>
    <w:rsid w:val="00FF1AE0"/>
    <w:rsid w:val="00FF1E2D"/>
    <w:rsid w:val="00FF1F05"/>
    <w:rsid w:val="00FF20F5"/>
    <w:rsid w:val="00FF2DD0"/>
    <w:rsid w:val="00FF2F4B"/>
    <w:rsid w:val="00FF30D7"/>
    <w:rsid w:val="00FF3786"/>
    <w:rsid w:val="00FF3CDA"/>
    <w:rsid w:val="00FF3D0F"/>
    <w:rsid w:val="00FF4137"/>
    <w:rsid w:val="00FF4733"/>
    <w:rsid w:val="00FF488C"/>
    <w:rsid w:val="00FF4BF9"/>
    <w:rsid w:val="00FF4C7A"/>
    <w:rsid w:val="00FF50C5"/>
    <w:rsid w:val="00FF50CD"/>
    <w:rsid w:val="00FF5113"/>
    <w:rsid w:val="00FF5413"/>
    <w:rsid w:val="00FF5554"/>
    <w:rsid w:val="00FF5812"/>
    <w:rsid w:val="00FF5B02"/>
    <w:rsid w:val="00FF5B16"/>
    <w:rsid w:val="00FF5D73"/>
    <w:rsid w:val="00FF663F"/>
    <w:rsid w:val="00FF7038"/>
    <w:rsid w:val="00FF713F"/>
    <w:rsid w:val="00FF7712"/>
    <w:rsid w:val="00FF7B04"/>
    <w:rsid w:val="00FF7CED"/>
    <w:rsid w:val="00FF7D94"/>
    <w:rsid w:val="01631DFD"/>
    <w:rsid w:val="02624471"/>
    <w:rsid w:val="0354F8B3"/>
    <w:rsid w:val="039DE4A9"/>
    <w:rsid w:val="049888EC"/>
    <w:rsid w:val="04E1C24E"/>
    <w:rsid w:val="052D3B2D"/>
    <w:rsid w:val="052EFC14"/>
    <w:rsid w:val="05557F0F"/>
    <w:rsid w:val="058B5F9D"/>
    <w:rsid w:val="0611FB02"/>
    <w:rsid w:val="061C1BE4"/>
    <w:rsid w:val="06266122"/>
    <w:rsid w:val="06C32D06"/>
    <w:rsid w:val="06FB44DC"/>
    <w:rsid w:val="07176CAB"/>
    <w:rsid w:val="077930B8"/>
    <w:rsid w:val="07898477"/>
    <w:rsid w:val="07BAA18B"/>
    <w:rsid w:val="07F8F442"/>
    <w:rsid w:val="08C2788E"/>
    <w:rsid w:val="08C3D806"/>
    <w:rsid w:val="08E99227"/>
    <w:rsid w:val="08F1C558"/>
    <w:rsid w:val="09365470"/>
    <w:rsid w:val="096AFBDA"/>
    <w:rsid w:val="09A32ECD"/>
    <w:rsid w:val="09E22763"/>
    <w:rsid w:val="0A5ED8E1"/>
    <w:rsid w:val="0AE2E67E"/>
    <w:rsid w:val="0AE47048"/>
    <w:rsid w:val="0BF1D643"/>
    <w:rsid w:val="0C1D1408"/>
    <w:rsid w:val="0D44D3B9"/>
    <w:rsid w:val="0D498C8E"/>
    <w:rsid w:val="0E0FCA7B"/>
    <w:rsid w:val="0E14C424"/>
    <w:rsid w:val="0E42FFC1"/>
    <w:rsid w:val="0E7E8388"/>
    <w:rsid w:val="0FD924ED"/>
    <w:rsid w:val="1038637A"/>
    <w:rsid w:val="118920A1"/>
    <w:rsid w:val="124B35E2"/>
    <w:rsid w:val="127106C8"/>
    <w:rsid w:val="1291C9E6"/>
    <w:rsid w:val="12F00C48"/>
    <w:rsid w:val="1340FCFC"/>
    <w:rsid w:val="13A8BA56"/>
    <w:rsid w:val="13C7C32A"/>
    <w:rsid w:val="13D0B996"/>
    <w:rsid w:val="143309A6"/>
    <w:rsid w:val="14750467"/>
    <w:rsid w:val="14F096A8"/>
    <w:rsid w:val="14F09FF6"/>
    <w:rsid w:val="14F2A8BB"/>
    <w:rsid w:val="1536DAFE"/>
    <w:rsid w:val="1567688F"/>
    <w:rsid w:val="15D80D9E"/>
    <w:rsid w:val="15E0A584"/>
    <w:rsid w:val="15EE9DC7"/>
    <w:rsid w:val="1810A65F"/>
    <w:rsid w:val="1841BAB5"/>
    <w:rsid w:val="19114425"/>
    <w:rsid w:val="1931D475"/>
    <w:rsid w:val="19634771"/>
    <w:rsid w:val="19B341EA"/>
    <w:rsid w:val="1A73B80C"/>
    <w:rsid w:val="1AA97B9D"/>
    <w:rsid w:val="1AAA30EE"/>
    <w:rsid w:val="1AB2EAFA"/>
    <w:rsid w:val="1B0360F0"/>
    <w:rsid w:val="1B05F532"/>
    <w:rsid w:val="1B586CA9"/>
    <w:rsid w:val="1B5F1FB1"/>
    <w:rsid w:val="1C4DB75B"/>
    <w:rsid w:val="1CA8102C"/>
    <w:rsid w:val="1CE41ED0"/>
    <w:rsid w:val="1CF54927"/>
    <w:rsid w:val="1D29DEE9"/>
    <w:rsid w:val="1F713C28"/>
    <w:rsid w:val="20BDE9B4"/>
    <w:rsid w:val="227E7483"/>
    <w:rsid w:val="2288C060"/>
    <w:rsid w:val="22E7D86E"/>
    <w:rsid w:val="231D2A8E"/>
    <w:rsid w:val="237F5CF4"/>
    <w:rsid w:val="23836647"/>
    <w:rsid w:val="246D386F"/>
    <w:rsid w:val="24F7FE75"/>
    <w:rsid w:val="25A73F3B"/>
    <w:rsid w:val="26A87188"/>
    <w:rsid w:val="26DBD849"/>
    <w:rsid w:val="2711A821"/>
    <w:rsid w:val="283523AD"/>
    <w:rsid w:val="2838A661"/>
    <w:rsid w:val="28E0D87C"/>
    <w:rsid w:val="28ECDD29"/>
    <w:rsid w:val="290482B0"/>
    <w:rsid w:val="2948A6CF"/>
    <w:rsid w:val="2A11BD43"/>
    <w:rsid w:val="2AD9A04A"/>
    <w:rsid w:val="2BB68601"/>
    <w:rsid w:val="2BC1DA88"/>
    <w:rsid w:val="2BC47F94"/>
    <w:rsid w:val="2C02D6B2"/>
    <w:rsid w:val="2C1FCEF4"/>
    <w:rsid w:val="2C726AC4"/>
    <w:rsid w:val="2CFEF333"/>
    <w:rsid w:val="2D7BA8DC"/>
    <w:rsid w:val="2D89EF1D"/>
    <w:rsid w:val="2E5B34F7"/>
    <w:rsid w:val="2E786496"/>
    <w:rsid w:val="2E84BAAA"/>
    <w:rsid w:val="2F096D19"/>
    <w:rsid w:val="2F2E4C38"/>
    <w:rsid w:val="2F5761AC"/>
    <w:rsid w:val="2F90EC09"/>
    <w:rsid w:val="2FFD1A61"/>
    <w:rsid w:val="30312AD4"/>
    <w:rsid w:val="313609EF"/>
    <w:rsid w:val="31583FAD"/>
    <w:rsid w:val="31E18F2D"/>
    <w:rsid w:val="3210E0B3"/>
    <w:rsid w:val="3260DA18"/>
    <w:rsid w:val="32D65325"/>
    <w:rsid w:val="338C4CD2"/>
    <w:rsid w:val="33A49F99"/>
    <w:rsid w:val="346A7372"/>
    <w:rsid w:val="34D49870"/>
    <w:rsid w:val="34EA84E3"/>
    <w:rsid w:val="351505BA"/>
    <w:rsid w:val="351CCF1C"/>
    <w:rsid w:val="352DEE76"/>
    <w:rsid w:val="354CE782"/>
    <w:rsid w:val="35A3AFF0"/>
    <w:rsid w:val="3604078F"/>
    <w:rsid w:val="3622FC2C"/>
    <w:rsid w:val="366946F1"/>
    <w:rsid w:val="36CD03F9"/>
    <w:rsid w:val="37818BDE"/>
    <w:rsid w:val="37C25F98"/>
    <w:rsid w:val="37CA9443"/>
    <w:rsid w:val="37E2A517"/>
    <w:rsid w:val="385A9722"/>
    <w:rsid w:val="38BAF70F"/>
    <w:rsid w:val="39225422"/>
    <w:rsid w:val="3A97DEE9"/>
    <w:rsid w:val="3B6F6680"/>
    <w:rsid w:val="3BB2DD15"/>
    <w:rsid w:val="3C31177A"/>
    <w:rsid w:val="3C760AFD"/>
    <w:rsid w:val="3CB4259C"/>
    <w:rsid w:val="3D615844"/>
    <w:rsid w:val="3DA7B55F"/>
    <w:rsid w:val="3DE25BE2"/>
    <w:rsid w:val="409126DB"/>
    <w:rsid w:val="40D3228C"/>
    <w:rsid w:val="411732F9"/>
    <w:rsid w:val="42AC7216"/>
    <w:rsid w:val="42D855B7"/>
    <w:rsid w:val="42E39D1F"/>
    <w:rsid w:val="44E5BCC3"/>
    <w:rsid w:val="457BDB28"/>
    <w:rsid w:val="46218C5C"/>
    <w:rsid w:val="463BE461"/>
    <w:rsid w:val="46D8AA4D"/>
    <w:rsid w:val="46DDD38F"/>
    <w:rsid w:val="487DF728"/>
    <w:rsid w:val="4897070A"/>
    <w:rsid w:val="4A089C0F"/>
    <w:rsid w:val="4AD581D3"/>
    <w:rsid w:val="4B63BD4C"/>
    <w:rsid w:val="4C152D27"/>
    <w:rsid w:val="4C327C4C"/>
    <w:rsid w:val="4C6F3F36"/>
    <w:rsid w:val="4CA37C11"/>
    <w:rsid w:val="4D66DA0D"/>
    <w:rsid w:val="4DB24DC0"/>
    <w:rsid w:val="4DC93660"/>
    <w:rsid w:val="4E14D4FE"/>
    <w:rsid w:val="4E456653"/>
    <w:rsid w:val="4FA0C1F9"/>
    <w:rsid w:val="4FB442BA"/>
    <w:rsid w:val="504E083D"/>
    <w:rsid w:val="504F94EE"/>
    <w:rsid w:val="505B5F8B"/>
    <w:rsid w:val="50C62A39"/>
    <w:rsid w:val="51CC7995"/>
    <w:rsid w:val="51ECFDED"/>
    <w:rsid w:val="51FC7831"/>
    <w:rsid w:val="524A3819"/>
    <w:rsid w:val="535813AC"/>
    <w:rsid w:val="5376D748"/>
    <w:rsid w:val="54D18522"/>
    <w:rsid w:val="552CBC5F"/>
    <w:rsid w:val="552CE53E"/>
    <w:rsid w:val="5648981A"/>
    <w:rsid w:val="5689EA5A"/>
    <w:rsid w:val="56A9B17D"/>
    <w:rsid w:val="57D0C5B6"/>
    <w:rsid w:val="583E34DA"/>
    <w:rsid w:val="594FC287"/>
    <w:rsid w:val="599D7BD8"/>
    <w:rsid w:val="59E4F3D2"/>
    <w:rsid w:val="5A01072A"/>
    <w:rsid w:val="5A29D1B7"/>
    <w:rsid w:val="5A3794D2"/>
    <w:rsid w:val="5A7AD2D7"/>
    <w:rsid w:val="5AA0E36A"/>
    <w:rsid w:val="5B43DD9C"/>
    <w:rsid w:val="5C18B58F"/>
    <w:rsid w:val="5C686808"/>
    <w:rsid w:val="5C95456E"/>
    <w:rsid w:val="5CA37C72"/>
    <w:rsid w:val="5D5BFEBE"/>
    <w:rsid w:val="5D675C33"/>
    <w:rsid w:val="5F4B1EF2"/>
    <w:rsid w:val="5F82F2DE"/>
    <w:rsid w:val="6028F018"/>
    <w:rsid w:val="60298D41"/>
    <w:rsid w:val="6082C74C"/>
    <w:rsid w:val="60EDCF46"/>
    <w:rsid w:val="60F610FA"/>
    <w:rsid w:val="611FF300"/>
    <w:rsid w:val="61A10042"/>
    <w:rsid w:val="61ACAC27"/>
    <w:rsid w:val="61ADCCFE"/>
    <w:rsid w:val="61B292F9"/>
    <w:rsid w:val="6296484E"/>
    <w:rsid w:val="62A5E457"/>
    <w:rsid w:val="62C8D2BF"/>
    <w:rsid w:val="62D2C5B7"/>
    <w:rsid w:val="62EF87A9"/>
    <w:rsid w:val="63023B70"/>
    <w:rsid w:val="633A8CE5"/>
    <w:rsid w:val="634C1B83"/>
    <w:rsid w:val="63C8918A"/>
    <w:rsid w:val="6451E94C"/>
    <w:rsid w:val="64803DA9"/>
    <w:rsid w:val="64A15A45"/>
    <w:rsid w:val="65646ADD"/>
    <w:rsid w:val="67AB5AB4"/>
    <w:rsid w:val="688E5AD3"/>
    <w:rsid w:val="68A03200"/>
    <w:rsid w:val="68A19985"/>
    <w:rsid w:val="6971AED7"/>
    <w:rsid w:val="69DC6CD9"/>
    <w:rsid w:val="6A3B1A07"/>
    <w:rsid w:val="6A619DB4"/>
    <w:rsid w:val="6C6A7956"/>
    <w:rsid w:val="6CEEC9B4"/>
    <w:rsid w:val="6D5A80A6"/>
    <w:rsid w:val="6D8F4D84"/>
    <w:rsid w:val="6E486E94"/>
    <w:rsid w:val="6EAE04A1"/>
    <w:rsid w:val="6F54F6AB"/>
    <w:rsid w:val="6FA1A1AE"/>
    <w:rsid w:val="70361171"/>
    <w:rsid w:val="703BF182"/>
    <w:rsid w:val="710C80F8"/>
    <w:rsid w:val="717CECDB"/>
    <w:rsid w:val="72032864"/>
    <w:rsid w:val="728B2386"/>
    <w:rsid w:val="736F3F4F"/>
    <w:rsid w:val="74640026"/>
    <w:rsid w:val="74785A1E"/>
    <w:rsid w:val="747C373D"/>
    <w:rsid w:val="74A692C7"/>
    <w:rsid w:val="74DB502E"/>
    <w:rsid w:val="74E707B6"/>
    <w:rsid w:val="7543AE75"/>
    <w:rsid w:val="75F44436"/>
    <w:rsid w:val="764D1F11"/>
    <w:rsid w:val="767BCB2D"/>
    <w:rsid w:val="772B83B7"/>
    <w:rsid w:val="7858BC0D"/>
    <w:rsid w:val="7886C883"/>
    <w:rsid w:val="78A7A3E0"/>
    <w:rsid w:val="78CD7445"/>
    <w:rsid w:val="79513416"/>
    <w:rsid w:val="7969A0FF"/>
    <w:rsid w:val="7AA66009"/>
    <w:rsid w:val="7AC62CC7"/>
    <w:rsid w:val="7C90CFD0"/>
    <w:rsid w:val="7CC1BD33"/>
    <w:rsid w:val="7CC38CD2"/>
    <w:rsid w:val="7D20B790"/>
    <w:rsid w:val="7D3BAC49"/>
    <w:rsid w:val="7EAB5B50"/>
    <w:rsid w:val="7F2BEF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1C3E"/>
  <w15:chartTrackingRefBased/>
  <w15:docId w15:val="{93E96AD3-35FF-42E0-9A71-67EAD926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CF7"/>
    <w:pPr>
      <w:spacing w:line="276" w:lineRule="auto"/>
    </w:pPr>
    <w:rPr>
      <w:rFonts w:ascii="Arial" w:hAnsi="Arial"/>
    </w:rPr>
  </w:style>
  <w:style w:type="paragraph" w:styleId="Heading1">
    <w:name w:val="heading 1"/>
    <w:basedOn w:val="Normal"/>
    <w:next w:val="Normal"/>
    <w:link w:val="Heading1Char"/>
    <w:autoRedefine/>
    <w:uiPriority w:val="9"/>
    <w:qFormat/>
    <w:rsid w:val="00320065"/>
    <w:pPr>
      <w:keepNext/>
      <w:keepLines/>
      <w:numPr>
        <w:numId w:val="1"/>
      </w:numPr>
      <w:spacing w:before="360"/>
      <w:ind w:left="567" w:hanging="567"/>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10321"/>
    <w:pPr>
      <w:keepNext/>
      <w:keepLines/>
      <w:spacing w:before="160" w:after="80" w:line="259" w:lineRule="auto"/>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A02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65"/>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10321"/>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A02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553"/>
    <w:rPr>
      <w:rFonts w:eastAsiaTheme="majorEastAsia" w:cstheme="majorBidi"/>
      <w:color w:val="272727" w:themeColor="text1" w:themeTint="D8"/>
    </w:rPr>
  </w:style>
  <w:style w:type="paragraph" w:styleId="Title">
    <w:name w:val="Title"/>
    <w:basedOn w:val="Normal"/>
    <w:next w:val="Normal"/>
    <w:link w:val="TitleChar"/>
    <w:uiPriority w:val="10"/>
    <w:qFormat/>
    <w:rsid w:val="00A02553"/>
    <w:pPr>
      <w:spacing w:after="80" w:line="240" w:lineRule="auto"/>
      <w:contextualSpacing/>
    </w:pPr>
    <w:rPr>
      <w:rFonts w:eastAsiaTheme="majorEastAsia" w:cstheme="majorBidi"/>
      <w:b/>
      <w:color w:val="0070C0"/>
      <w:spacing w:val="-10"/>
      <w:kern w:val="28"/>
      <w:sz w:val="40"/>
      <w:szCs w:val="56"/>
    </w:rPr>
  </w:style>
  <w:style w:type="character" w:customStyle="1" w:styleId="TitleChar">
    <w:name w:val="Title Char"/>
    <w:basedOn w:val="DefaultParagraphFont"/>
    <w:link w:val="Title"/>
    <w:uiPriority w:val="10"/>
    <w:rsid w:val="00A02553"/>
    <w:rPr>
      <w:rFonts w:ascii="Arial" w:eastAsiaTheme="majorEastAsia" w:hAnsi="Arial" w:cstheme="majorBidi"/>
      <w:b/>
      <w:color w:val="0070C0"/>
      <w:spacing w:val="-10"/>
      <w:kern w:val="28"/>
      <w:sz w:val="40"/>
      <w:szCs w:val="56"/>
    </w:rPr>
  </w:style>
  <w:style w:type="paragraph" w:styleId="Subtitle">
    <w:name w:val="Subtitle"/>
    <w:basedOn w:val="Normal"/>
    <w:next w:val="Normal"/>
    <w:link w:val="SubtitleChar"/>
    <w:uiPriority w:val="11"/>
    <w:qFormat/>
    <w:rsid w:val="00A02553"/>
    <w:pPr>
      <w:numPr>
        <w:ilvl w:val="1"/>
      </w:numPr>
    </w:pPr>
    <w:rPr>
      <w:rFonts w:eastAsiaTheme="majorEastAsia" w:cstheme="majorBidi"/>
      <w:b/>
      <w:color w:val="0070C0"/>
      <w:spacing w:val="15"/>
      <w:sz w:val="32"/>
      <w:szCs w:val="28"/>
    </w:rPr>
  </w:style>
  <w:style w:type="character" w:customStyle="1" w:styleId="SubtitleChar">
    <w:name w:val="Subtitle Char"/>
    <w:basedOn w:val="DefaultParagraphFont"/>
    <w:link w:val="Subtitle"/>
    <w:uiPriority w:val="11"/>
    <w:rsid w:val="00A02553"/>
    <w:rPr>
      <w:rFonts w:ascii="Arial" w:eastAsiaTheme="majorEastAsia" w:hAnsi="Arial" w:cstheme="majorBidi"/>
      <w:b/>
      <w:color w:val="0070C0"/>
      <w:spacing w:val="15"/>
      <w:sz w:val="32"/>
      <w:szCs w:val="28"/>
    </w:rPr>
  </w:style>
  <w:style w:type="paragraph" w:styleId="ListParagraph">
    <w:name w:val="List Paragraph"/>
    <w:basedOn w:val="Normal"/>
    <w:uiPriority w:val="34"/>
    <w:qFormat/>
    <w:rsid w:val="001B33C3"/>
    <w:pPr>
      <w:numPr>
        <w:numId w:val="2"/>
      </w:numPr>
    </w:pPr>
  </w:style>
  <w:style w:type="paragraph" w:styleId="Quote">
    <w:name w:val="Quote"/>
    <w:basedOn w:val="Normal"/>
    <w:next w:val="Normal"/>
    <w:link w:val="QuoteChar"/>
    <w:uiPriority w:val="29"/>
    <w:qFormat/>
    <w:rsid w:val="00A02553"/>
    <w:pPr>
      <w:spacing w:before="160"/>
      <w:jc w:val="center"/>
    </w:pPr>
    <w:rPr>
      <w:i/>
      <w:iCs/>
      <w:color w:val="404040" w:themeColor="text1" w:themeTint="BF"/>
    </w:rPr>
  </w:style>
  <w:style w:type="character" w:customStyle="1" w:styleId="QuoteChar">
    <w:name w:val="Quote Char"/>
    <w:basedOn w:val="DefaultParagraphFont"/>
    <w:link w:val="Quote"/>
    <w:uiPriority w:val="29"/>
    <w:rsid w:val="00A02553"/>
    <w:rPr>
      <w:i/>
      <w:iCs/>
      <w:color w:val="404040" w:themeColor="text1" w:themeTint="BF"/>
    </w:rPr>
  </w:style>
  <w:style w:type="paragraph" w:styleId="IntenseQuote">
    <w:name w:val="Intense Quote"/>
    <w:basedOn w:val="Normal"/>
    <w:next w:val="Normal"/>
    <w:link w:val="IntenseQuoteChar"/>
    <w:uiPriority w:val="30"/>
    <w:qFormat/>
    <w:rsid w:val="00A02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553"/>
    <w:rPr>
      <w:i/>
      <w:iCs/>
      <w:color w:val="0F4761" w:themeColor="accent1" w:themeShade="BF"/>
    </w:rPr>
  </w:style>
  <w:style w:type="character" w:styleId="IntenseEmphasis">
    <w:name w:val="Intense Emphasis"/>
    <w:basedOn w:val="DefaultParagraphFont"/>
    <w:uiPriority w:val="21"/>
    <w:qFormat/>
    <w:rsid w:val="00A02553"/>
    <w:rPr>
      <w:i/>
      <w:iCs/>
      <w:color w:val="0F4761" w:themeColor="accent1" w:themeShade="BF"/>
    </w:rPr>
  </w:style>
  <w:style w:type="character" w:styleId="IntenseReference">
    <w:name w:val="Intense Reference"/>
    <w:basedOn w:val="DefaultParagraphFont"/>
    <w:uiPriority w:val="32"/>
    <w:qFormat/>
    <w:rsid w:val="00A02553"/>
    <w:rPr>
      <w:b/>
      <w:bCs/>
      <w:smallCaps/>
      <w:color w:val="0F4761" w:themeColor="accent1" w:themeShade="BF"/>
      <w:spacing w:val="5"/>
    </w:rPr>
  </w:style>
  <w:style w:type="paragraph" w:styleId="TOCHeading">
    <w:name w:val="TOC Heading"/>
    <w:basedOn w:val="Heading1"/>
    <w:next w:val="Normal"/>
    <w:uiPriority w:val="39"/>
    <w:unhideWhenUsed/>
    <w:qFormat/>
    <w:rsid w:val="00AA2682"/>
    <w:pPr>
      <w:numPr>
        <w:numId w:val="0"/>
      </w:numPr>
      <w:spacing w:before="240" w:after="0"/>
      <w:outlineLvl w:val="9"/>
    </w:pPr>
    <w:rPr>
      <w:rFonts w:asciiTheme="majorHAnsi" w:hAnsiTheme="majorHAnsi"/>
      <w:b w:val="0"/>
      <w:color w:val="0F4761" w:themeColor="accent1" w:themeShade="BF"/>
      <w:kern w:val="0"/>
      <w:sz w:val="32"/>
      <w:szCs w:val="32"/>
      <w:lang w:eastAsia="en-GB"/>
      <w14:ligatures w14:val="none"/>
    </w:rPr>
  </w:style>
  <w:style w:type="character" w:styleId="CommentReference">
    <w:name w:val="annotation reference"/>
    <w:basedOn w:val="DefaultParagraphFont"/>
    <w:uiPriority w:val="99"/>
    <w:semiHidden/>
    <w:unhideWhenUsed/>
    <w:rsid w:val="00366543"/>
    <w:rPr>
      <w:sz w:val="16"/>
      <w:szCs w:val="16"/>
    </w:rPr>
  </w:style>
  <w:style w:type="paragraph" w:styleId="CommentText">
    <w:name w:val="annotation text"/>
    <w:basedOn w:val="Normal"/>
    <w:link w:val="CommentTextChar"/>
    <w:uiPriority w:val="99"/>
    <w:unhideWhenUsed/>
    <w:rsid w:val="00366543"/>
    <w:pPr>
      <w:spacing w:line="240" w:lineRule="auto"/>
    </w:pPr>
    <w:rPr>
      <w:sz w:val="20"/>
      <w:szCs w:val="20"/>
    </w:rPr>
  </w:style>
  <w:style w:type="character" w:customStyle="1" w:styleId="CommentTextChar">
    <w:name w:val="Comment Text Char"/>
    <w:basedOn w:val="DefaultParagraphFont"/>
    <w:link w:val="CommentText"/>
    <w:uiPriority w:val="99"/>
    <w:rsid w:val="0036654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6543"/>
    <w:rPr>
      <w:b/>
      <w:bCs/>
    </w:rPr>
  </w:style>
  <w:style w:type="character" w:customStyle="1" w:styleId="CommentSubjectChar">
    <w:name w:val="Comment Subject Char"/>
    <w:basedOn w:val="CommentTextChar"/>
    <w:link w:val="CommentSubject"/>
    <w:uiPriority w:val="99"/>
    <w:semiHidden/>
    <w:rsid w:val="00366543"/>
    <w:rPr>
      <w:rFonts w:ascii="Arial" w:hAnsi="Arial"/>
      <w:b/>
      <w:bCs/>
      <w:sz w:val="20"/>
      <w:szCs w:val="20"/>
    </w:rPr>
  </w:style>
  <w:style w:type="paragraph" w:styleId="FootnoteText">
    <w:name w:val="footnote text"/>
    <w:basedOn w:val="Normal"/>
    <w:link w:val="FootnoteTextChar"/>
    <w:uiPriority w:val="99"/>
    <w:semiHidden/>
    <w:unhideWhenUsed/>
    <w:rsid w:val="00964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0E5"/>
    <w:rPr>
      <w:rFonts w:ascii="Arial" w:hAnsi="Arial"/>
      <w:sz w:val="20"/>
      <w:szCs w:val="20"/>
    </w:rPr>
  </w:style>
  <w:style w:type="character" w:styleId="FootnoteReference">
    <w:name w:val="footnote reference"/>
    <w:basedOn w:val="DefaultParagraphFont"/>
    <w:uiPriority w:val="99"/>
    <w:semiHidden/>
    <w:unhideWhenUsed/>
    <w:rsid w:val="009640E5"/>
    <w:rPr>
      <w:vertAlign w:val="superscript"/>
    </w:rPr>
  </w:style>
  <w:style w:type="character" w:styleId="Hyperlink">
    <w:name w:val="Hyperlink"/>
    <w:basedOn w:val="DefaultParagraphFont"/>
    <w:uiPriority w:val="99"/>
    <w:unhideWhenUsed/>
    <w:rsid w:val="009640E5"/>
    <w:rPr>
      <w:color w:val="467886" w:themeColor="hyperlink"/>
      <w:u w:val="single"/>
    </w:rPr>
  </w:style>
  <w:style w:type="paragraph" w:styleId="TOC1">
    <w:name w:val="toc 1"/>
    <w:basedOn w:val="Normal"/>
    <w:next w:val="Normal"/>
    <w:autoRedefine/>
    <w:uiPriority w:val="39"/>
    <w:unhideWhenUsed/>
    <w:rsid w:val="00810321"/>
    <w:pPr>
      <w:tabs>
        <w:tab w:val="left" w:pos="480"/>
        <w:tab w:val="right" w:leader="dot" w:pos="9016"/>
      </w:tabs>
      <w:spacing w:after="100"/>
    </w:pPr>
  </w:style>
  <w:style w:type="paragraph" w:styleId="Header">
    <w:name w:val="header"/>
    <w:basedOn w:val="Normal"/>
    <w:link w:val="HeaderChar"/>
    <w:uiPriority w:val="99"/>
    <w:unhideWhenUsed/>
    <w:rsid w:val="00626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A7A"/>
    <w:rPr>
      <w:rFonts w:ascii="Arial" w:hAnsi="Arial"/>
    </w:rPr>
  </w:style>
  <w:style w:type="paragraph" w:styleId="Footer">
    <w:name w:val="footer"/>
    <w:basedOn w:val="Normal"/>
    <w:link w:val="FooterChar"/>
    <w:uiPriority w:val="99"/>
    <w:unhideWhenUsed/>
    <w:rsid w:val="0062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A7A"/>
    <w:rPr>
      <w:rFonts w:ascii="Arial" w:hAnsi="Arial"/>
    </w:rPr>
  </w:style>
  <w:style w:type="paragraph" w:styleId="TOC2">
    <w:name w:val="toc 2"/>
    <w:basedOn w:val="Normal"/>
    <w:next w:val="Normal"/>
    <w:autoRedefine/>
    <w:uiPriority w:val="39"/>
    <w:unhideWhenUsed/>
    <w:rsid w:val="00810321"/>
    <w:pPr>
      <w:spacing w:after="100"/>
      <w:ind w:left="220"/>
    </w:pPr>
  </w:style>
  <w:style w:type="character" w:styleId="UnresolvedMention">
    <w:name w:val="Unresolved Mention"/>
    <w:basedOn w:val="DefaultParagraphFont"/>
    <w:uiPriority w:val="99"/>
    <w:semiHidden/>
    <w:unhideWhenUsed/>
    <w:rsid w:val="00255778"/>
    <w:rPr>
      <w:color w:val="605E5C"/>
      <w:shd w:val="clear" w:color="auto" w:fill="E1DFDD"/>
    </w:rPr>
  </w:style>
  <w:style w:type="table" w:styleId="TableGrid">
    <w:name w:val="Table Grid"/>
    <w:basedOn w:val="TableNormal"/>
    <w:uiPriority w:val="39"/>
    <w:rsid w:val="00F0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01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40190"/>
  </w:style>
  <w:style w:type="character" w:customStyle="1" w:styleId="eop">
    <w:name w:val="eop"/>
    <w:basedOn w:val="DefaultParagraphFont"/>
    <w:rsid w:val="00C40190"/>
  </w:style>
  <w:style w:type="paragraph" w:styleId="Revision">
    <w:name w:val="Revision"/>
    <w:hidden/>
    <w:uiPriority w:val="99"/>
    <w:semiHidden/>
    <w:rsid w:val="00583F74"/>
    <w:pPr>
      <w:spacing w:after="0" w:line="240" w:lineRule="auto"/>
    </w:pPr>
    <w:rPr>
      <w:rFonts w:ascii="Arial" w:hAnsi="Arial"/>
    </w:rPr>
  </w:style>
  <w:style w:type="character" w:styleId="Mention">
    <w:name w:val="Mention"/>
    <w:basedOn w:val="DefaultParagraphFont"/>
    <w:uiPriority w:val="99"/>
    <w:unhideWhenUsed/>
    <w:rsid w:val="009E6779"/>
    <w:rPr>
      <w:color w:val="2B579A"/>
      <w:shd w:val="clear" w:color="auto" w:fill="E1DFDD"/>
    </w:rPr>
  </w:style>
  <w:style w:type="character" w:styleId="FollowedHyperlink">
    <w:name w:val="FollowedHyperlink"/>
    <w:basedOn w:val="DefaultParagraphFont"/>
    <w:uiPriority w:val="99"/>
    <w:semiHidden/>
    <w:unhideWhenUsed/>
    <w:rsid w:val="006C4B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medgroup.co.uk/"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bnssg.icb.nhs.uk/" TargetMode="External"/><Relationship Id="rId1" Type="http://schemas.openxmlformats.org/officeDocument/2006/relationships/hyperlink" Target="https://www.htg-uk.com/" TargetMode="External"/><Relationship Id="rId6" Type="http://schemas.openxmlformats.org/officeDocument/2006/relationships/hyperlink" Target="https://www.legislation.gov.uk/uksi/2023/1348/contents/made"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gbr01.safelinks.protection.outlook.com/?url=https%3A%2F%2Fnhssomerset.nhs.uk%2Fwp-content%2Fuploads%2Fsites%2F2%2FEnc-J-Exception-Report-Quadrant_May_25-inc-Quality-and-Finance.pdf&amp;data=05%7C02%7Cscwcsu.psrcasemanagement%40nhs.net%7Cc921cc2ef94e443fd95d08de6f9afe1e%7C37c354b285b047f5b22207b48d774ee3%7C0%7C0%7C639070908640025355%7CUnknown%7CTWFpbGZsb3d8eyJFbXB0eU1hcGkiOnRydWUsIlYiOiIwLjAuMDAwMCIsIlAiOiJXaW4zMiIsIkFOIjoiTWFpbCIsIldUIjoyfQ%3D%3D%7C0%7C%7C%7C&amp;sdata=gHp77QPBiEvmVE3FM7BXzBRXpaLdtbx%2FC0FufjP1RC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a05b2dce787b60fe7ff962efb2cfffe1">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6186108655342bb1f944b7e0aa211fe1"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CMS00</DocumentN>
    <Category xmlns="96410c0b-a514-402d-9462-ba76dadfba38">Case Document</Category>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5.xml><?xml version="1.0" encoding="utf-8"?>
<properties xmlns="http://www.imanage.com/work/xmlschema">
  <documentid>LEGAL!84453346.1</documentid>
  <senderid>HILLD</senderid>
  <senderemail>DAVID.HILL@BLAKEMORGAN.CO.UK</senderemail>
  <lastmodified>2026-01-14T12:49:00.0000000+00:00</lastmodified>
  <database>LEGAL</database>
</properties>
</file>

<file path=customXml/itemProps1.xml><?xml version="1.0" encoding="utf-8"?>
<ds:datastoreItem xmlns:ds="http://schemas.openxmlformats.org/officeDocument/2006/customXml" ds:itemID="{5D9F8D35-3C46-40C6-99D2-ADC2581B3B48}">
  <ds:schemaRefs>
    <ds:schemaRef ds:uri="http://schemas.openxmlformats.org/officeDocument/2006/bibliography"/>
  </ds:schemaRefs>
</ds:datastoreItem>
</file>

<file path=customXml/itemProps2.xml><?xml version="1.0" encoding="utf-8"?>
<ds:datastoreItem xmlns:ds="http://schemas.openxmlformats.org/officeDocument/2006/customXml" ds:itemID="{679C2287-0427-4B33-8AA7-F20EB283ABDF}">
  <ds:schemaRefs>
    <ds:schemaRef ds:uri="http://schemas.microsoft.com/sharepoint/v3/contenttype/forms"/>
  </ds:schemaRefs>
</ds:datastoreItem>
</file>

<file path=customXml/itemProps3.xml><?xml version="1.0" encoding="utf-8"?>
<ds:datastoreItem xmlns:ds="http://schemas.openxmlformats.org/officeDocument/2006/customXml" ds:itemID="{2DA442BD-ECD7-41E7-A52B-6318637C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F42C8-62C6-4304-BCF1-3251C394ACCD}">
  <ds:schemaRefs>
    <ds:schemaRef ds:uri="http://schemas.microsoft.com/office/2006/metadata/properties"/>
    <ds:schemaRef ds:uri="http://schemas.microsoft.com/office/infopath/2007/PartnerControls"/>
    <ds:schemaRef ds:uri="http://schemas.microsoft.com/sharepoint/v3"/>
    <ds:schemaRef ds:uri="96410c0b-a514-402d-9462-ba76dadfba38"/>
    <ds:schemaRef ds:uri="47bd0a4b-cdef-49e3-b4c2-dc603af9f461"/>
  </ds:schemaRefs>
</ds:datastoreItem>
</file>

<file path=customXml/itemProps5.xml><?xml version="1.0" encoding="utf-8"?>
<ds:datastoreItem xmlns:ds="http://schemas.openxmlformats.org/officeDocument/2006/customXml" ds:itemID="{0E22FA06-06FC-423C-A289-3B9FDC57F754}">
  <ds:schemaRefs>
    <ds:schemaRef ds:uri="http://www.imanage.com/work/xmlschem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27</Pages>
  <Words>10189</Words>
  <Characters>58079</Characters>
  <Application>Microsoft Office Word</Application>
  <DocSecurity>8</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Bianca (NHS SOUTH, CENTRAL AND WEST COMMISSIONING SUPPORT UNIT)</dc:creator>
  <cp:keywords/>
  <dc:description/>
  <cp:lastModifiedBy>WALTERS, Bianca (NHS SOUTH, CENTRAL AND WEST COMMISSIONING SUPPORT UNIT)</cp:lastModifiedBy>
  <cp:revision>16</cp:revision>
  <cp:lastPrinted>2026-02-19T10:05:00Z</cp:lastPrinted>
  <dcterms:created xsi:type="dcterms:W3CDTF">2026-02-09T16:53:00Z</dcterms:created>
  <dcterms:modified xsi:type="dcterms:W3CDTF">2026-02-19T10:05:00Z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docLang">
    <vt:lpwstr>en</vt:lpwstr>
  </property>
  <property fmtid="{D5CDD505-2E9C-101B-9397-08002B2CF9AE}" pid="5" name="WSFooter">
    <vt:lpwstr>LEGAL\84453346\1</vt:lpwstr>
  </property>
  <property fmtid="{D5CDD505-2E9C-101B-9397-08002B2CF9AE}" pid="6" name="DocumentType">
    <vt:lpwstr>DOC | Document</vt:lpwstr>
  </property>
</Properties>
</file>