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2043216"/>
    <w:bookmarkStart w:id="1" w:name="_Toc223511113"/>
    <w:p w14:paraId="6D71FCDE" w14:textId="56EE4374" w:rsidR="00EE0481" w:rsidRPr="007D23AE" w:rsidRDefault="00D34E87" w:rsidP="00E36FE2">
      <w:pPr>
        <w:pStyle w:val="Heading1"/>
        <w:keepNext w:val="0"/>
        <w:spacing w:line="276" w:lineRule="auto"/>
        <w:rPr>
          <w:lang w:val="fr-FR"/>
        </w:rPr>
      </w:pPr>
      <w:sdt>
        <w:sdtPr>
          <w:rPr>
            <w:lang w:val="fr-FR"/>
          </w:rPr>
          <w:alias w:val="Title"/>
          <w:tag w:val="title"/>
          <w:id w:val="1036308880"/>
          <w:placeholder>
            <w:docPart w:val="E99B1ED8BC034DF29266334185EBC3A1"/>
          </w:placeholder>
          <w:text/>
        </w:sdtPr>
        <w:sdtEndPr/>
        <w:sdtContent>
          <w:r w:rsidR="00E805D0" w:rsidRPr="007D23AE">
            <w:rPr>
              <w:lang w:val="fr-FR"/>
            </w:rPr>
            <w:t xml:space="preserve">Network Contract DES </w:t>
          </w:r>
        </w:sdtContent>
      </w:sdt>
      <w:bookmarkEnd w:id="0"/>
      <w:bookmarkEnd w:id="1"/>
    </w:p>
    <w:p w14:paraId="5D6FEDB9" w14:textId="1CA7EBD6" w:rsidR="00E805D0" w:rsidRPr="00E805D0" w:rsidRDefault="00E805D0" w:rsidP="00E805D0">
      <w:pPr>
        <w:pStyle w:val="Subheading"/>
      </w:pPr>
      <w:bookmarkStart w:id="2" w:name="_Hlk178222332"/>
      <w:r w:rsidRPr="00E805D0">
        <w:t>202</w:t>
      </w:r>
      <w:r w:rsidRPr="00E805D0">
        <w:rPr>
          <w:highlight w:val="yellow"/>
        </w:rPr>
        <w:t>6</w:t>
      </w:r>
      <w:r w:rsidRPr="00E805D0">
        <w:t>/2</w:t>
      </w:r>
      <w:r w:rsidRPr="00E805D0">
        <w:rPr>
          <w:highlight w:val="yellow"/>
        </w:rPr>
        <w:t>7</w:t>
      </w:r>
    </w:p>
    <w:p w14:paraId="48FECB4E" w14:textId="13DE97BD" w:rsidR="00F126B3" w:rsidRPr="007D23AE" w:rsidRDefault="00257283" w:rsidP="00E805D0">
      <w:pPr>
        <w:pStyle w:val="Subheading"/>
      </w:pPr>
      <w:r w:rsidRPr="007D23AE">
        <w:t>Part B Guidance</w:t>
      </w:r>
      <w:r w:rsidR="00F6293F" w:rsidRPr="007D23AE">
        <w:t xml:space="preserve">: Non-clinical </w:t>
      </w:r>
      <w:bookmarkEnd w:id="2"/>
    </w:p>
    <w:p w14:paraId="32F15C55" w14:textId="0A24D095" w:rsidR="00257283" w:rsidRPr="00B7339E" w:rsidRDefault="00DD28E9" w:rsidP="00E36FE2">
      <w:pPr>
        <w:spacing w:line="276" w:lineRule="auto"/>
        <w:rPr>
          <w:sz w:val="28"/>
          <w:szCs w:val="28"/>
        </w:rPr>
      </w:pPr>
      <w:r>
        <w:rPr>
          <w:sz w:val="28"/>
          <w:szCs w:val="28"/>
          <w:highlight w:val="yellow"/>
        </w:rPr>
        <w:t>26</w:t>
      </w:r>
      <w:r w:rsidR="00D24D4D" w:rsidRPr="00D24D4D">
        <w:rPr>
          <w:sz w:val="28"/>
          <w:szCs w:val="28"/>
          <w:highlight w:val="yellow"/>
        </w:rPr>
        <w:t>March</w:t>
      </w:r>
      <w:r w:rsidR="00D24D4D">
        <w:rPr>
          <w:sz w:val="28"/>
          <w:szCs w:val="28"/>
        </w:rPr>
        <w:t xml:space="preserve"> </w:t>
      </w:r>
      <w:r w:rsidR="00436C01" w:rsidRPr="00DD28E9">
        <w:rPr>
          <w:sz w:val="28"/>
          <w:szCs w:val="28"/>
          <w:highlight w:val="yellow"/>
        </w:rPr>
        <w:t>2026</w:t>
      </w:r>
    </w:p>
    <w:p w14:paraId="117E88FA" w14:textId="77777777" w:rsidR="007375BC" w:rsidRDefault="007375BC" w:rsidP="00E36FE2">
      <w:pPr>
        <w:spacing w:line="276" w:lineRule="auto"/>
      </w:pPr>
      <w:r w:rsidRPr="0053542E">
        <w:rPr>
          <w:noProof/>
        </w:rPr>
        <w:drawing>
          <wp:inline distT="0" distB="0" distL="0" distR="0" wp14:anchorId="554DA1F0" wp14:editId="1E4A5872">
            <wp:extent cx="6263640" cy="4720846"/>
            <wp:effectExtent l="0" t="0" r="3810" b="3810"/>
            <wp:docPr id="1872496100" name="Picture 1872496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263640" cy="4720846"/>
                    </a:xfrm>
                    <a:prstGeom prst="rect">
                      <a:avLst/>
                    </a:prstGeom>
                  </pic:spPr>
                </pic:pic>
              </a:graphicData>
            </a:graphic>
          </wp:inline>
        </w:drawing>
      </w:r>
    </w:p>
    <w:p w14:paraId="7A65BDFF" w14:textId="2346C7AE" w:rsidR="0070387A" w:rsidRDefault="0070387A">
      <w:pPr>
        <w:spacing w:after="0" w:line="240" w:lineRule="auto"/>
        <w:textboxTightWrap w:val="none"/>
      </w:pPr>
      <w:r>
        <w:br w:type="page"/>
      </w:r>
    </w:p>
    <w:p w14:paraId="5AEB73F9" w14:textId="60CD94CD" w:rsidR="0070387A" w:rsidRPr="0070387A" w:rsidRDefault="0070387A">
      <w:pPr>
        <w:pStyle w:val="TOC2"/>
        <w:rPr>
          <w:color w:val="005EB8" w:themeColor="text2"/>
          <w:sz w:val="36"/>
          <w:szCs w:val="32"/>
        </w:rPr>
      </w:pPr>
      <w:r w:rsidRPr="0070387A">
        <w:rPr>
          <w:color w:val="005EB8" w:themeColor="text2"/>
          <w:sz w:val="36"/>
          <w:szCs w:val="32"/>
        </w:rPr>
        <w:lastRenderedPageBreak/>
        <w:t>Contents</w:t>
      </w:r>
    </w:p>
    <w:p w14:paraId="759EDC42" w14:textId="77777777" w:rsidR="0070387A" w:rsidRDefault="0070387A">
      <w:pPr>
        <w:pStyle w:val="TOC2"/>
      </w:pPr>
    </w:p>
    <w:p w14:paraId="74089FFF" w14:textId="5731901A" w:rsidR="00BF21BB" w:rsidRDefault="0070387A">
      <w:pPr>
        <w:pStyle w:val="TOC2"/>
        <w:rPr>
          <w:rFonts w:asciiTheme="minorHAnsi" w:eastAsiaTheme="minorEastAsia" w:hAnsiTheme="minorHAnsi" w:cstheme="minorBidi"/>
          <w:color w:val="auto"/>
          <w:kern w:val="2"/>
          <w:sz w:val="24"/>
          <w:lang w:eastAsia="en-GB"/>
          <w14:ligatures w14:val="standardContextual"/>
        </w:rPr>
      </w:pPr>
      <w:r>
        <w:fldChar w:fldCharType="begin"/>
      </w:r>
      <w:r>
        <w:instrText xml:space="preserve"> TOC \h \z \t "h2 numbered,2,h3 numbered,3" </w:instrText>
      </w:r>
      <w:r>
        <w:fldChar w:fldCharType="separate"/>
      </w:r>
      <w:hyperlink w:anchor="_Toc223511404" w:history="1">
        <w:r w:rsidR="00BF21BB" w:rsidRPr="00DB4DEE">
          <w:rPr>
            <w:rStyle w:val="Hyperlink"/>
          </w:rPr>
          <w:t>1. Introduction</w:t>
        </w:r>
        <w:r w:rsidR="00BF21BB">
          <w:rPr>
            <w:webHidden/>
          </w:rPr>
          <w:tab/>
        </w:r>
        <w:r w:rsidR="00BF21BB">
          <w:rPr>
            <w:webHidden/>
          </w:rPr>
          <w:fldChar w:fldCharType="begin"/>
        </w:r>
        <w:r w:rsidR="00BF21BB">
          <w:rPr>
            <w:webHidden/>
          </w:rPr>
          <w:instrText xml:space="preserve"> PAGEREF _Toc223511404 \h </w:instrText>
        </w:r>
        <w:r w:rsidR="00BF21BB">
          <w:rPr>
            <w:webHidden/>
          </w:rPr>
        </w:r>
        <w:r w:rsidR="00BF21BB">
          <w:rPr>
            <w:webHidden/>
          </w:rPr>
          <w:fldChar w:fldCharType="separate"/>
        </w:r>
        <w:r w:rsidR="00CD5E1F">
          <w:rPr>
            <w:webHidden/>
          </w:rPr>
          <w:t>4</w:t>
        </w:r>
        <w:r w:rsidR="00BF21BB">
          <w:rPr>
            <w:webHidden/>
          </w:rPr>
          <w:fldChar w:fldCharType="end"/>
        </w:r>
      </w:hyperlink>
    </w:p>
    <w:p w14:paraId="09EEDFC5" w14:textId="19BB6E26" w:rsidR="00BF21BB" w:rsidRDefault="00BF21BB">
      <w:pPr>
        <w:pStyle w:val="TOC2"/>
        <w:rPr>
          <w:rFonts w:asciiTheme="minorHAnsi" w:eastAsiaTheme="minorEastAsia" w:hAnsiTheme="minorHAnsi" w:cstheme="minorBidi"/>
          <w:color w:val="auto"/>
          <w:kern w:val="2"/>
          <w:sz w:val="24"/>
          <w:lang w:eastAsia="en-GB"/>
          <w14:ligatures w14:val="standardContextual"/>
        </w:rPr>
      </w:pPr>
      <w:hyperlink w:anchor="_Toc223511405" w:history="1">
        <w:r w:rsidRPr="00DB4DEE">
          <w:rPr>
            <w:rStyle w:val="Hyperlink"/>
          </w:rPr>
          <w:t>2. Participation in the Network Contract DES</w:t>
        </w:r>
        <w:r>
          <w:rPr>
            <w:webHidden/>
          </w:rPr>
          <w:tab/>
        </w:r>
        <w:r>
          <w:rPr>
            <w:webHidden/>
          </w:rPr>
          <w:fldChar w:fldCharType="begin"/>
        </w:r>
        <w:r>
          <w:rPr>
            <w:webHidden/>
          </w:rPr>
          <w:instrText xml:space="preserve"> PAGEREF _Toc223511405 \h </w:instrText>
        </w:r>
        <w:r>
          <w:rPr>
            <w:webHidden/>
          </w:rPr>
        </w:r>
        <w:r>
          <w:rPr>
            <w:webHidden/>
          </w:rPr>
          <w:fldChar w:fldCharType="separate"/>
        </w:r>
        <w:r w:rsidR="00CD5E1F">
          <w:rPr>
            <w:webHidden/>
          </w:rPr>
          <w:t>4</w:t>
        </w:r>
        <w:r>
          <w:rPr>
            <w:webHidden/>
          </w:rPr>
          <w:fldChar w:fldCharType="end"/>
        </w:r>
      </w:hyperlink>
    </w:p>
    <w:p w14:paraId="2C0B2BDC" w14:textId="09E07F3D" w:rsidR="00BF21BB" w:rsidRDefault="00BF21BB">
      <w:pPr>
        <w:pStyle w:val="TOC3"/>
        <w:rPr>
          <w:noProof/>
          <w:color w:val="auto"/>
          <w:kern w:val="2"/>
          <w:szCs w:val="24"/>
          <w:lang w:val="en-GB" w:eastAsia="en-GB"/>
          <w14:ligatures w14:val="standardContextual"/>
        </w:rPr>
      </w:pPr>
      <w:hyperlink w:anchor="_Toc223511406" w:history="1">
        <w:r w:rsidRPr="00DB4DEE">
          <w:rPr>
            <w:rStyle w:val="Hyperlink"/>
            <w:rFonts w:asciiTheme="majorHAnsi" w:hAnsiTheme="majorHAnsi" w:cstheme="majorHAnsi"/>
            <w:noProof/>
          </w:rPr>
          <w:t>2.1</w:t>
        </w:r>
        <w:r>
          <w:rPr>
            <w:noProof/>
            <w:color w:val="auto"/>
            <w:kern w:val="2"/>
            <w:szCs w:val="24"/>
            <w:lang w:val="en-GB" w:eastAsia="en-GB"/>
            <w14:ligatures w14:val="standardContextual"/>
          </w:rPr>
          <w:tab/>
        </w:r>
        <w:r w:rsidRPr="00DB4DEE">
          <w:rPr>
            <w:rStyle w:val="Hyperlink"/>
            <w:noProof/>
          </w:rPr>
          <w:t>Participation process</w:t>
        </w:r>
        <w:r>
          <w:rPr>
            <w:noProof/>
            <w:webHidden/>
          </w:rPr>
          <w:tab/>
        </w:r>
        <w:r>
          <w:rPr>
            <w:noProof/>
            <w:webHidden/>
          </w:rPr>
          <w:fldChar w:fldCharType="begin"/>
        </w:r>
        <w:r>
          <w:rPr>
            <w:noProof/>
            <w:webHidden/>
          </w:rPr>
          <w:instrText xml:space="preserve"> PAGEREF _Toc223511406 \h </w:instrText>
        </w:r>
        <w:r>
          <w:rPr>
            <w:noProof/>
            <w:webHidden/>
          </w:rPr>
        </w:r>
        <w:r>
          <w:rPr>
            <w:noProof/>
            <w:webHidden/>
          </w:rPr>
          <w:fldChar w:fldCharType="separate"/>
        </w:r>
        <w:r w:rsidR="00CD5E1F">
          <w:rPr>
            <w:noProof/>
            <w:webHidden/>
          </w:rPr>
          <w:t>4</w:t>
        </w:r>
        <w:r>
          <w:rPr>
            <w:noProof/>
            <w:webHidden/>
          </w:rPr>
          <w:fldChar w:fldCharType="end"/>
        </w:r>
      </w:hyperlink>
    </w:p>
    <w:p w14:paraId="439E5F9A" w14:textId="451B7CC9" w:rsidR="00BF21BB" w:rsidRDefault="00BF21BB">
      <w:pPr>
        <w:pStyle w:val="TOC3"/>
        <w:rPr>
          <w:noProof/>
          <w:color w:val="auto"/>
          <w:kern w:val="2"/>
          <w:szCs w:val="24"/>
          <w:lang w:val="en-GB" w:eastAsia="en-GB"/>
          <w14:ligatures w14:val="standardContextual"/>
        </w:rPr>
      </w:pPr>
      <w:hyperlink w:anchor="_Toc223511407" w:history="1">
        <w:r w:rsidRPr="00DB4DEE">
          <w:rPr>
            <w:rStyle w:val="Hyperlink"/>
            <w:rFonts w:asciiTheme="majorHAnsi" w:hAnsiTheme="majorHAnsi" w:cstheme="majorHAnsi"/>
            <w:noProof/>
          </w:rPr>
          <w:t>2.2</w:t>
        </w:r>
        <w:r>
          <w:rPr>
            <w:noProof/>
            <w:color w:val="auto"/>
            <w:kern w:val="2"/>
            <w:szCs w:val="24"/>
            <w:lang w:val="en-GB" w:eastAsia="en-GB"/>
            <w14:ligatures w14:val="standardContextual"/>
          </w:rPr>
          <w:tab/>
        </w:r>
        <w:r w:rsidRPr="00DB4DEE">
          <w:rPr>
            <w:rStyle w:val="Hyperlink"/>
            <w:noProof/>
          </w:rPr>
          <w:t>PCN unwilling to accept a practice as a Core Network Practice</w:t>
        </w:r>
        <w:r>
          <w:rPr>
            <w:noProof/>
            <w:webHidden/>
          </w:rPr>
          <w:tab/>
        </w:r>
        <w:r>
          <w:rPr>
            <w:noProof/>
            <w:webHidden/>
          </w:rPr>
          <w:fldChar w:fldCharType="begin"/>
        </w:r>
        <w:r>
          <w:rPr>
            <w:noProof/>
            <w:webHidden/>
          </w:rPr>
          <w:instrText xml:space="preserve"> PAGEREF _Toc223511407 \h </w:instrText>
        </w:r>
        <w:r>
          <w:rPr>
            <w:noProof/>
            <w:webHidden/>
          </w:rPr>
        </w:r>
        <w:r>
          <w:rPr>
            <w:noProof/>
            <w:webHidden/>
          </w:rPr>
          <w:fldChar w:fldCharType="separate"/>
        </w:r>
        <w:r w:rsidR="00CD5E1F">
          <w:rPr>
            <w:noProof/>
            <w:webHidden/>
          </w:rPr>
          <w:t>6</w:t>
        </w:r>
        <w:r>
          <w:rPr>
            <w:noProof/>
            <w:webHidden/>
          </w:rPr>
          <w:fldChar w:fldCharType="end"/>
        </w:r>
      </w:hyperlink>
    </w:p>
    <w:p w14:paraId="2DC67821" w14:textId="64D47576" w:rsidR="00BF21BB" w:rsidRDefault="00BF21BB">
      <w:pPr>
        <w:pStyle w:val="TOC2"/>
        <w:rPr>
          <w:rFonts w:asciiTheme="minorHAnsi" w:eastAsiaTheme="minorEastAsia" w:hAnsiTheme="minorHAnsi" w:cstheme="minorBidi"/>
          <w:color w:val="auto"/>
          <w:kern w:val="2"/>
          <w:sz w:val="24"/>
          <w:lang w:eastAsia="en-GB"/>
          <w14:ligatures w14:val="standardContextual"/>
        </w:rPr>
      </w:pPr>
      <w:hyperlink w:anchor="_Toc223511408" w:history="1">
        <w:r w:rsidRPr="00DB4DEE">
          <w:rPr>
            <w:rStyle w:val="Hyperlink"/>
          </w:rPr>
          <w:t>3. Role of Commissioners and LMCs in reconfirming PCN establishment</w:t>
        </w:r>
        <w:r>
          <w:rPr>
            <w:webHidden/>
          </w:rPr>
          <w:tab/>
        </w:r>
        <w:r>
          <w:rPr>
            <w:webHidden/>
          </w:rPr>
          <w:fldChar w:fldCharType="begin"/>
        </w:r>
        <w:r>
          <w:rPr>
            <w:webHidden/>
          </w:rPr>
          <w:instrText xml:space="preserve"> PAGEREF _Toc223511408 \h </w:instrText>
        </w:r>
        <w:r>
          <w:rPr>
            <w:webHidden/>
          </w:rPr>
        </w:r>
        <w:r>
          <w:rPr>
            <w:webHidden/>
          </w:rPr>
          <w:fldChar w:fldCharType="separate"/>
        </w:r>
        <w:r w:rsidR="00CD5E1F">
          <w:rPr>
            <w:webHidden/>
          </w:rPr>
          <w:t>6</w:t>
        </w:r>
        <w:r>
          <w:rPr>
            <w:webHidden/>
          </w:rPr>
          <w:fldChar w:fldCharType="end"/>
        </w:r>
      </w:hyperlink>
    </w:p>
    <w:p w14:paraId="31FB5405" w14:textId="1F25C810" w:rsidR="00BF21BB" w:rsidRDefault="00BF21BB">
      <w:pPr>
        <w:pStyle w:val="TOC2"/>
        <w:rPr>
          <w:rFonts w:asciiTheme="minorHAnsi" w:eastAsiaTheme="minorEastAsia" w:hAnsiTheme="minorHAnsi" w:cstheme="minorBidi"/>
          <w:color w:val="auto"/>
          <w:kern w:val="2"/>
          <w:sz w:val="24"/>
          <w:lang w:eastAsia="en-GB"/>
          <w14:ligatures w14:val="standardContextual"/>
        </w:rPr>
      </w:pPr>
      <w:hyperlink w:anchor="_Toc223511409" w:history="1">
        <w:r w:rsidRPr="00DB4DEE">
          <w:rPr>
            <w:rStyle w:val="Hyperlink"/>
          </w:rPr>
          <w:t>4. Establishing local agreements with a PCN for delivery of network services for patients of a practice not participating in the Network Contract DES</w:t>
        </w:r>
        <w:r>
          <w:rPr>
            <w:webHidden/>
          </w:rPr>
          <w:tab/>
        </w:r>
        <w:r>
          <w:rPr>
            <w:webHidden/>
          </w:rPr>
          <w:fldChar w:fldCharType="begin"/>
        </w:r>
        <w:r>
          <w:rPr>
            <w:webHidden/>
          </w:rPr>
          <w:instrText xml:space="preserve"> PAGEREF _Toc223511409 \h </w:instrText>
        </w:r>
        <w:r>
          <w:rPr>
            <w:webHidden/>
          </w:rPr>
        </w:r>
        <w:r>
          <w:rPr>
            <w:webHidden/>
          </w:rPr>
          <w:fldChar w:fldCharType="separate"/>
        </w:r>
        <w:r w:rsidR="00CD5E1F">
          <w:rPr>
            <w:webHidden/>
          </w:rPr>
          <w:t>7</w:t>
        </w:r>
        <w:r>
          <w:rPr>
            <w:webHidden/>
          </w:rPr>
          <w:fldChar w:fldCharType="end"/>
        </w:r>
      </w:hyperlink>
    </w:p>
    <w:p w14:paraId="11D308FA" w14:textId="69FA1D7E" w:rsidR="00BF21BB" w:rsidRDefault="00BF21BB">
      <w:pPr>
        <w:pStyle w:val="TOC3"/>
        <w:rPr>
          <w:noProof/>
          <w:color w:val="auto"/>
          <w:kern w:val="2"/>
          <w:szCs w:val="24"/>
          <w:lang w:val="en-GB" w:eastAsia="en-GB"/>
          <w14:ligatures w14:val="standardContextual"/>
        </w:rPr>
      </w:pPr>
      <w:hyperlink w:anchor="_Toc223511410" w:history="1">
        <w:r w:rsidRPr="00DB4DEE">
          <w:rPr>
            <w:rStyle w:val="Hyperlink"/>
            <w:rFonts w:asciiTheme="majorHAnsi" w:hAnsiTheme="majorHAnsi" w:cstheme="majorHAnsi"/>
            <w:noProof/>
          </w:rPr>
          <w:t>4.1</w:t>
        </w:r>
        <w:r>
          <w:rPr>
            <w:noProof/>
            <w:color w:val="auto"/>
            <w:kern w:val="2"/>
            <w:szCs w:val="24"/>
            <w:lang w:val="en-GB" w:eastAsia="en-GB"/>
            <w14:ligatures w14:val="standardContextual"/>
          </w:rPr>
          <w:tab/>
        </w:r>
        <w:r w:rsidRPr="00DB4DEE">
          <w:rPr>
            <w:rStyle w:val="Hyperlink"/>
            <w:noProof/>
          </w:rPr>
          <w:t>Key considerations</w:t>
        </w:r>
        <w:r>
          <w:rPr>
            <w:noProof/>
            <w:webHidden/>
          </w:rPr>
          <w:tab/>
        </w:r>
        <w:r>
          <w:rPr>
            <w:noProof/>
            <w:webHidden/>
          </w:rPr>
          <w:fldChar w:fldCharType="begin"/>
        </w:r>
        <w:r>
          <w:rPr>
            <w:noProof/>
            <w:webHidden/>
          </w:rPr>
          <w:instrText xml:space="preserve"> PAGEREF _Toc223511410 \h </w:instrText>
        </w:r>
        <w:r>
          <w:rPr>
            <w:noProof/>
            <w:webHidden/>
          </w:rPr>
        </w:r>
        <w:r>
          <w:rPr>
            <w:noProof/>
            <w:webHidden/>
          </w:rPr>
          <w:fldChar w:fldCharType="separate"/>
        </w:r>
        <w:r w:rsidR="00CD5E1F">
          <w:rPr>
            <w:noProof/>
            <w:webHidden/>
          </w:rPr>
          <w:t>7</w:t>
        </w:r>
        <w:r>
          <w:rPr>
            <w:noProof/>
            <w:webHidden/>
          </w:rPr>
          <w:fldChar w:fldCharType="end"/>
        </w:r>
      </w:hyperlink>
    </w:p>
    <w:p w14:paraId="680C2B65" w14:textId="761B82CB" w:rsidR="00BF21BB" w:rsidRDefault="00BF21BB">
      <w:pPr>
        <w:pStyle w:val="TOC3"/>
        <w:rPr>
          <w:noProof/>
          <w:color w:val="auto"/>
          <w:kern w:val="2"/>
          <w:szCs w:val="24"/>
          <w:lang w:val="en-GB" w:eastAsia="en-GB"/>
          <w14:ligatures w14:val="standardContextual"/>
        </w:rPr>
      </w:pPr>
      <w:hyperlink w:anchor="_Toc223511411" w:history="1">
        <w:r w:rsidRPr="00DB4DEE">
          <w:rPr>
            <w:rStyle w:val="Hyperlink"/>
            <w:rFonts w:asciiTheme="majorHAnsi" w:hAnsiTheme="majorHAnsi" w:cstheme="majorHAnsi"/>
            <w:noProof/>
          </w:rPr>
          <w:t>4.2</w:t>
        </w:r>
        <w:r>
          <w:rPr>
            <w:noProof/>
            <w:color w:val="auto"/>
            <w:kern w:val="2"/>
            <w:szCs w:val="24"/>
            <w:lang w:val="en-GB" w:eastAsia="en-GB"/>
            <w14:ligatures w14:val="standardContextual"/>
          </w:rPr>
          <w:tab/>
        </w:r>
        <w:r w:rsidRPr="00DB4DEE">
          <w:rPr>
            <w:rStyle w:val="Hyperlink"/>
            <w:noProof/>
          </w:rPr>
          <w:t>Payments under a local agreement</w:t>
        </w:r>
        <w:r>
          <w:rPr>
            <w:noProof/>
            <w:webHidden/>
          </w:rPr>
          <w:tab/>
        </w:r>
        <w:r>
          <w:rPr>
            <w:noProof/>
            <w:webHidden/>
          </w:rPr>
          <w:fldChar w:fldCharType="begin"/>
        </w:r>
        <w:r>
          <w:rPr>
            <w:noProof/>
            <w:webHidden/>
          </w:rPr>
          <w:instrText xml:space="preserve"> PAGEREF _Toc223511411 \h </w:instrText>
        </w:r>
        <w:r>
          <w:rPr>
            <w:noProof/>
            <w:webHidden/>
          </w:rPr>
        </w:r>
        <w:r>
          <w:rPr>
            <w:noProof/>
            <w:webHidden/>
          </w:rPr>
          <w:fldChar w:fldCharType="separate"/>
        </w:r>
        <w:r w:rsidR="00CD5E1F">
          <w:rPr>
            <w:noProof/>
            <w:webHidden/>
          </w:rPr>
          <w:t>9</w:t>
        </w:r>
        <w:r>
          <w:rPr>
            <w:noProof/>
            <w:webHidden/>
          </w:rPr>
          <w:fldChar w:fldCharType="end"/>
        </w:r>
      </w:hyperlink>
    </w:p>
    <w:p w14:paraId="35E9B3F5" w14:textId="568A7710" w:rsidR="00BF21BB" w:rsidRDefault="00BF21BB">
      <w:pPr>
        <w:pStyle w:val="TOC3"/>
        <w:rPr>
          <w:noProof/>
          <w:color w:val="auto"/>
          <w:kern w:val="2"/>
          <w:szCs w:val="24"/>
          <w:lang w:val="en-GB" w:eastAsia="en-GB"/>
          <w14:ligatures w14:val="standardContextual"/>
        </w:rPr>
      </w:pPr>
      <w:hyperlink w:anchor="_Toc223511412" w:history="1">
        <w:r w:rsidRPr="00DB4DEE">
          <w:rPr>
            <w:rStyle w:val="Hyperlink"/>
            <w:rFonts w:asciiTheme="majorHAnsi" w:hAnsiTheme="majorHAnsi" w:cstheme="majorHAnsi"/>
            <w:noProof/>
          </w:rPr>
          <w:t>4.3</w:t>
        </w:r>
        <w:r>
          <w:rPr>
            <w:noProof/>
            <w:color w:val="auto"/>
            <w:kern w:val="2"/>
            <w:szCs w:val="24"/>
            <w:lang w:val="en-GB" w:eastAsia="en-GB"/>
            <w14:ligatures w14:val="standardContextual"/>
          </w:rPr>
          <w:tab/>
        </w:r>
        <w:r w:rsidRPr="00DB4DEE">
          <w:rPr>
            <w:rStyle w:val="Hyperlink"/>
            <w:noProof/>
          </w:rPr>
          <w:t>Duty of co-operation</w:t>
        </w:r>
        <w:r>
          <w:rPr>
            <w:noProof/>
            <w:webHidden/>
          </w:rPr>
          <w:tab/>
        </w:r>
        <w:r>
          <w:rPr>
            <w:noProof/>
            <w:webHidden/>
          </w:rPr>
          <w:fldChar w:fldCharType="begin"/>
        </w:r>
        <w:r>
          <w:rPr>
            <w:noProof/>
            <w:webHidden/>
          </w:rPr>
          <w:instrText xml:space="preserve"> PAGEREF _Toc223511412 \h </w:instrText>
        </w:r>
        <w:r>
          <w:rPr>
            <w:noProof/>
            <w:webHidden/>
          </w:rPr>
        </w:r>
        <w:r>
          <w:rPr>
            <w:noProof/>
            <w:webHidden/>
          </w:rPr>
          <w:fldChar w:fldCharType="separate"/>
        </w:r>
        <w:r w:rsidR="00CD5E1F">
          <w:rPr>
            <w:noProof/>
            <w:webHidden/>
          </w:rPr>
          <w:t>10</w:t>
        </w:r>
        <w:r>
          <w:rPr>
            <w:noProof/>
            <w:webHidden/>
          </w:rPr>
          <w:fldChar w:fldCharType="end"/>
        </w:r>
      </w:hyperlink>
    </w:p>
    <w:p w14:paraId="61A997EB" w14:textId="619850D8" w:rsidR="00BF21BB" w:rsidRDefault="00BF21BB">
      <w:pPr>
        <w:pStyle w:val="TOC2"/>
        <w:rPr>
          <w:rFonts w:asciiTheme="minorHAnsi" w:eastAsiaTheme="minorEastAsia" w:hAnsiTheme="minorHAnsi" w:cstheme="minorBidi"/>
          <w:color w:val="auto"/>
          <w:kern w:val="2"/>
          <w:sz w:val="24"/>
          <w:lang w:eastAsia="en-GB"/>
          <w14:ligatures w14:val="standardContextual"/>
        </w:rPr>
      </w:pPr>
      <w:hyperlink w:anchor="_Toc223511413" w:history="1">
        <w:r w:rsidRPr="00DB4DEE">
          <w:rPr>
            <w:rStyle w:val="Hyperlink"/>
          </w:rPr>
          <w:t>5. PCN Organisational Requirements</w:t>
        </w:r>
        <w:r>
          <w:rPr>
            <w:webHidden/>
          </w:rPr>
          <w:tab/>
        </w:r>
        <w:r>
          <w:rPr>
            <w:webHidden/>
          </w:rPr>
          <w:fldChar w:fldCharType="begin"/>
        </w:r>
        <w:r>
          <w:rPr>
            <w:webHidden/>
          </w:rPr>
          <w:instrText xml:space="preserve"> PAGEREF _Toc223511413 \h </w:instrText>
        </w:r>
        <w:r>
          <w:rPr>
            <w:webHidden/>
          </w:rPr>
        </w:r>
        <w:r>
          <w:rPr>
            <w:webHidden/>
          </w:rPr>
          <w:fldChar w:fldCharType="separate"/>
        </w:r>
        <w:r w:rsidR="00CD5E1F">
          <w:rPr>
            <w:webHidden/>
          </w:rPr>
          <w:t>11</w:t>
        </w:r>
        <w:r>
          <w:rPr>
            <w:webHidden/>
          </w:rPr>
          <w:fldChar w:fldCharType="end"/>
        </w:r>
      </w:hyperlink>
    </w:p>
    <w:p w14:paraId="4235EB03" w14:textId="13DAE216" w:rsidR="00BF21BB" w:rsidRDefault="00BF21BB">
      <w:pPr>
        <w:pStyle w:val="TOC3"/>
        <w:rPr>
          <w:noProof/>
          <w:color w:val="auto"/>
          <w:kern w:val="2"/>
          <w:szCs w:val="24"/>
          <w:lang w:val="en-GB" w:eastAsia="en-GB"/>
          <w14:ligatures w14:val="standardContextual"/>
        </w:rPr>
      </w:pPr>
      <w:hyperlink w:anchor="_Toc223511414" w:history="1">
        <w:r w:rsidRPr="00DB4DEE">
          <w:rPr>
            <w:rStyle w:val="Hyperlink"/>
            <w:rFonts w:asciiTheme="majorHAnsi" w:hAnsiTheme="majorHAnsi" w:cstheme="majorHAnsi"/>
            <w:noProof/>
          </w:rPr>
          <w:t>5.1</w:t>
        </w:r>
        <w:r>
          <w:rPr>
            <w:noProof/>
            <w:color w:val="auto"/>
            <w:kern w:val="2"/>
            <w:szCs w:val="24"/>
            <w:lang w:val="en-GB" w:eastAsia="en-GB"/>
            <w14:ligatures w14:val="standardContextual"/>
          </w:rPr>
          <w:tab/>
        </w:r>
        <w:r w:rsidRPr="00DB4DEE">
          <w:rPr>
            <w:rStyle w:val="Hyperlink"/>
            <w:noProof/>
          </w:rPr>
          <w:t>Membership of a Primary Care Network, network area and crossing commissioner boundaries</w:t>
        </w:r>
        <w:r>
          <w:rPr>
            <w:noProof/>
            <w:webHidden/>
          </w:rPr>
          <w:tab/>
        </w:r>
        <w:r>
          <w:rPr>
            <w:noProof/>
            <w:webHidden/>
          </w:rPr>
          <w:fldChar w:fldCharType="begin"/>
        </w:r>
        <w:r>
          <w:rPr>
            <w:noProof/>
            <w:webHidden/>
          </w:rPr>
          <w:instrText xml:space="preserve"> PAGEREF _Toc223511414 \h </w:instrText>
        </w:r>
        <w:r>
          <w:rPr>
            <w:noProof/>
            <w:webHidden/>
          </w:rPr>
        </w:r>
        <w:r>
          <w:rPr>
            <w:noProof/>
            <w:webHidden/>
          </w:rPr>
          <w:fldChar w:fldCharType="separate"/>
        </w:r>
        <w:r w:rsidR="00CD5E1F">
          <w:rPr>
            <w:noProof/>
            <w:webHidden/>
          </w:rPr>
          <w:t>11</w:t>
        </w:r>
        <w:r>
          <w:rPr>
            <w:noProof/>
            <w:webHidden/>
          </w:rPr>
          <w:fldChar w:fldCharType="end"/>
        </w:r>
      </w:hyperlink>
    </w:p>
    <w:p w14:paraId="2985A75C" w14:textId="1BE98A6A" w:rsidR="00BF21BB" w:rsidRDefault="00BF21BB">
      <w:pPr>
        <w:pStyle w:val="TOC3"/>
        <w:rPr>
          <w:noProof/>
          <w:color w:val="auto"/>
          <w:kern w:val="2"/>
          <w:szCs w:val="24"/>
          <w:lang w:val="en-GB" w:eastAsia="en-GB"/>
          <w14:ligatures w14:val="standardContextual"/>
        </w:rPr>
      </w:pPr>
      <w:hyperlink w:anchor="_Toc223511415" w:history="1">
        <w:r w:rsidRPr="00DB4DEE">
          <w:rPr>
            <w:rStyle w:val="Hyperlink"/>
            <w:rFonts w:asciiTheme="majorHAnsi" w:hAnsiTheme="majorHAnsi" w:cstheme="majorHAnsi"/>
            <w:noProof/>
            <w:lang w:eastAsia="en-GB"/>
          </w:rPr>
          <w:t>5.2</w:t>
        </w:r>
        <w:r>
          <w:rPr>
            <w:noProof/>
            <w:color w:val="auto"/>
            <w:kern w:val="2"/>
            <w:szCs w:val="24"/>
            <w:lang w:val="en-GB" w:eastAsia="en-GB"/>
            <w14:ligatures w14:val="standardContextual"/>
          </w:rPr>
          <w:tab/>
        </w:r>
        <w:r w:rsidRPr="00DB4DEE">
          <w:rPr>
            <w:rStyle w:val="Hyperlink"/>
            <w:noProof/>
            <w:lang w:eastAsia="en-GB"/>
          </w:rPr>
          <w:t>PCN organisational or Core Network Practice membership changes</w:t>
        </w:r>
        <w:r>
          <w:rPr>
            <w:noProof/>
            <w:webHidden/>
          </w:rPr>
          <w:tab/>
        </w:r>
        <w:r>
          <w:rPr>
            <w:noProof/>
            <w:webHidden/>
          </w:rPr>
          <w:fldChar w:fldCharType="begin"/>
        </w:r>
        <w:r>
          <w:rPr>
            <w:noProof/>
            <w:webHidden/>
          </w:rPr>
          <w:instrText xml:space="preserve"> PAGEREF _Toc223511415 \h </w:instrText>
        </w:r>
        <w:r>
          <w:rPr>
            <w:noProof/>
            <w:webHidden/>
          </w:rPr>
        </w:r>
        <w:r>
          <w:rPr>
            <w:noProof/>
            <w:webHidden/>
          </w:rPr>
          <w:fldChar w:fldCharType="separate"/>
        </w:r>
        <w:r w:rsidR="00CD5E1F">
          <w:rPr>
            <w:noProof/>
            <w:webHidden/>
          </w:rPr>
          <w:t>12</w:t>
        </w:r>
        <w:r>
          <w:rPr>
            <w:noProof/>
            <w:webHidden/>
          </w:rPr>
          <w:fldChar w:fldCharType="end"/>
        </w:r>
      </w:hyperlink>
    </w:p>
    <w:p w14:paraId="07724307" w14:textId="7998B954" w:rsidR="00BF21BB" w:rsidRDefault="00BF21BB">
      <w:pPr>
        <w:pStyle w:val="TOC3"/>
        <w:rPr>
          <w:noProof/>
          <w:color w:val="auto"/>
          <w:kern w:val="2"/>
          <w:szCs w:val="24"/>
          <w:lang w:val="en-GB" w:eastAsia="en-GB"/>
          <w14:ligatures w14:val="standardContextual"/>
        </w:rPr>
      </w:pPr>
      <w:hyperlink w:anchor="_Toc223511416" w:history="1">
        <w:r w:rsidRPr="00DB4DEE">
          <w:rPr>
            <w:rStyle w:val="Hyperlink"/>
            <w:rFonts w:asciiTheme="majorHAnsi" w:hAnsiTheme="majorHAnsi" w:cstheme="majorHAnsi"/>
            <w:noProof/>
          </w:rPr>
          <w:t>5.3</w:t>
        </w:r>
        <w:r>
          <w:rPr>
            <w:noProof/>
            <w:color w:val="auto"/>
            <w:kern w:val="2"/>
            <w:szCs w:val="24"/>
            <w:lang w:val="en-GB" w:eastAsia="en-GB"/>
            <w14:ligatures w14:val="standardContextual"/>
          </w:rPr>
          <w:tab/>
        </w:r>
        <w:r w:rsidRPr="00DB4DEE">
          <w:rPr>
            <w:rStyle w:val="Hyperlink"/>
            <w:noProof/>
            <w:lang w:eastAsia="en-GB"/>
          </w:rPr>
          <w:t>PCN Organisational Data Service (ODS) information and Change Instruction Notice Form</w:t>
        </w:r>
        <w:r>
          <w:rPr>
            <w:noProof/>
            <w:webHidden/>
          </w:rPr>
          <w:tab/>
        </w:r>
        <w:r>
          <w:rPr>
            <w:noProof/>
            <w:webHidden/>
          </w:rPr>
          <w:fldChar w:fldCharType="begin"/>
        </w:r>
        <w:r>
          <w:rPr>
            <w:noProof/>
            <w:webHidden/>
          </w:rPr>
          <w:instrText xml:space="preserve"> PAGEREF _Toc223511416 \h </w:instrText>
        </w:r>
        <w:r>
          <w:rPr>
            <w:noProof/>
            <w:webHidden/>
          </w:rPr>
        </w:r>
        <w:r>
          <w:rPr>
            <w:noProof/>
            <w:webHidden/>
          </w:rPr>
          <w:fldChar w:fldCharType="separate"/>
        </w:r>
        <w:r w:rsidR="00CD5E1F">
          <w:rPr>
            <w:noProof/>
            <w:webHidden/>
          </w:rPr>
          <w:t>13</w:t>
        </w:r>
        <w:r>
          <w:rPr>
            <w:noProof/>
            <w:webHidden/>
          </w:rPr>
          <w:fldChar w:fldCharType="end"/>
        </w:r>
      </w:hyperlink>
    </w:p>
    <w:p w14:paraId="45820569" w14:textId="4992F877" w:rsidR="00BF21BB" w:rsidRDefault="00BF21BB">
      <w:pPr>
        <w:pStyle w:val="TOC3"/>
        <w:rPr>
          <w:noProof/>
          <w:color w:val="auto"/>
          <w:kern w:val="2"/>
          <w:szCs w:val="24"/>
          <w:lang w:val="en-GB" w:eastAsia="en-GB"/>
          <w14:ligatures w14:val="standardContextual"/>
        </w:rPr>
      </w:pPr>
      <w:hyperlink w:anchor="_Toc223511417" w:history="1">
        <w:r w:rsidRPr="00DB4DEE">
          <w:rPr>
            <w:rStyle w:val="Hyperlink"/>
            <w:rFonts w:asciiTheme="majorHAnsi" w:hAnsiTheme="majorHAnsi" w:cstheme="majorHAnsi"/>
            <w:noProof/>
            <w:lang w:eastAsia="en-GB"/>
          </w:rPr>
          <w:t>5.4</w:t>
        </w:r>
        <w:r>
          <w:rPr>
            <w:noProof/>
            <w:color w:val="auto"/>
            <w:kern w:val="2"/>
            <w:szCs w:val="24"/>
            <w:lang w:val="en-GB" w:eastAsia="en-GB"/>
            <w14:ligatures w14:val="standardContextual"/>
          </w:rPr>
          <w:tab/>
        </w:r>
        <w:r w:rsidRPr="00DB4DEE">
          <w:rPr>
            <w:rStyle w:val="Hyperlink"/>
            <w:noProof/>
            <w:lang w:eastAsia="en-GB"/>
          </w:rPr>
          <w:t>Network Agreement</w:t>
        </w:r>
        <w:r>
          <w:rPr>
            <w:noProof/>
            <w:webHidden/>
          </w:rPr>
          <w:tab/>
        </w:r>
        <w:r>
          <w:rPr>
            <w:noProof/>
            <w:webHidden/>
          </w:rPr>
          <w:fldChar w:fldCharType="begin"/>
        </w:r>
        <w:r>
          <w:rPr>
            <w:noProof/>
            <w:webHidden/>
          </w:rPr>
          <w:instrText xml:space="preserve"> PAGEREF _Toc223511417 \h </w:instrText>
        </w:r>
        <w:r>
          <w:rPr>
            <w:noProof/>
            <w:webHidden/>
          </w:rPr>
        </w:r>
        <w:r>
          <w:rPr>
            <w:noProof/>
            <w:webHidden/>
          </w:rPr>
          <w:fldChar w:fldCharType="separate"/>
        </w:r>
        <w:r w:rsidR="00CD5E1F">
          <w:rPr>
            <w:noProof/>
            <w:webHidden/>
          </w:rPr>
          <w:t>15</w:t>
        </w:r>
        <w:r>
          <w:rPr>
            <w:noProof/>
            <w:webHidden/>
          </w:rPr>
          <w:fldChar w:fldCharType="end"/>
        </w:r>
      </w:hyperlink>
    </w:p>
    <w:p w14:paraId="28166AE2" w14:textId="56C6D1C5" w:rsidR="00BF21BB" w:rsidRDefault="00BF21BB">
      <w:pPr>
        <w:pStyle w:val="TOC3"/>
        <w:rPr>
          <w:noProof/>
          <w:color w:val="auto"/>
          <w:kern w:val="2"/>
          <w:szCs w:val="24"/>
          <w:lang w:val="en-GB" w:eastAsia="en-GB"/>
          <w14:ligatures w14:val="standardContextual"/>
        </w:rPr>
      </w:pPr>
      <w:hyperlink w:anchor="_Toc223511418" w:history="1">
        <w:r w:rsidRPr="00DB4DEE">
          <w:rPr>
            <w:rStyle w:val="Hyperlink"/>
            <w:rFonts w:asciiTheme="majorHAnsi" w:hAnsiTheme="majorHAnsi" w:cstheme="majorHAnsi"/>
            <w:noProof/>
          </w:rPr>
          <w:t>5.5</w:t>
        </w:r>
        <w:r>
          <w:rPr>
            <w:noProof/>
            <w:color w:val="auto"/>
            <w:kern w:val="2"/>
            <w:szCs w:val="24"/>
            <w:lang w:val="en-GB" w:eastAsia="en-GB"/>
            <w14:ligatures w14:val="standardContextual"/>
          </w:rPr>
          <w:tab/>
        </w:r>
        <w:r w:rsidRPr="00DB4DEE">
          <w:rPr>
            <w:rStyle w:val="Hyperlink"/>
            <w:noProof/>
            <w:lang w:eastAsia="en-GB"/>
          </w:rPr>
          <w:t>Working with local providers</w:t>
        </w:r>
        <w:r>
          <w:rPr>
            <w:noProof/>
            <w:webHidden/>
          </w:rPr>
          <w:tab/>
        </w:r>
        <w:r>
          <w:rPr>
            <w:noProof/>
            <w:webHidden/>
          </w:rPr>
          <w:fldChar w:fldCharType="begin"/>
        </w:r>
        <w:r>
          <w:rPr>
            <w:noProof/>
            <w:webHidden/>
          </w:rPr>
          <w:instrText xml:space="preserve"> PAGEREF _Toc223511418 \h </w:instrText>
        </w:r>
        <w:r>
          <w:rPr>
            <w:noProof/>
            <w:webHidden/>
          </w:rPr>
        </w:r>
        <w:r>
          <w:rPr>
            <w:noProof/>
            <w:webHidden/>
          </w:rPr>
          <w:fldChar w:fldCharType="separate"/>
        </w:r>
        <w:r w:rsidR="00CD5E1F">
          <w:rPr>
            <w:noProof/>
            <w:webHidden/>
          </w:rPr>
          <w:t>15</w:t>
        </w:r>
        <w:r>
          <w:rPr>
            <w:noProof/>
            <w:webHidden/>
          </w:rPr>
          <w:fldChar w:fldCharType="end"/>
        </w:r>
      </w:hyperlink>
    </w:p>
    <w:p w14:paraId="7F0F1C7E" w14:textId="662E27E1" w:rsidR="00BF21BB" w:rsidRDefault="00BF21BB">
      <w:pPr>
        <w:pStyle w:val="TOC3"/>
        <w:rPr>
          <w:noProof/>
          <w:color w:val="auto"/>
          <w:kern w:val="2"/>
          <w:szCs w:val="24"/>
          <w:lang w:val="en-GB" w:eastAsia="en-GB"/>
          <w14:ligatures w14:val="standardContextual"/>
        </w:rPr>
      </w:pPr>
      <w:hyperlink w:anchor="_Toc223511419" w:history="1">
        <w:r w:rsidRPr="00DB4DEE">
          <w:rPr>
            <w:rStyle w:val="Hyperlink"/>
            <w:rFonts w:asciiTheme="majorHAnsi" w:hAnsiTheme="majorHAnsi" w:cstheme="majorHAnsi"/>
            <w:noProof/>
            <w:lang w:eastAsia="en-GB"/>
          </w:rPr>
          <w:t>5.6</w:t>
        </w:r>
        <w:r>
          <w:rPr>
            <w:noProof/>
            <w:color w:val="auto"/>
            <w:kern w:val="2"/>
            <w:szCs w:val="24"/>
            <w:lang w:val="en-GB" w:eastAsia="en-GB"/>
            <w14:ligatures w14:val="standardContextual"/>
          </w:rPr>
          <w:tab/>
        </w:r>
        <w:r w:rsidRPr="00DB4DEE">
          <w:rPr>
            <w:rStyle w:val="Hyperlink"/>
            <w:noProof/>
            <w:lang w:eastAsia="en-GB"/>
          </w:rPr>
          <w:t>Clinical Director</w:t>
        </w:r>
        <w:r>
          <w:rPr>
            <w:noProof/>
            <w:webHidden/>
          </w:rPr>
          <w:tab/>
        </w:r>
        <w:r>
          <w:rPr>
            <w:noProof/>
            <w:webHidden/>
          </w:rPr>
          <w:fldChar w:fldCharType="begin"/>
        </w:r>
        <w:r>
          <w:rPr>
            <w:noProof/>
            <w:webHidden/>
          </w:rPr>
          <w:instrText xml:space="preserve"> PAGEREF _Toc223511419 \h </w:instrText>
        </w:r>
        <w:r>
          <w:rPr>
            <w:noProof/>
            <w:webHidden/>
          </w:rPr>
        </w:r>
        <w:r>
          <w:rPr>
            <w:noProof/>
            <w:webHidden/>
          </w:rPr>
          <w:fldChar w:fldCharType="separate"/>
        </w:r>
        <w:r w:rsidR="00CD5E1F">
          <w:rPr>
            <w:noProof/>
            <w:webHidden/>
          </w:rPr>
          <w:t>16</w:t>
        </w:r>
        <w:r>
          <w:rPr>
            <w:noProof/>
            <w:webHidden/>
          </w:rPr>
          <w:fldChar w:fldCharType="end"/>
        </w:r>
      </w:hyperlink>
    </w:p>
    <w:p w14:paraId="01C4F70D" w14:textId="0408E955" w:rsidR="00BF21BB" w:rsidRDefault="00BF21BB">
      <w:pPr>
        <w:pStyle w:val="TOC3"/>
        <w:rPr>
          <w:noProof/>
          <w:color w:val="auto"/>
          <w:kern w:val="2"/>
          <w:szCs w:val="24"/>
          <w:lang w:val="en-GB" w:eastAsia="en-GB"/>
          <w14:ligatures w14:val="standardContextual"/>
        </w:rPr>
      </w:pPr>
      <w:hyperlink w:anchor="_Toc223511420" w:history="1">
        <w:r w:rsidRPr="00DB4DEE">
          <w:rPr>
            <w:rStyle w:val="Hyperlink"/>
            <w:rFonts w:asciiTheme="majorHAnsi" w:hAnsiTheme="majorHAnsi" w:cstheme="majorHAnsi"/>
            <w:noProof/>
            <w:lang w:eastAsia="en-GB"/>
          </w:rPr>
          <w:t>5.7</w:t>
        </w:r>
        <w:r>
          <w:rPr>
            <w:noProof/>
            <w:color w:val="auto"/>
            <w:kern w:val="2"/>
            <w:szCs w:val="24"/>
            <w:lang w:val="en-GB" w:eastAsia="en-GB"/>
            <w14:ligatures w14:val="standardContextual"/>
          </w:rPr>
          <w:tab/>
        </w:r>
        <w:r w:rsidRPr="00DB4DEE">
          <w:rPr>
            <w:rStyle w:val="Hyperlink"/>
            <w:noProof/>
            <w:lang w:eastAsia="en-GB"/>
          </w:rPr>
          <w:t>Data and analytics</w:t>
        </w:r>
        <w:r>
          <w:rPr>
            <w:noProof/>
            <w:webHidden/>
          </w:rPr>
          <w:tab/>
        </w:r>
        <w:r>
          <w:rPr>
            <w:noProof/>
            <w:webHidden/>
          </w:rPr>
          <w:fldChar w:fldCharType="begin"/>
        </w:r>
        <w:r>
          <w:rPr>
            <w:noProof/>
            <w:webHidden/>
          </w:rPr>
          <w:instrText xml:space="preserve"> PAGEREF _Toc223511420 \h </w:instrText>
        </w:r>
        <w:r>
          <w:rPr>
            <w:noProof/>
            <w:webHidden/>
          </w:rPr>
        </w:r>
        <w:r>
          <w:rPr>
            <w:noProof/>
            <w:webHidden/>
          </w:rPr>
          <w:fldChar w:fldCharType="separate"/>
        </w:r>
        <w:r w:rsidR="00CD5E1F">
          <w:rPr>
            <w:noProof/>
            <w:webHidden/>
          </w:rPr>
          <w:t>17</w:t>
        </w:r>
        <w:r>
          <w:rPr>
            <w:noProof/>
            <w:webHidden/>
          </w:rPr>
          <w:fldChar w:fldCharType="end"/>
        </w:r>
      </w:hyperlink>
    </w:p>
    <w:p w14:paraId="7C466923" w14:textId="6FC25AC8" w:rsidR="00BF21BB" w:rsidRDefault="00BF21BB">
      <w:pPr>
        <w:pStyle w:val="TOC2"/>
        <w:rPr>
          <w:rFonts w:asciiTheme="minorHAnsi" w:eastAsiaTheme="minorEastAsia" w:hAnsiTheme="minorHAnsi" w:cstheme="minorBidi"/>
          <w:color w:val="auto"/>
          <w:kern w:val="2"/>
          <w:sz w:val="24"/>
          <w:lang w:eastAsia="en-GB"/>
          <w14:ligatures w14:val="standardContextual"/>
        </w:rPr>
      </w:pPr>
      <w:hyperlink w:anchor="_Toc223511421" w:history="1">
        <w:r w:rsidRPr="00DB4DEE">
          <w:rPr>
            <w:rStyle w:val="Hyperlink"/>
          </w:rPr>
          <w:t>6. Sub-contracting of network services</w:t>
        </w:r>
        <w:r>
          <w:rPr>
            <w:webHidden/>
          </w:rPr>
          <w:tab/>
        </w:r>
        <w:r>
          <w:rPr>
            <w:webHidden/>
          </w:rPr>
          <w:fldChar w:fldCharType="begin"/>
        </w:r>
        <w:r>
          <w:rPr>
            <w:webHidden/>
          </w:rPr>
          <w:instrText xml:space="preserve"> PAGEREF _Toc223511421 \h </w:instrText>
        </w:r>
        <w:r>
          <w:rPr>
            <w:webHidden/>
          </w:rPr>
        </w:r>
        <w:r>
          <w:rPr>
            <w:webHidden/>
          </w:rPr>
          <w:fldChar w:fldCharType="separate"/>
        </w:r>
        <w:r w:rsidR="00CD5E1F">
          <w:rPr>
            <w:webHidden/>
          </w:rPr>
          <w:t>18</w:t>
        </w:r>
        <w:r>
          <w:rPr>
            <w:webHidden/>
          </w:rPr>
          <w:fldChar w:fldCharType="end"/>
        </w:r>
      </w:hyperlink>
    </w:p>
    <w:p w14:paraId="343C657E" w14:textId="6460AB1F" w:rsidR="00BF21BB" w:rsidRDefault="00BF21BB">
      <w:pPr>
        <w:pStyle w:val="TOC3"/>
        <w:rPr>
          <w:noProof/>
          <w:color w:val="auto"/>
          <w:kern w:val="2"/>
          <w:szCs w:val="24"/>
          <w:lang w:val="en-GB" w:eastAsia="en-GB"/>
          <w14:ligatures w14:val="standardContextual"/>
        </w:rPr>
      </w:pPr>
      <w:hyperlink w:anchor="_Toc223511422" w:history="1">
        <w:r w:rsidRPr="00DB4DEE">
          <w:rPr>
            <w:rStyle w:val="Hyperlink"/>
            <w:rFonts w:asciiTheme="majorHAnsi" w:hAnsiTheme="majorHAnsi" w:cstheme="majorHAnsi"/>
            <w:noProof/>
            <w:lang w:eastAsia="en-GB"/>
          </w:rPr>
          <w:t>6.1</w:t>
        </w:r>
        <w:r>
          <w:rPr>
            <w:noProof/>
            <w:color w:val="auto"/>
            <w:kern w:val="2"/>
            <w:szCs w:val="24"/>
            <w:lang w:val="en-GB" w:eastAsia="en-GB"/>
            <w14:ligatures w14:val="standardContextual"/>
          </w:rPr>
          <w:tab/>
        </w:r>
        <w:r w:rsidRPr="00DB4DEE">
          <w:rPr>
            <w:rStyle w:val="Hyperlink"/>
            <w:noProof/>
            <w:lang w:eastAsia="en-GB"/>
          </w:rPr>
          <w:t>Core Network Practice with sites in different PCNs</w:t>
        </w:r>
        <w:r>
          <w:rPr>
            <w:noProof/>
            <w:webHidden/>
          </w:rPr>
          <w:tab/>
        </w:r>
        <w:r>
          <w:rPr>
            <w:noProof/>
            <w:webHidden/>
          </w:rPr>
          <w:fldChar w:fldCharType="begin"/>
        </w:r>
        <w:r>
          <w:rPr>
            <w:noProof/>
            <w:webHidden/>
          </w:rPr>
          <w:instrText xml:space="preserve"> PAGEREF _Toc223511422 \h </w:instrText>
        </w:r>
        <w:r>
          <w:rPr>
            <w:noProof/>
            <w:webHidden/>
          </w:rPr>
        </w:r>
        <w:r>
          <w:rPr>
            <w:noProof/>
            <w:webHidden/>
          </w:rPr>
          <w:fldChar w:fldCharType="separate"/>
        </w:r>
        <w:r w:rsidR="00CD5E1F">
          <w:rPr>
            <w:noProof/>
            <w:webHidden/>
          </w:rPr>
          <w:t>18</w:t>
        </w:r>
        <w:r>
          <w:rPr>
            <w:noProof/>
            <w:webHidden/>
          </w:rPr>
          <w:fldChar w:fldCharType="end"/>
        </w:r>
      </w:hyperlink>
    </w:p>
    <w:p w14:paraId="0C0E7469" w14:textId="2CD297EF" w:rsidR="00BF21BB" w:rsidRDefault="00BF21BB">
      <w:pPr>
        <w:pStyle w:val="TOC3"/>
        <w:rPr>
          <w:noProof/>
          <w:color w:val="auto"/>
          <w:kern w:val="2"/>
          <w:szCs w:val="24"/>
          <w:lang w:val="en-GB" w:eastAsia="en-GB"/>
          <w14:ligatures w14:val="standardContextual"/>
        </w:rPr>
      </w:pPr>
      <w:hyperlink w:anchor="_Toc223511423" w:history="1">
        <w:r w:rsidRPr="00DB4DEE">
          <w:rPr>
            <w:rStyle w:val="Hyperlink"/>
            <w:rFonts w:asciiTheme="majorHAnsi" w:hAnsiTheme="majorHAnsi" w:cstheme="majorHAnsi"/>
            <w:noProof/>
            <w:lang w:eastAsia="en-GB"/>
          </w:rPr>
          <w:t>6.2</w:t>
        </w:r>
        <w:r>
          <w:rPr>
            <w:noProof/>
            <w:color w:val="auto"/>
            <w:kern w:val="2"/>
            <w:szCs w:val="24"/>
            <w:lang w:val="en-GB" w:eastAsia="en-GB"/>
            <w14:ligatures w14:val="standardContextual"/>
          </w:rPr>
          <w:tab/>
        </w:r>
        <w:r w:rsidRPr="00DB4DEE">
          <w:rPr>
            <w:rStyle w:val="Hyperlink"/>
            <w:noProof/>
            <w:lang w:eastAsia="en-GB"/>
          </w:rPr>
          <w:t>Sub-contracting of clinical and non-clinical services or matters</w:t>
        </w:r>
        <w:r>
          <w:rPr>
            <w:noProof/>
            <w:webHidden/>
          </w:rPr>
          <w:tab/>
        </w:r>
        <w:r>
          <w:rPr>
            <w:noProof/>
            <w:webHidden/>
          </w:rPr>
          <w:fldChar w:fldCharType="begin"/>
        </w:r>
        <w:r>
          <w:rPr>
            <w:noProof/>
            <w:webHidden/>
          </w:rPr>
          <w:instrText xml:space="preserve"> PAGEREF _Toc223511423 \h </w:instrText>
        </w:r>
        <w:r>
          <w:rPr>
            <w:noProof/>
            <w:webHidden/>
          </w:rPr>
        </w:r>
        <w:r>
          <w:rPr>
            <w:noProof/>
            <w:webHidden/>
          </w:rPr>
          <w:fldChar w:fldCharType="separate"/>
        </w:r>
        <w:r w:rsidR="00CD5E1F">
          <w:rPr>
            <w:noProof/>
            <w:webHidden/>
          </w:rPr>
          <w:t>19</w:t>
        </w:r>
        <w:r>
          <w:rPr>
            <w:noProof/>
            <w:webHidden/>
          </w:rPr>
          <w:fldChar w:fldCharType="end"/>
        </w:r>
      </w:hyperlink>
    </w:p>
    <w:p w14:paraId="21948742" w14:textId="443278EA" w:rsidR="00BF21BB" w:rsidRDefault="00BF21BB">
      <w:pPr>
        <w:pStyle w:val="TOC2"/>
        <w:rPr>
          <w:rFonts w:asciiTheme="minorHAnsi" w:eastAsiaTheme="minorEastAsia" w:hAnsiTheme="minorHAnsi" w:cstheme="minorBidi"/>
          <w:color w:val="auto"/>
          <w:kern w:val="2"/>
          <w:sz w:val="24"/>
          <w:lang w:eastAsia="en-GB"/>
          <w14:ligatures w14:val="standardContextual"/>
        </w:rPr>
      </w:pPr>
      <w:hyperlink w:anchor="_Toc223511424" w:history="1">
        <w:r w:rsidRPr="00DB4DEE">
          <w:rPr>
            <w:rStyle w:val="Hyperlink"/>
          </w:rPr>
          <w:t>7. Additional Roles Reimbursement Scheme</w:t>
        </w:r>
        <w:r>
          <w:rPr>
            <w:webHidden/>
          </w:rPr>
          <w:tab/>
        </w:r>
        <w:r>
          <w:rPr>
            <w:webHidden/>
          </w:rPr>
          <w:fldChar w:fldCharType="begin"/>
        </w:r>
        <w:r>
          <w:rPr>
            <w:webHidden/>
          </w:rPr>
          <w:instrText xml:space="preserve"> PAGEREF _Toc223511424 \h </w:instrText>
        </w:r>
        <w:r>
          <w:rPr>
            <w:webHidden/>
          </w:rPr>
        </w:r>
        <w:r>
          <w:rPr>
            <w:webHidden/>
          </w:rPr>
          <w:fldChar w:fldCharType="separate"/>
        </w:r>
        <w:r w:rsidR="00CD5E1F">
          <w:rPr>
            <w:webHidden/>
          </w:rPr>
          <w:t>20</w:t>
        </w:r>
        <w:r>
          <w:rPr>
            <w:webHidden/>
          </w:rPr>
          <w:fldChar w:fldCharType="end"/>
        </w:r>
      </w:hyperlink>
    </w:p>
    <w:p w14:paraId="5A15C1C5" w14:textId="54E99E1E" w:rsidR="00BF21BB" w:rsidRDefault="00BF21BB">
      <w:pPr>
        <w:pStyle w:val="TOC3"/>
        <w:rPr>
          <w:noProof/>
          <w:color w:val="auto"/>
          <w:kern w:val="2"/>
          <w:szCs w:val="24"/>
          <w:lang w:val="en-GB" w:eastAsia="en-GB"/>
          <w14:ligatures w14:val="standardContextual"/>
        </w:rPr>
      </w:pPr>
      <w:hyperlink w:anchor="_Toc223511425" w:history="1">
        <w:r w:rsidRPr="00DB4DEE">
          <w:rPr>
            <w:rStyle w:val="Hyperlink"/>
            <w:rFonts w:asciiTheme="majorHAnsi" w:hAnsiTheme="majorHAnsi" w:cstheme="majorHAnsi"/>
            <w:noProof/>
            <w:lang w:eastAsia="en-GB"/>
          </w:rPr>
          <w:t>7.1</w:t>
        </w:r>
        <w:r>
          <w:rPr>
            <w:noProof/>
            <w:color w:val="auto"/>
            <w:kern w:val="2"/>
            <w:szCs w:val="24"/>
            <w:lang w:val="en-GB" w:eastAsia="en-GB"/>
            <w14:ligatures w14:val="standardContextual"/>
          </w:rPr>
          <w:tab/>
        </w:r>
        <w:r w:rsidRPr="00DB4DEE">
          <w:rPr>
            <w:rStyle w:val="Hyperlink"/>
            <w:noProof/>
            <w:lang w:eastAsia="en-GB"/>
          </w:rPr>
          <w:t>Workforce planning and ongoing reporting</w:t>
        </w:r>
        <w:r>
          <w:rPr>
            <w:noProof/>
            <w:webHidden/>
          </w:rPr>
          <w:tab/>
        </w:r>
        <w:r>
          <w:rPr>
            <w:noProof/>
            <w:webHidden/>
          </w:rPr>
          <w:fldChar w:fldCharType="begin"/>
        </w:r>
        <w:r>
          <w:rPr>
            <w:noProof/>
            <w:webHidden/>
          </w:rPr>
          <w:instrText xml:space="preserve"> PAGEREF _Toc223511425 \h </w:instrText>
        </w:r>
        <w:r>
          <w:rPr>
            <w:noProof/>
            <w:webHidden/>
          </w:rPr>
        </w:r>
        <w:r>
          <w:rPr>
            <w:noProof/>
            <w:webHidden/>
          </w:rPr>
          <w:fldChar w:fldCharType="separate"/>
        </w:r>
        <w:r w:rsidR="00CD5E1F">
          <w:rPr>
            <w:noProof/>
            <w:webHidden/>
          </w:rPr>
          <w:t>20</w:t>
        </w:r>
        <w:r>
          <w:rPr>
            <w:noProof/>
            <w:webHidden/>
          </w:rPr>
          <w:fldChar w:fldCharType="end"/>
        </w:r>
      </w:hyperlink>
    </w:p>
    <w:p w14:paraId="0FB797C2" w14:textId="2ECEF8D0" w:rsidR="00BF21BB" w:rsidRDefault="00BF21BB">
      <w:pPr>
        <w:pStyle w:val="TOC3"/>
        <w:rPr>
          <w:noProof/>
          <w:color w:val="auto"/>
          <w:kern w:val="2"/>
          <w:szCs w:val="24"/>
          <w:lang w:val="en-GB" w:eastAsia="en-GB"/>
          <w14:ligatures w14:val="standardContextual"/>
        </w:rPr>
      </w:pPr>
      <w:hyperlink w:anchor="_Toc223511426" w:history="1">
        <w:r w:rsidRPr="00DB4DEE">
          <w:rPr>
            <w:rStyle w:val="Hyperlink"/>
            <w:rFonts w:asciiTheme="majorHAnsi" w:hAnsiTheme="majorHAnsi" w:cstheme="majorHAnsi"/>
            <w:noProof/>
            <w:lang w:eastAsia="en-GB"/>
          </w:rPr>
          <w:t>7.2</w:t>
        </w:r>
        <w:r>
          <w:rPr>
            <w:noProof/>
            <w:color w:val="auto"/>
            <w:kern w:val="2"/>
            <w:szCs w:val="24"/>
            <w:lang w:val="en-GB" w:eastAsia="en-GB"/>
            <w14:ligatures w14:val="standardContextual"/>
          </w:rPr>
          <w:tab/>
        </w:r>
        <w:r w:rsidRPr="00DB4DEE">
          <w:rPr>
            <w:rStyle w:val="Hyperlink"/>
            <w:noProof/>
            <w:lang w:eastAsia="en-GB"/>
          </w:rPr>
          <w:t>Additional Roles Reimbursement Sum</w:t>
        </w:r>
        <w:r>
          <w:rPr>
            <w:noProof/>
            <w:webHidden/>
          </w:rPr>
          <w:tab/>
        </w:r>
        <w:r>
          <w:rPr>
            <w:noProof/>
            <w:webHidden/>
          </w:rPr>
          <w:fldChar w:fldCharType="begin"/>
        </w:r>
        <w:r>
          <w:rPr>
            <w:noProof/>
            <w:webHidden/>
          </w:rPr>
          <w:instrText xml:space="preserve"> PAGEREF _Toc223511426 \h </w:instrText>
        </w:r>
        <w:r>
          <w:rPr>
            <w:noProof/>
            <w:webHidden/>
          </w:rPr>
        </w:r>
        <w:r>
          <w:rPr>
            <w:noProof/>
            <w:webHidden/>
          </w:rPr>
          <w:fldChar w:fldCharType="separate"/>
        </w:r>
        <w:r w:rsidR="00CD5E1F">
          <w:rPr>
            <w:noProof/>
            <w:webHidden/>
          </w:rPr>
          <w:t>21</w:t>
        </w:r>
        <w:r>
          <w:rPr>
            <w:noProof/>
            <w:webHidden/>
          </w:rPr>
          <w:fldChar w:fldCharType="end"/>
        </w:r>
      </w:hyperlink>
    </w:p>
    <w:p w14:paraId="1145A441" w14:textId="654BECAD" w:rsidR="00BF21BB" w:rsidRDefault="00BF21BB">
      <w:pPr>
        <w:pStyle w:val="TOC3"/>
        <w:rPr>
          <w:noProof/>
          <w:color w:val="auto"/>
          <w:kern w:val="2"/>
          <w:szCs w:val="24"/>
          <w:lang w:val="en-GB" w:eastAsia="en-GB"/>
          <w14:ligatures w14:val="standardContextual"/>
        </w:rPr>
      </w:pPr>
      <w:hyperlink w:anchor="_Toc223511427" w:history="1">
        <w:r w:rsidRPr="00DB4DEE">
          <w:rPr>
            <w:rStyle w:val="Hyperlink"/>
            <w:rFonts w:asciiTheme="majorHAnsi" w:hAnsiTheme="majorHAnsi" w:cstheme="majorHAnsi"/>
            <w:noProof/>
          </w:rPr>
          <w:t>7.3</w:t>
        </w:r>
        <w:r>
          <w:rPr>
            <w:noProof/>
            <w:color w:val="auto"/>
            <w:kern w:val="2"/>
            <w:szCs w:val="24"/>
            <w:lang w:val="en-GB" w:eastAsia="en-GB"/>
            <w14:ligatures w14:val="standardContextual"/>
          </w:rPr>
          <w:tab/>
        </w:r>
        <w:r w:rsidRPr="00DB4DEE">
          <w:rPr>
            <w:rStyle w:val="Hyperlink"/>
            <w:noProof/>
            <w:lang w:eastAsia="en-GB"/>
          </w:rPr>
          <w:t>Ready reckoner</w:t>
        </w:r>
        <w:r>
          <w:rPr>
            <w:noProof/>
            <w:webHidden/>
          </w:rPr>
          <w:tab/>
        </w:r>
        <w:r>
          <w:rPr>
            <w:noProof/>
            <w:webHidden/>
          </w:rPr>
          <w:fldChar w:fldCharType="begin"/>
        </w:r>
        <w:r>
          <w:rPr>
            <w:noProof/>
            <w:webHidden/>
          </w:rPr>
          <w:instrText xml:space="preserve"> PAGEREF _Toc223511427 \h </w:instrText>
        </w:r>
        <w:r>
          <w:rPr>
            <w:noProof/>
            <w:webHidden/>
          </w:rPr>
        </w:r>
        <w:r>
          <w:rPr>
            <w:noProof/>
            <w:webHidden/>
          </w:rPr>
          <w:fldChar w:fldCharType="separate"/>
        </w:r>
        <w:r w:rsidR="00CD5E1F">
          <w:rPr>
            <w:noProof/>
            <w:webHidden/>
          </w:rPr>
          <w:t>22</w:t>
        </w:r>
        <w:r>
          <w:rPr>
            <w:noProof/>
            <w:webHidden/>
          </w:rPr>
          <w:fldChar w:fldCharType="end"/>
        </w:r>
      </w:hyperlink>
    </w:p>
    <w:p w14:paraId="37BAFC9F" w14:textId="4821469F" w:rsidR="00BF21BB" w:rsidRDefault="00BF21BB">
      <w:pPr>
        <w:pStyle w:val="TOC3"/>
        <w:rPr>
          <w:noProof/>
          <w:color w:val="auto"/>
          <w:kern w:val="2"/>
          <w:szCs w:val="24"/>
          <w:lang w:val="en-GB" w:eastAsia="en-GB"/>
          <w14:ligatures w14:val="standardContextual"/>
        </w:rPr>
      </w:pPr>
      <w:hyperlink w:anchor="_Toc223511428" w:history="1">
        <w:r w:rsidRPr="00DB4DEE">
          <w:rPr>
            <w:rStyle w:val="Hyperlink"/>
            <w:rFonts w:asciiTheme="majorHAnsi" w:hAnsiTheme="majorHAnsi" w:cstheme="majorHAnsi"/>
            <w:noProof/>
          </w:rPr>
          <w:t>7.4</w:t>
        </w:r>
        <w:r>
          <w:rPr>
            <w:noProof/>
            <w:color w:val="auto"/>
            <w:kern w:val="2"/>
            <w:szCs w:val="24"/>
            <w:lang w:val="en-GB" w:eastAsia="en-GB"/>
            <w14:ligatures w14:val="standardContextual"/>
          </w:rPr>
          <w:tab/>
        </w:r>
        <w:r w:rsidRPr="00DB4DEE">
          <w:rPr>
            <w:rStyle w:val="Hyperlink"/>
            <w:bCs/>
            <w:noProof/>
            <w:lang w:eastAsia="en-GB"/>
          </w:rPr>
          <w:t>Principle</w:t>
        </w:r>
        <w:r w:rsidRPr="00DB4DEE">
          <w:rPr>
            <w:rStyle w:val="Hyperlink"/>
            <w:noProof/>
          </w:rPr>
          <w:t xml:space="preserve"> of additionality and baselines</w:t>
        </w:r>
        <w:r>
          <w:rPr>
            <w:noProof/>
            <w:webHidden/>
          </w:rPr>
          <w:tab/>
        </w:r>
        <w:r>
          <w:rPr>
            <w:noProof/>
            <w:webHidden/>
          </w:rPr>
          <w:fldChar w:fldCharType="begin"/>
        </w:r>
        <w:r>
          <w:rPr>
            <w:noProof/>
            <w:webHidden/>
          </w:rPr>
          <w:instrText xml:space="preserve"> PAGEREF _Toc223511428 \h </w:instrText>
        </w:r>
        <w:r>
          <w:rPr>
            <w:noProof/>
            <w:webHidden/>
          </w:rPr>
        </w:r>
        <w:r>
          <w:rPr>
            <w:noProof/>
            <w:webHidden/>
          </w:rPr>
          <w:fldChar w:fldCharType="separate"/>
        </w:r>
        <w:r w:rsidR="00CD5E1F">
          <w:rPr>
            <w:noProof/>
            <w:webHidden/>
          </w:rPr>
          <w:t>23</w:t>
        </w:r>
        <w:r>
          <w:rPr>
            <w:noProof/>
            <w:webHidden/>
          </w:rPr>
          <w:fldChar w:fldCharType="end"/>
        </w:r>
      </w:hyperlink>
    </w:p>
    <w:p w14:paraId="1B7A43A5" w14:textId="086877B2" w:rsidR="00BF21BB" w:rsidRDefault="00BF21BB">
      <w:pPr>
        <w:pStyle w:val="TOC3"/>
        <w:rPr>
          <w:noProof/>
          <w:color w:val="auto"/>
          <w:kern w:val="2"/>
          <w:szCs w:val="24"/>
          <w:lang w:val="en-GB" w:eastAsia="en-GB"/>
          <w14:ligatures w14:val="standardContextual"/>
        </w:rPr>
      </w:pPr>
      <w:hyperlink w:anchor="_Toc223511429" w:history="1">
        <w:r w:rsidRPr="00DB4DEE">
          <w:rPr>
            <w:rStyle w:val="Hyperlink"/>
            <w:rFonts w:asciiTheme="majorHAnsi" w:hAnsiTheme="majorHAnsi" w:cstheme="majorHAnsi"/>
            <w:noProof/>
            <w:lang w:eastAsia="en-GB"/>
          </w:rPr>
          <w:t>7.5</w:t>
        </w:r>
        <w:r>
          <w:rPr>
            <w:noProof/>
            <w:color w:val="auto"/>
            <w:kern w:val="2"/>
            <w:szCs w:val="24"/>
            <w:lang w:val="en-GB" w:eastAsia="en-GB"/>
            <w14:ligatures w14:val="standardContextual"/>
          </w:rPr>
          <w:tab/>
        </w:r>
        <w:r w:rsidRPr="00DB4DEE">
          <w:rPr>
            <w:rStyle w:val="Hyperlink"/>
            <w:noProof/>
            <w:lang w:eastAsia="en-GB"/>
          </w:rPr>
          <w:t>Transfer of clinical pharmacists and pharmacy technicians</w:t>
        </w:r>
        <w:r>
          <w:rPr>
            <w:noProof/>
            <w:webHidden/>
          </w:rPr>
          <w:tab/>
        </w:r>
        <w:r>
          <w:rPr>
            <w:noProof/>
            <w:webHidden/>
          </w:rPr>
          <w:fldChar w:fldCharType="begin"/>
        </w:r>
        <w:r>
          <w:rPr>
            <w:noProof/>
            <w:webHidden/>
          </w:rPr>
          <w:instrText xml:space="preserve"> PAGEREF _Toc223511429 \h </w:instrText>
        </w:r>
        <w:r>
          <w:rPr>
            <w:noProof/>
            <w:webHidden/>
          </w:rPr>
        </w:r>
        <w:r>
          <w:rPr>
            <w:noProof/>
            <w:webHidden/>
          </w:rPr>
          <w:fldChar w:fldCharType="separate"/>
        </w:r>
        <w:r w:rsidR="00CD5E1F">
          <w:rPr>
            <w:noProof/>
            <w:webHidden/>
          </w:rPr>
          <w:t>27</w:t>
        </w:r>
        <w:r>
          <w:rPr>
            <w:noProof/>
            <w:webHidden/>
          </w:rPr>
          <w:fldChar w:fldCharType="end"/>
        </w:r>
      </w:hyperlink>
    </w:p>
    <w:p w14:paraId="3C81C94A" w14:textId="0EA1CF0C" w:rsidR="00BF21BB" w:rsidRDefault="00BF21BB">
      <w:pPr>
        <w:pStyle w:val="TOC3"/>
        <w:rPr>
          <w:noProof/>
          <w:color w:val="auto"/>
          <w:kern w:val="2"/>
          <w:szCs w:val="24"/>
          <w:lang w:val="en-GB" w:eastAsia="en-GB"/>
          <w14:ligatures w14:val="standardContextual"/>
        </w:rPr>
      </w:pPr>
      <w:hyperlink w:anchor="_Toc223511430" w:history="1">
        <w:r w:rsidRPr="00DB4DEE">
          <w:rPr>
            <w:rStyle w:val="Hyperlink"/>
            <w:rFonts w:asciiTheme="majorHAnsi" w:hAnsiTheme="majorHAnsi" w:cstheme="majorHAnsi"/>
            <w:noProof/>
            <w:lang w:eastAsia="en-GB"/>
          </w:rPr>
          <w:t>7.6</w:t>
        </w:r>
        <w:r>
          <w:rPr>
            <w:noProof/>
            <w:color w:val="auto"/>
            <w:kern w:val="2"/>
            <w:szCs w:val="24"/>
            <w:lang w:val="en-GB" w:eastAsia="en-GB"/>
            <w14:ligatures w14:val="standardContextual"/>
          </w:rPr>
          <w:tab/>
        </w:r>
        <w:r w:rsidRPr="00DB4DEE">
          <w:rPr>
            <w:rStyle w:val="Hyperlink"/>
            <w:noProof/>
            <w:lang w:eastAsia="en-GB"/>
          </w:rPr>
          <w:t>Additional Roles Reimbursement Scheme claims process</w:t>
        </w:r>
        <w:r>
          <w:rPr>
            <w:noProof/>
            <w:webHidden/>
          </w:rPr>
          <w:tab/>
        </w:r>
        <w:r>
          <w:rPr>
            <w:noProof/>
            <w:webHidden/>
          </w:rPr>
          <w:fldChar w:fldCharType="begin"/>
        </w:r>
        <w:r>
          <w:rPr>
            <w:noProof/>
            <w:webHidden/>
          </w:rPr>
          <w:instrText xml:space="preserve"> PAGEREF _Toc223511430 \h </w:instrText>
        </w:r>
        <w:r>
          <w:rPr>
            <w:noProof/>
            <w:webHidden/>
          </w:rPr>
        </w:r>
        <w:r>
          <w:rPr>
            <w:noProof/>
            <w:webHidden/>
          </w:rPr>
          <w:fldChar w:fldCharType="separate"/>
        </w:r>
        <w:r w:rsidR="00CD5E1F">
          <w:rPr>
            <w:noProof/>
            <w:webHidden/>
          </w:rPr>
          <w:t>28</w:t>
        </w:r>
        <w:r>
          <w:rPr>
            <w:noProof/>
            <w:webHidden/>
          </w:rPr>
          <w:fldChar w:fldCharType="end"/>
        </w:r>
      </w:hyperlink>
    </w:p>
    <w:p w14:paraId="5A13E623" w14:textId="38F9E3FE" w:rsidR="00BF21BB" w:rsidRDefault="00BF21BB">
      <w:pPr>
        <w:pStyle w:val="TOC2"/>
        <w:rPr>
          <w:rFonts w:asciiTheme="minorHAnsi" w:eastAsiaTheme="minorEastAsia" w:hAnsiTheme="minorHAnsi" w:cstheme="minorBidi"/>
          <w:color w:val="auto"/>
          <w:kern w:val="2"/>
          <w:sz w:val="24"/>
          <w:lang w:eastAsia="en-GB"/>
          <w14:ligatures w14:val="standardContextual"/>
        </w:rPr>
      </w:pPr>
      <w:hyperlink w:anchor="_Toc223511431" w:history="1">
        <w:r w:rsidRPr="00DB4DEE">
          <w:rPr>
            <w:rStyle w:val="Hyperlink"/>
          </w:rPr>
          <w:t>8.</w:t>
        </w:r>
        <w:r w:rsidRPr="00DB4DEE">
          <w:rPr>
            <w:rStyle w:val="Hyperlink"/>
            <w:rFonts w:eastAsiaTheme="minorHAnsi"/>
          </w:rPr>
          <w:t xml:space="preserve"> Additional Roles Reimbursement Scheme Workforce</w:t>
        </w:r>
        <w:r>
          <w:rPr>
            <w:webHidden/>
          </w:rPr>
          <w:tab/>
        </w:r>
        <w:r>
          <w:rPr>
            <w:webHidden/>
          </w:rPr>
          <w:fldChar w:fldCharType="begin"/>
        </w:r>
        <w:r>
          <w:rPr>
            <w:webHidden/>
          </w:rPr>
          <w:instrText xml:space="preserve"> PAGEREF _Toc223511431 \h </w:instrText>
        </w:r>
        <w:r>
          <w:rPr>
            <w:webHidden/>
          </w:rPr>
        </w:r>
        <w:r>
          <w:rPr>
            <w:webHidden/>
          </w:rPr>
          <w:fldChar w:fldCharType="separate"/>
        </w:r>
        <w:r w:rsidR="00CD5E1F">
          <w:rPr>
            <w:webHidden/>
          </w:rPr>
          <w:t>29</w:t>
        </w:r>
        <w:r>
          <w:rPr>
            <w:webHidden/>
          </w:rPr>
          <w:fldChar w:fldCharType="end"/>
        </w:r>
      </w:hyperlink>
    </w:p>
    <w:p w14:paraId="4870A6C7" w14:textId="770EC9FE" w:rsidR="00BF21BB" w:rsidRDefault="00BF21BB">
      <w:pPr>
        <w:pStyle w:val="TOC3"/>
        <w:rPr>
          <w:noProof/>
          <w:color w:val="auto"/>
          <w:kern w:val="2"/>
          <w:szCs w:val="24"/>
          <w:lang w:val="en-GB" w:eastAsia="en-GB"/>
          <w14:ligatures w14:val="standardContextual"/>
        </w:rPr>
      </w:pPr>
      <w:hyperlink w:anchor="_Toc223511432" w:history="1">
        <w:r w:rsidRPr="00DB4DEE">
          <w:rPr>
            <w:rStyle w:val="Hyperlink"/>
            <w:rFonts w:asciiTheme="majorHAnsi" w:hAnsiTheme="majorHAnsi" w:cstheme="majorHAnsi"/>
            <w:noProof/>
          </w:rPr>
          <w:t>8.1</w:t>
        </w:r>
        <w:r>
          <w:rPr>
            <w:noProof/>
            <w:color w:val="auto"/>
            <w:kern w:val="2"/>
            <w:szCs w:val="24"/>
            <w:lang w:val="en-GB" w:eastAsia="en-GB"/>
            <w14:ligatures w14:val="standardContextual"/>
          </w:rPr>
          <w:tab/>
        </w:r>
        <w:r w:rsidRPr="00DB4DEE">
          <w:rPr>
            <w:rStyle w:val="Hyperlink"/>
            <w:noProof/>
          </w:rPr>
          <w:t>Additional Roles</w:t>
        </w:r>
        <w:r>
          <w:rPr>
            <w:noProof/>
            <w:webHidden/>
          </w:rPr>
          <w:tab/>
        </w:r>
        <w:r>
          <w:rPr>
            <w:noProof/>
            <w:webHidden/>
          </w:rPr>
          <w:fldChar w:fldCharType="begin"/>
        </w:r>
        <w:r>
          <w:rPr>
            <w:noProof/>
            <w:webHidden/>
          </w:rPr>
          <w:instrText xml:space="preserve"> PAGEREF _Toc223511432 \h </w:instrText>
        </w:r>
        <w:r>
          <w:rPr>
            <w:noProof/>
            <w:webHidden/>
          </w:rPr>
        </w:r>
        <w:r>
          <w:rPr>
            <w:noProof/>
            <w:webHidden/>
          </w:rPr>
          <w:fldChar w:fldCharType="separate"/>
        </w:r>
        <w:r w:rsidR="00CD5E1F">
          <w:rPr>
            <w:noProof/>
            <w:webHidden/>
          </w:rPr>
          <w:t>29</w:t>
        </w:r>
        <w:r>
          <w:rPr>
            <w:noProof/>
            <w:webHidden/>
          </w:rPr>
          <w:fldChar w:fldCharType="end"/>
        </w:r>
      </w:hyperlink>
    </w:p>
    <w:p w14:paraId="24BB06DF" w14:textId="492DFC55" w:rsidR="00BF21BB" w:rsidRDefault="00BF21BB">
      <w:pPr>
        <w:pStyle w:val="TOC3"/>
        <w:rPr>
          <w:noProof/>
          <w:color w:val="auto"/>
          <w:kern w:val="2"/>
          <w:szCs w:val="24"/>
          <w:lang w:val="en-GB" w:eastAsia="en-GB"/>
          <w14:ligatures w14:val="standardContextual"/>
        </w:rPr>
      </w:pPr>
      <w:hyperlink w:anchor="_Toc223511433" w:history="1">
        <w:r w:rsidRPr="00DB4DEE">
          <w:rPr>
            <w:rStyle w:val="Hyperlink"/>
            <w:rFonts w:asciiTheme="majorHAnsi" w:hAnsiTheme="majorHAnsi" w:cstheme="majorHAnsi"/>
            <w:noProof/>
            <w:lang w:eastAsia="en-GB"/>
          </w:rPr>
          <w:t>8.2</w:t>
        </w:r>
        <w:r>
          <w:rPr>
            <w:noProof/>
            <w:color w:val="auto"/>
            <w:kern w:val="2"/>
            <w:szCs w:val="24"/>
            <w:lang w:val="en-GB" w:eastAsia="en-GB"/>
            <w14:ligatures w14:val="standardContextual"/>
          </w:rPr>
          <w:tab/>
        </w:r>
        <w:r w:rsidRPr="00DB4DEE">
          <w:rPr>
            <w:rStyle w:val="Hyperlink"/>
            <w:noProof/>
          </w:rPr>
          <w:t>Role</w:t>
        </w:r>
        <w:r w:rsidRPr="00DB4DEE">
          <w:rPr>
            <w:rStyle w:val="Hyperlink"/>
            <w:noProof/>
            <w:lang w:eastAsia="en-GB"/>
          </w:rPr>
          <w:t xml:space="preserve"> descriptions and terms and conditions</w:t>
        </w:r>
        <w:r>
          <w:rPr>
            <w:noProof/>
            <w:webHidden/>
          </w:rPr>
          <w:tab/>
        </w:r>
        <w:r>
          <w:rPr>
            <w:noProof/>
            <w:webHidden/>
          </w:rPr>
          <w:fldChar w:fldCharType="begin"/>
        </w:r>
        <w:r>
          <w:rPr>
            <w:noProof/>
            <w:webHidden/>
          </w:rPr>
          <w:instrText xml:space="preserve"> PAGEREF _Toc223511433 \h </w:instrText>
        </w:r>
        <w:r>
          <w:rPr>
            <w:noProof/>
            <w:webHidden/>
          </w:rPr>
        </w:r>
        <w:r>
          <w:rPr>
            <w:noProof/>
            <w:webHidden/>
          </w:rPr>
          <w:fldChar w:fldCharType="separate"/>
        </w:r>
        <w:r w:rsidR="00CD5E1F">
          <w:rPr>
            <w:noProof/>
            <w:webHidden/>
          </w:rPr>
          <w:t>29</w:t>
        </w:r>
        <w:r>
          <w:rPr>
            <w:noProof/>
            <w:webHidden/>
          </w:rPr>
          <w:fldChar w:fldCharType="end"/>
        </w:r>
      </w:hyperlink>
    </w:p>
    <w:p w14:paraId="3603660A" w14:textId="69F37FEC" w:rsidR="00BF21BB" w:rsidRDefault="00BF21BB">
      <w:pPr>
        <w:pStyle w:val="TOC3"/>
        <w:rPr>
          <w:noProof/>
          <w:color w:val="auto"/>
          <w:kern w:val="2"/>
          <w:szCs w:val="24"/>
          <w:lang w:val="en-GB" w:eastAsia="en-GB"/>
          <w14:ligatures w14:val="standardContextual"/>
        </w:rPr>
      </w:pPr>
      <w:hyperlink w:anchor="_Toc223511434" w:history="1">
        <w:r w:rsidRPr="00DB4DEE">
          <w:rPr>
            <w:rStyle w:val="Hyperlink"/>
            <w:rFonts w:asciiTheme="majorHAnsi" w:hAnsiTheme="majorHAnsi" w:cstheme="majorHAnsi"/>
            <w:noProof/>
            <w:lang w:eastAsia="en-GB"/>
          </w:rPr>
          <w:t>8.3</w:t>
        </w:r>
        <w:r>
          <w:rPr>
            <w:noProof/>
            <w:color w:val="auto"/>
            <w:kern w:val="2"/>
            <w:szCs w:val="24"/>
            <w:lang w:val="en-GB" w:eastAsia="en-GB"/>
            <w14:ligatures w14:val="standardContextual"/>
          </w:rPr>
          <w:tab/>
        </w:r>
        <w:r w:rsidRPr="00DB4DEE">
          <w:rPr>
            <w:rStyle w:val="Hyperlink"/>
            <w:noProof/>
          </w:rPr>
          <w:t>Clinical</w:t>
        </w:r>
        <w:r w:rsidRPr="00DB4DEE">
          <w:rPr>
            <w:rStyle w:val="Hyperlink"/>
            <w:noProof/>
            <w:lang w:eastAsia="en-GB"/>
          </w:rPr>
          <w:t xml:space="preserve"> pharmacists</w:t>
        </w:r>
        <w:r>
          <w:rPr>
            <w:noProof/>
            <w:webHidden/>
          </w:rPr>
          <w:tab/>
        </w:r>
        <w:r>
          <w:rPr>
            <w:noProof/>
            <w:webHidden/>
          </w:rPr>
          <w:fldChar w:fldCharType="begin"/>
        </w:r>
        <w:r>
          <w:rPr>
            <w:noProof/>
            <w:webHidden/>
          </w:rPr>
          <w:instrText xml:space="preserve"> PAGEREF _Toc223511434 \h </w:instrText>
        </w:r>
        <w:r>
          <w:rPr>
            <w:noProof/>
            <w:webHidden/>
          </w:rPr>
        </w:r>
        <w:r>
          <w:rPr>
            <w:noProof/>
            <w:webHidden/>
          </w:rPr>
          <w:fldChar w:fldCharType="separate"/>
        </w:r>
        <w:r w:rsidR="00CD5E1F">
          <w:rPr>
            <w:noProof/>
            <w:webHidden/>
          </w:rPr>
          <w:t>30</w:t>
        </w:r>
        <w:r>
          <w:rPr>
            <w:noProof/>
            <w:webHidden/>
          </w:rPr>
          <w:fldChar w:fldCharType="end"/>
        </w:r>
      </w:hyperlink>
    </w:p>
    <w:p w14:paraId="3B6E5CFC" w14:textId="3BC9D2D0" w:rsidR="00BF21BB" w:rsidRDefault="00BF21BB">
      <w:pPr>
        <w:pStyle w:val="TOC3"/>
        <w:rPr>
          <w:noProof/>
          <w:color w:val="auto"/>
          <w:kern w:val="2"/>
          <w:szCs w:val="24"/>
          <w:lang w:val="en-GB" w:eastAsia="en-GB"/>
          <w14:ligatures w14:val="standardContextual"/>
        </w:rPr>
      </w:pPr>
      <w:hyperlink w:anchor="_Toc223511435" w:history="1">
        <w:r w:rsidRPr="00DB4DEE">
          <w:rPr>
            <w:rStyle w:val="Hyperlink"/>
            <w:rFonts w:asciiTheme="majorHAnsi" w:hAnsiTheme="majorHAnsi" w:cstheme="majorHAnsi"/>
            <w:noProof/>
          </w:rPr>
          <w:t>8.4</w:t>
        </w:r>
        <w:r>
          <w:rPr>
            <w:noProof/>
            <w:color w:val="auto"/>
            <w:kern w:val="2"/>
            <w:szCs w:val="24"/>
            <w:lang w:val="en-GB" w:eastAsia="en-GB"/>
            <w14:ligatures w14:val="standardContextual"/>
          </w:rPr>
          <w:tab/>
        </w:r>
        <w:r w:rsidRPr="00DB4DEE">
          <w:rPr>
            <w:rStyle w:val="Hyperlink"/>
            <w:noProof/>
          </w:rPr>
          <w:t xml:space="preserve">Other direct patient care roles </w:t>
        </w:r>
        <w:r w:rsidRPr="00DB4DEE">
          <w:rPr>
            <w:rStyle w:val="Hyperlink"/>
            <w:noProof/>
            <w:highlight w:val="yellow"/>
          </w:rPr>
          <w:t>and other non-direct patient care roles</w:t>
        </w:r>
        <w:r>
          <w:rPr>
            <w:noProof/>
            <w:webHidden/>
          </w:rPr>
          <w:tab/>
        </w:r>
        <w:r>
          <w:rPr>
            <w:noProof/>
            <w:webHidden/>
          </w:rPr>
          <w:fldChar w:fldCharType="begin"/>
        </w:r>
        <w:r>
          <w:rPr>
            <w:noProof/>
            <w:webHidden/>
          </w:rPr>
          <w:instrText xml:space="preserve"> PAGEREF _Toc223511435 \h </w:instrText>
        </w:r>
        <w:r>
          <w:rPr>
            <w:noProof/>
            <w:webHidden/>
          </w:rPr>
        </w:r>
        <w:r>
          <w:rPr>
            <w:noProof/>
            <w:webHidden/>
          </w:rPr>
          <w:fldChar w:fldCharType="separate"/>
        </w:r>
        <w:r w:rsidR="00CD5E1F">
          <w:rPr>
            <w:noProof/>
            <w:webHidden/>
          </w:rPr>
          <w:t>33</w:t>
        </w:r>
        <w:r>
          <w:rPr>
            <w:noProof/>
            <w:webHidden/>
          </w:rPr>
          <w:fldChar w:fldCharType="end"/>
        </w:r>
      </w:hyperlink>
    </w:p>
    <w:p w14:paraId="13F1F0BD" w14:textId="7AF56B8A" w:rsidR="00BF21BB" w:rsidRDefault="00BF21BB">
      <w:pPr>
        <w:pStyle w:val="TOC3"/>
        <w:rPr>
          <w:noProof/>
          <w:color w:val="auto"/>
          <w:kern w:val="2"/>
          <w:szCs w:val="24"/>
          <w:lang w:val="en-GB" w:eastAsia="en-GB"/>
          <w14:ligatures w14:val="standardContextual"/>
        </w:rPr>
      </w:pPr>
      <w:hyperlink w:anchor="_Toc223511436" w:history="1">
        <w:r w:rsidRPr="00DB4DEE">
          <w:rPr>
            <w:rStyle w:val="Hyperlink"/>
            <w:rFonts w:asciiTheme="majorHAnsi" w:hAnsiTheme="majorHAnsi" w:cstheme="majorHAnsi"/>
            <w:noProof/>
          </w:rPr>
          <w:t>8.5</w:t>
        </w:r>
        <w:r>
          <w:rPr>
            <w:noProof/>
            <w:color w:val="auto"/>
            <w:kern w:val="2"/>
            <w:szCs w:val="24"/>
            <w:lang w:val="en-GB" w:eastAsia="en-GB"/>
            <w14:ligatures w14:val="standardContextual"/>
          </w:rPr>
          <w:tab/>
        </w:r>
        <w:r w:rsidRPr="00DB4DEE">
          <w:rPr>
            <w:rStyle w:val="Hyperlink"/>
            <w:noProof/>
          </w:rPr>
          <w:t>Further guidance and supporting information</w:t>
        </w:r>
        <w:r>
          <w:rPr>
            <w:noProof/>
            <w:webHidden/>
          </w:rPr>
          <w:tab/>
        </w:r>
        <w:r>
          <w:rPr>
            <w:noProof/>
            <w:webHidden/>
          </w:rPr>
          <w:fldChar w:fldCharType="begin"/>
        </w:r>
        <w:r>
          <w:rPr>
            <w:noProof/>
            <w:webHidden/>
          </w:rPr>
          <w:instrText xml:space="preserve"> PAGEREF _Toc223511436 \h </w:instrText>
        </w:r>
        <w:r>
          <w:rPr>
            <w:noProof/>
            <w:webHidden/>
          </w:rPr>
        </w:r>
        <w:r>
          <w:rPr>
            <w:noProof/>
            <w:webHidden/>
          </w:rPr>
          <w:fldChar w:fldCharType="separate"/>
        </w:r>
        <w:r w:rsidR="00CD5E1F">
          <w:rPr>
            <w:noProof/>
            <w:webHidden/>
          </w:rPr>
          <w:t>33</w:t>
        </w:r>
        <w:r>
          <w:rPr>
            <w:noProof/>
            <w:webHidden/>
          </w:rPr>
          <w:fldChar w:fldCharType="end"/>
        </w:r>
      </w:hyperlink>
    </w:p>
    <w:p w14:paraId="43AD372F" w14:textId="49D96A8F" w:rsidR="00BF21BB" w:rsidRDefault="00BF21BB">
      <w:pPr>
        <w:pStyle w:val="TOC3"/>
        <w:rPr>
          <w:noProof/>
          <w:color w:val="auto"/>
          <w:kern w:val="2"/>
          <w:szCs w:val="24"/>
          <w:lang w:val="en-GB" w:eastAsia="en-GB"/>
          <w14:ligatures w14:val="standardContextual"/>
        </w:rPr>
      </w:pPr>
      <w:hyperlink w:anchor="_Toc223511437" w:history="1">
        <w:r w:rsidRPr="00DB4DEE">
          <w:rPr>
            <w:rStyle w:val="Hyperlink"/>
            <w:rFonts w:asciiTheme="majorHAnsi" w:hAnsiTheme="majorHAnsi" w:cstheme="majorHAnsi"/>
            <w:noProof/>
          </w:rPr>
          <w:t>8.6</w:t>
        </w:r>
        <w:r>
          <w:rPr>
            <w:noProof/>
            <w:color w:val="auto"/>
            <w:kern w:val="2"/>
            <w:szCs w:val="24"/>
            <w:lang w:val="en-GB" w:eastAsia="en-GB"/>
            <w14:ligatures w14:val="standardContextual"/>
          </w:rPr>
          <w:tab/>
        </w:r>
        <w:r w:rsidRPr="00DB4DEE">
          <w:rPr>
            <w:rStyle w:val="Hyperlink"/>
            <w:noProof/>
          </w:rPr>
          <w:t>General Medical Practitioner</w:t>
        </w:r>
        <w:r>
          <w:rPr>
            <w:noProof/>
            <w:webHidden/>
          </w:rPr>
          <w:tab/>
        </w:r>
        <w:r>
          <w:rPr>
            <w:noProof/>
            <w:webHidden/>
          </w:rPr>
          <w:fldChar w:fldCharType="begin"/>
        </w:r>
        <w:r>
          <w:rPr>
            <w:noProof/>
            <w:webHidden/>
          </w:rPr>
          <w:instrText xml:space="preserve"> PAGEREF _Toc223511437 \h </w:instrText>
        </w:r>
        <w:r>
          <w:rPr>
            <w:noProof/>
            <w:webHidden/>
          </w:rPr>
        </w:r>
        <w:r>
          <w:rPr>
            <w:noProof/>
            <w:webHidden/>
          </w:rPr>
          <w:fldChar w:fldCharType="separate"/>
        </w:r>
        <w:r w:rsidR="00CD5E1F">
          <w:rPr>
            <w:noProof/>
            <w:webHidden/>
          </w:rPr>
          <w:t>34</w:t>
        </w:r>
        <w:r>
          <w:rPr>
            <w:noProof/>
            <w:webHidden/>
          </w:rPr>
          <w:fldChar w:fldCharType="end"/>
        </w:r>
      </w:hyperlink>
    </w:p>
    <w:p w14:paraId="672AEC93" w14:textId="2005D19E" w:rsidR="00BF21BB" w:rsidRDefault="00BF21BB">
      <w:pPr>
        <w:pStyle w:val="TOC2"/>
        <w:rPr>
          <w:rFonts w:asciiTheme="minorHAnsi" w:eastAsiaTheme="minorEastAsia" w:hAnsiTheme="minorHAnsi" w:cstheme="minorBidi"/>
          <w:color w:val="auto"/>
          <w:kern w:val="2"/>
          <w:sz w:val="24"/>
          <w:lang w:eastAsia="en-GB"/>
          <w14:ligatures w14:val="standardContextual"/>
        </w:rPr>
      </w:pPr>
      <w:hyperlink w:anchor="_Toc223511438" w:history="1">
        <w:r w:rsidRPr="00DB4DEE">
          <w:rPr>
            <w:rStyle w:val="Hyperlink"/>
          </w:rPr>
          <w:t>9. Service requirements</w:t>
        </w:r>
        <w:r>
          <w:rPr>
            <w:webHidden/>
          </w:rPr>
          <w:tab/>
        </w:r>
        <w:r>
          <w:rPr>
            <w:webHidden/>
          </w:rPr>
          <w:fldChar w:fldCharType="begin"/>
        </w:r>
        <w:r>
          <w:rPr>
            <w:webHidden/>
          </w:rPr>
          <w:instrText xml:space="preserve"> PAGEREF _Toc223511438 \h </w:instrText>
        </w:r>
        <w:r>
          <w:rPr>
            <w:webHidden/>
          </w:rPr>
        </w:r>
        <w:r>
          <w:rPr>
            <w:webHidden/>
          </w:rPr>
          <w:fldChar w:fldCharType="separate"/>
        </w:r>
        <w:r w:rsidR="00CD5E1F">
          <w:rPr>
            <w:webHidden/>
          </w:rPr>
          <w:t>34</w:t>
        </w:r>
        <w:r>
          <w:rPr>
            <w:webHidden/>
          </w:rPr>
          <w:fldChar w:fldCharType="end"/>
        </w:r>
      </w:hyperlink>
    </w:p>
    <w:p w14:paraId="74C2AFD2" w14:textId="789AF40D" w:rsidR="00BF21BB" w:rsidRDefault="00BF21BB">
      <w:pPr>
        <w:pStyle w:val="TOC3"/>
        <w:rPr>
          <w:noProof/>
          <w:color w:val="auto"/>
          <w:kern w:val="2"/>
          <w:szCs w:val="24"/>
          <w:lang w:val="en-GB" w:eastAsia="en-GB"/>
          <w14:ligatures w14:val="standardContextual"/>
        </w:rPr>
      </w:pPr>
      <w:hyperlink w:anchor="_Toc223511439" w:history="1">
        <w:r w:rsidRPr="00DB4DEE">
          <w:rPr>
            <w:rStyle w:val="Hyperlink"/>
            <w:rFonts w:asciiTheme="majorHAnsi" w:hAnsiTheme="majorHAnsi" w:cstheme="majorHAnsi"/>
            <w:noProof/>
          </w:rPr>
          <w:t>9.1</w:t>
        </w:r>
        <w:r>
          <w:rPr>
            <w:noProof/>
            <w:color w:val="auto"/>
            <w:kern w:val="2"/>
            <w:szCs w:val="24"/>
            <w:lang w:val="en-GB" w:eastAsia="en-GB"/>
            <w14:ligatures w14:val="standardContextual"/>
          </w:rPr>
          <w:tab/>
        </w:r>
        <w:r w:rsidRPr="00DB4DEE">
          <w:rPr>
            <w:rStyle w:val="Hyperlink"/>
            <w:noProof/>
          </w:rPr>
          <w:t>Core PCN Service Requirements</w:t>
        </w:r>
        <w:r>
          <w:rPr>
            <w:noProof/>
            <w:webHidden/>
          </w:rPr>
          <w:tab/>
        </w:r>
        <w:r>
          <w:rPr>
            <w:noProof/>
            <w:webHidden/>
          </w:rPr>
          <w:fldChar w:fldCharType="begin"/>
        </w:r>
        <w:r>
          <w:rPr>
            <w:noProof/>
            <w:webHidden/>
          </w:rPr>
          <w:instrText xml:space="preserve"> PAGEREF _Toc223511439 \h </w:instrText>
        </w:r>
        <w:r>
          <w:rPr>
            <w:noProof/>
            <w:webHidden/>
          </w:rPr>
        </w:r>
        <w:r>
          <w:rPr>
            <w:noProof/>
            <w:webHidden/>
          </w:rPr>
          <w:fldChar w:fldCharType="separate"/>
        </w:r>
        <w:r w:rsidR="00CD5E1F">
          <w:rPr>
            <w:noProof/>
            <w:webHidden/>
          </w:rPr>
          <w:t>34</w:t>
        </w:r>
        <w:r>
          <w:rPr>
            <w:noProof/>
            <w:webHidden/>
          </w:rPr>
          <w:fldChar w:fldCharType="end"/>
        </w:r>
      </w:hyperlink>
    </w:p>
    <w:p w14:paraId="6BE0051F" w14:textId="0C6C6C5A" w:rsidR="00BF21BB" w:rsidRDefault="00BF21BB">
      <w:pPr>
        <w:pStyle w:val="TOC2"/>
        <w:rPr>
          <w:rFonts w:asciiTheme="minorHAnsi" w:eastAsiaTheme="minorEastAsia" w:hAnsiTheme="minorHAnsi" w:cstheme="minorBidi"/>
          <w:color w:val="auto"/>
          <w:kern w:val="2"/>
          <w:sz w:val="24"/>
          <w:lang w:eastAsia="en-GB"/>
          <w14:ligatures w14:val="standardContextual"/>
        </w:rPr>
      </w:pPr>
      <w:hyperlink w:anchor="_Toc223511440" w:history="1">
        <w:r w:rsidRPr="00DB4DEE">
          <w:rPr>
            <w:rStyle w:val="Hyperlink"/>
          </w:rPr>
          <w:t>10. Financial entitlements, nominated payee and payment information</w:t>
        </w:r>
        <w:r>
          <w:rPr>
            <w:webHidden/>
          </w:rPr>
          <w:tab/>
        </w:r>
        <w:r>
          <w:rPr>
            <w:webHidden/>
          </w:rPr>
          <w:fldChar w:fldCharType="begin"/>
        </w:r>
        <w:r>
          <w:rPr>
            <w:webHidden/>
          </w:rPr>
          <w:instrText xml:space="preserve"> PAGEREF _Toc223511440 \h </w:instrText>
        </w:r>
        <w:r>
          <w:rPr>
            <w:webHidden/>
          </w:rPr>
        </w:r>
        <w:r>
          <w:rPr>
            <w:webHidden/>
          </w:rPr>
          <w:fldChar w:fldCharType="separate"/>
        </w:r>
        <w:r w:rsidR="00CD5E1F">
          <w:rPr>
            <w:webHidden/>
          </w:rPr>
          <w:t>37</w:t>
        </w:r>
        <w:r>
          <w:rPr>
            <w:webHidden/>
          </w:rPr>
          <w:fldChar w:fldCharType="end"/>
        </w:r>
      </w:hyperlink>
    </w:p>
    <w:p w14:paraId="0C315D97" w14:textId="11942B86" w:rsidR="00BF21BB" w:rsidRDefault="00BF21BB">
      <w:pPr>
        <w:pStyle w:val="TOC3"/>
        <w:rPr>
          <w:noProof/>
          <w:color w:val="auto"/>
          <w:kern w:val="2"/>
          <w:szCs w:val="24"/>
          <w:lang w:val="en-GB" w:eastAsia="en-GB"/>
          <w14:ligatures w14:val="standardContextual"/>
        </w:rPr>
      </w:pPr>
      <w:hyperlink w:anchor="_Toc223511441" w:history="1">
        <w:r w:rsidRPr="00DB4DEE">
          <w:rPr>
            <w:rStyle w:val="Hyperlink"/>
            <w:rFonts w:asciiTheme="majorHAnsi" w:hAnsiTheme="majorHAnsi" w:cstheme="majorHAnsi"/>
            <w:noProof/>
          </w:rPr>
          <w:t>10.1</w:t>
        </w:r>
        <w:r>
          <w:rPr>
            <w:noProof/>
            <w:color w:val="auto"/>
            <w:kern w:val="2"/>
            <w:szCs w:val="24"/>
            <w:lang w:val="en-GB" w:eastAsia="en-GB"/>
            <w14:ligatures w14:val="standardContextual"/>
          </w:rPr>
          <w:tab/>
        </w:r>
        <w:r w:rsidRPr="00DB4DEE">
          <w:rPr>
            <w:rStyle w:val="Hyperlink"/>
            <w:noProof/>
          </w:rPr>
          <w:t>Financial</w:t>
        </w:r>
        <w:r w:rsidRPr="00DB4DEE">
          <w:rPr>
            <w:rStyle w:val="Hyperlink"/>
            <w:b/>
            <w:bCs/>
            <w:iCs/>
            <w:noProof/>
            <w:lang w:eastAsia="en-GB"/>
          </w:rPr>
          <w:t xml:space="preserve"> </w:t>
        </w:r>
        <w:r w:rsidRPr="00DB4DEE">
          <w:rPr>
            <w:rStyle w:val="Hyperlink"/>
            <w:noProof/>
          </w:rPr>
          <w:t>entitlements</w:t>
        </w:r>
        <w:r>
          <w:rPr>
            <w:noProof/>
            <w:webHidden/>
          </w:rPr>
          <w:tab/>
        </w:r>
        <w:r>
          <w:rPr>
            <w:noProof/>
            <w:webHidden/>
          </w:rPr>
          <w:fldChar w:fldCharType="begin"/>
        </w:r>
        <w:r>
          <w:rPr>
            <w:noProof/>
            <w:webHidden/>
          </w:rPr>
          <w:instrText xml:space="preserve"> PAGEREF _Toc223511441 \h </w:instrText>
        </w:r>
        <w:r>
          <w:rPr>
            <w:noProof/>
            <w:webHidden/>
          </w:rPr>
        </w:r>
        <w:r>
          <w:rPr>
            <w:noProof/>
            <w:webHidden/>
          </w:rPr>
          <w:fldChar w:fldCharType="separate"/>
        </w:r>
        <w:r w:rsidR="00CD5E1F">
          <w:rPr>
            <w:noProof/>
            <w:webHidden/>
          </w:rPr>
          <w:t>37</w:t>
        </w:r>
        <w:r>
          <w:rPr>
            <w:noProof/>
            <w:webHidden/>
          </w:rPr>
          <w:fldChar w:fldCharType="end"/>
        </w:r>
      </w:hyperlink>
    </w:p>
    <w:p w14:paraId="5CE02FE9" w14:textId="31051FCA" w:rsidR="00BF21BB" w:rsidRDefault="00BF21BB">
      <w:pPr>
        <w:pStyle w:val="TOC3"/>
        <w:rPr>
          <w:noProof/>
          <w:color w:val="auto"/>
          <w:kern w:val="2"/>
          <w:szCs w:val="24"/>
          <w:lang w:val="en-GB" w:eastAsia="en-GB"/>
          <w14:ligatures w14:val="standardContextual"/>
        </w:rPr>
      </w:pPr>
      <w:hyperlink w:anchor="_Toc223511442" w:history="1">
        <w:r w:rsidRPr="00DB4DEE">
          <w:rPr>
            <w:rStyle w:val="Hyperlink"/>
            <w:rFonts w:asciiTheme="majorHAnsi" w:hAnsiTheme="majorHAnsi" w:cstheme="majorHAnsi"/>
            <w:noProof/>
          </w:rPr>
          <w:t>10.2</w:t>
        </w:r>
        <w:r>
          <w:rPr>
            <w:noProof/>
            <w:color w:val="auto"/>
            <w:kern w:val="2"/>
            <w:szCs w:val="24"/>
            <w:lang w:val="en-GB" w:eastAsia="en-GB"/>
            <w14:ligatures w14:val="standardContextual"/>
          </w:rPr>
          <w:tab/>
        </w:r>
        <w:r w:rsidRPr="00DB4DEE">
          <w:rPr>
            <w:rStyle w:val="Hyperlink"/>
            <w:noProof/>
          </w:rPr>
          <w:t>Network Contract DES nominated payee</w:t>
        </w:r>
        <w:r>
          <w:rPr>
            <w:noProof/>
            <w:webHidden/>
          </w:rPr>
          <w:tab/>
        </w:r>
        <w:r>
          <w:rPr>
            <w:noProof/>
            <w:webHidden/>
          </w:rPr>
          <w:fldChar w:fldCharType="begin"/>
        </w:r>
        <w:r>
          <w:rPr>
            <w:noProof/>
            <w:webHidden/>
          </w:rPr>
          <w:instrText xml:space="preserve"> PAGEREF _Toc223511442 \h </w:instrText>
        </w:r>
        <w:r>
          <w:rPr>
            <w:noProof/>
            <w:webHidden/>
          </w:rPr>
        </w:r>
        <w:r>
          <w:rPr>
            <w:noProof/>
            <w:webHidden/>
          </w:rPr>
          <w:fldChar w:fldCharType="separate"/>
        </w:r>
        <w:r w:rsidR="00CD5E1F">
          <w:rPr>
            <w:noProof/>
            <w:webHidden/>
          </w:rPr>
          <w:t>40</w:t>
        </w:r>
        <w:r>
          <w:rPr>
            <w:noProof/>
            <w:webHidden/>
          </w:rPr>
          <w:fldChar w:fldCharType="end"/>
        </w:r>
      </w:hyperlink>
    </w:p>
    <w:p w14:paraId="1F9AF77B" w14:textId="48FB5588" w:rsidR="00BF21BB" w:rsidRDefault="00BF21BB">
      <w:pPr>
        <w:pStyle w:val="TOC3"/>
        <w:rPr>
          <w:noProof/>
          <w:color w:val="auto"/>
          <w:kern w:val="2"/>
          <w:szCs w:val="24"/>
          <w:lang w:val="en-GB" w:eastAsia="en-GB"/>
          <w14:ligatures w14:val="standardContextual"/>
        </w:rPr>
      </w:pPr>
      <w:hyperlink w:anchor="_Toc223511443" w:history="1">
        <w:r w:rsidRPr="00DB4DEE">
          <w:rPr>
            <w:rStyle w:val="Hyperlink"/>
            <w:rFonts w:asciiTheme="majorHAnsi" w:hAnsiTheme="majorHAnsi" w:cstheme="majorHAnsi"/>
            <w:noProof/>
          </w:rPr>
          <w:t>10.3</w:t>
        </w:r>
        <w:r>
          <w:rPr>
            <w:noProof/>
            <w:color w:val="auto"/>
            <w:kern w:val="2"/>
            <w:szCs w:val="24"/>
            <w:lang w:val="en-GB" w:eastAsia="en-GB"/>
            <w14:ligatures w14:val="standardContextual"/>
          </w:rPr>
          <w:tab/>
        </w:r>
        <w:r w:rsidRPr="00DB4DEE">
          <w:rPr>
            <w:rStyle w:val="Hyperlink"/>
            <w:noProof/>
          </w:rPr>
          <w:t>Network Contract DES Payments</w:t>
        </w:r>
        <w:r>
          <w:rPr>
            <w:noProof/>
            <w:webHidden/>
          </w:rPr>
          <w:tab/>
        </w:r>
        <w:r>
          <w:rPr>
            <w:noProof/>
            <w:webHidden/>
          </w:rPr>
          <w:fldChar w:fldCharType="begin"/>
        </w:r>
        <w:r>
          <w:rPr>
            <w:noProof/>
            <w:webHidden/>
          </w:rPr>
          <w:instrText xml:space="preserve"> PAGEREF _Toc223511443 \h </w:instrText>
        </w:r>
        <w:r>
          <w:rPr>
            <w:noProof/>
            <w:webHidden/>
          </w:rPr>
        </w:r>
        <w:r>
          <w:rPr>
            <w:noProof/>
            <w:webHidden/>
          </w:rPr>
          <w:fldChar w:fldCharType="separate"/>
        </w:r>
        <w:r w:rsidR="00CD5E1F">
          <w:rPr>
            <w:noProof/>
            <w:webHidden/>
          </w:rPr>
          <w:t>41</w:t>
        </w:r>
        <w:r>
          <w:rPr>
            <w:noProof/>
            <w:webHidden/>
          </w:rPr>
          <w:fldChar w:fldCharType="end"/>
        </w:r>
      </w:hyperlink>
    </w:p>
    <w:p w14:paraId="1714EA80" w14:textId="6556B6E9" w:rsidR="00BF21BB" w:rsidRDefault="00BF21BB">
      <w:pPr>
        <w:pStyle w:val="TOC2"/>
        <w:rPr>
          <w:rFonts w:asciiTheme="minorHAnsi" w:eastAsiaTheme="minorEastAsia" w:hAnsiTheme="minorHAnsi" w:cstheme="minorBidi"/>
          <w:color w:val="auto"/>
          <w:kern w:val="2"/>
          <w:sz w:val="24"/>
          <w:lang w:eastAsia="en-GB"/>
          <w14:ligatures w14:val="standardContextual"/>
        </w:rPr>
      </w:pPr>
      <w:hyperlink w:anchor="_Toc223511444" w:history="1">
        <w:r w:rsidRPr="00DB4DEE">
          <w:rPr>
            <w:rStyle w:val="Hyperlink"/>
          </w:rPr>
          <w:t>11. Investment and Impact Fund</w:t>
        </w:r>
        <w:r>
          <w:rPr>
            <w:webHidden/>
          </w:rPr>
          <w:tab/>
        </w:r>
        <w:r>
          <w:rPr>
            <w:webHidden/>
          </w:rPr>
          <w:fldChar w:fldCharType="begin"/>
        </w:r>
        <w:r>
          <w:rPr>
            <w:webHidden/>
          </w:rPr>
          <w:instrText xml:space="preserve"> PAGEREF _Toc223511444 \h </w:instrText>
        </w:r>
        <w:r>
          <w:rPr>
            <w:webHidden/>
          </w:rPr>
        </w:r>
        <w:r>
          <w:rPr>
            <w:webHidden/>
          </w:rPr>
          <w:fldChar w:fldCharType="separate"/>
        </w:r>
        <w:r w:rsidR="00CD5E1F">
          <w:rPr>
            <w:webHidden/>
          </w:rPr>
          <w:t>49</w:t>
        </w:r>
        <w:r>
          <w:rPr>
            <w:webHidden/>
          </w:rPr>
          <w:fldChar w:fldCharType="end"/>
        </w:r>
      </w:hyperlink>
    </w:p>
    <w:p w14:paraId="1874E88D" w14:textId="33707CDB" w:rsidR="00BF21BB" w:rsidRDefault="00BF21BB">
      <w:pPr>
        <w:pStyle w:val="TOC3"/>
        <w:rPr>
          <w:noProof/>
          <w:color w:val="auto"/>
          <w:kern w:val="2"/>
          <w:szCs w:val="24"/>
          <w:lang w:val="en-GB" w:eastAsia="en-GB"/>
          <w14:ligatures w14:val="standardContextual"/>
        </w:rPr>
      </w:pPr>
      <w:hyperlink w:anchor="_Toc223511445" w:history="1">
        <w:r w:rsidRPr="00DB4DEE">
          <w:rPr>
            <w:rStyle w:val="Hyperlink"/>
            <w:rFonts w:asciiTheme="majorHAnsi" w:hAnsiTheme="majorHAnsi" w:cstheme="majorHAnsi"/>
            <w:noProof/>
          </w:rPr>
          <w:t>11.1</w:t>
        </w:r>
        <w:r>
          <w:rPr>
            <w:noProof/>
            <w:color w:val="auto"/>
            <w:kern w:val="2"/>
            <w:szCs w:val="24"/>
            <w:lang w:val="en-GB" w:eastAsia="en-GB"/>
            <w14:ligatures w14:val="standardContextual"/>
          </w:rPr>
          <w:tab/>
        </w:r>
        <w:r w:rsidRPr="00DB4DEE">
          <w:rPr>
            <w:rStyle w:val="Hyperlink"/>
            <w:noProof/>
          </w:rPr>
          <w:t>Introduction</w:t>
        </w:r>
        <w:r>
          <w:rPr>
            <w:noProof/>
            <w:webHidden/>
          </w:rPr>
          <w:tab/>
        </w:r>
        <w:r>
          <w:rPr>
            <w:noProof/>
            <w:webHidden/>
          </w:rPr>
          <w:fldChar w:fldCharType="begin"/>
        </w:r>
        <w:r>
          <w:rPr>
            <w:noProof/>
            <w:webHidden/>
          </w:rPr>
          <w:instrText xml:space="preserve"> PAGEREF _Toc223511445 \h </w:instrText>
        </w:r>
        <w:r>
          <w:rPr>
            <w:noProof/>
            <w:webHidden/>
          </w:rPr>
        </w:r>
        <w:r>
          <w:rPr>
            <w:noProof/>
            <w:webHidden/>
          </w:rPr>
          <w:fldChar w:fldCharType="separate"/>
        </w:r>
        <w:r w:rsidR="00CD5E1F">
          <w:rPr>
            <w:noProof/>
            <w:webHidden/>
          </w:rPr>
          <w:t>49</w:t>
        </w:r>
        <w:r>
          <w:rPr>
            <w:noProof/>
            <w:webHidden/>
          </w:rPr>
          <w:fldChar w:fldCharType="end"/>
        </w:r>
      </w:hyperlink>
    </w:p>
    <w:p w14:paraId="580A179A" w14:textId="2DD216AD" w:rsidR="00BF21BB" w:rsidRDefault="00BF21BB">
      <w:pPr>
        <w:pStyle w:val="TOC3"/>
        <w:rPr>
          <w:noProof/>
          <w:color w:val="auto"/>
          <w:kern w:val="2"/>
          <w:szCs w:val="24"/>
          <w:lang w:val="en-GB" w:eastAsia="en-GB"/>
          <w14:ligatures w14:val="standardContextual"/>
        </w:rPr>
      </w:pPr>
      <w:hyperlink w:anchor="_Toc223511446" w:history="1">
        <w:r w:rsidRPr="00DB4DEE">
          <w:rPr>
            <w:rStyle w:val="Hyperlink"/>
            <w:rFonts w:asciiTheme="majorHAnsi" w:hAnsiTheme="majorHAnsi" w:cstheme="majorHAnsi"/>
            <w:noProof/>
          </w:rPr>
          <w:t>11.2</w:t>
        </w:r>
        <w:r>
          <w:rPr>
            <w:noProof/>
            <w:color w:val="auto"/>
            <w:kern w:val="2"/>
            <w:szCs w:val="24"/>
            <w:lang w:val="en-GB" w:eastAsia="en-GB"/>
            <w14:ligatures w14:val="standardContextual"/>
          </w:rPr>
          <w:tab/>
        </w:r>
        <w:r w:rsidRPr="00DB4DEE">
          <w:rPr>
            <w:rStyle w:val="Hyperlink"/>
            <w:noProof/>
          </w:rPr>
          <w:t>Structure of the IIF</w:t>
        </w:r>
        <w:r>
          <w:rPr>
            <w:noProof/>
            <w:webHidden/>
          </w:rPr>
          <w:tab/>
        </w:r>
        <w:r>
          <w:rPr>
            <w:noProof/>
            <w:webHidden/>
          </w:rPr>
          <w:fldChar w:fldCharType="begin"/>
        </w:r>
        <w:r>
          <w:rPr>
            <w:noProof/>
            <w:webHidden/>
          </w:rPr>
          <w:instrText xml:space="preserve"> PAGEREF _Toc223511446 \h </w:instrText>
        </w:r>
        <w:r>
          <w:rPr>
            <w:noProof/>
            <w:webHidden/>
          </w:rPr>
        </w:r>
        <w:r>
          <w:rPr>
            <w:noProof/>
            <w:webHidden/>
          </w:rPr>
          <w:fldChar w:fldCharType="separate"/>
        </w:r>
        <w:r w:rsidR="00CD5E1F">
          <w:rPr>
            <w:noProof/>
            <w:webHidden/>
          </w:rPr>
          <w:t>50</w:t>
        </w:r>
        <w:r>
          <w:rPr>
            <w:noProof/>
            <w:webHidden/>
          </w:rPr>
          <w:fldChar w:fldCharType="end"/>
        </w:r>
      </w:hyperlink>
    </w:p>
    <w:p w14:paraId="1638597F" w14:textId="4BEA3256" w:rsidR="00BF21BB" w:rsidRDefault="00BF21BB">
      <w:pPr>
        <w:pStyle w:val="TOC3"/>
        <w:rPr>
          <w:noProof/>
          <w:color w:val="auto"/>
          <w:kern w:val="2"/>
          <w:szCs w:val="24"/>
          <w:lang w:val="en-GB" w:eastAsia="en-GB"/>
          <w14:ligatures w14:val="standardContextual"/>
        </w:rPr>
      </w:pPr>
      <w:hyperlink w:anchor="_Toc223511447" w:history="1">
        <w:r w:rsidRPr="00DB4DEE">
          <w:rPr>
            <w:rStyle w:val="Hyperlink"/>
            <w:rFonts w:asciiTheme="majorHAnsi" w:hAnsiTheme="majorHAnsi" w:cstheme="majorHAnsi"/>
            <w:noProof/>
          </w:rPr>
          <w:t>11.3</w:t>
        </w:r>
        <w:r>
          <w:rPr>
            <w:noProof/>
            <w:color w:val="auto"/>
            <w:kern w:val="2"/>
            <w:szCs w:val="24"/>
            <w:lang w:val="en-GB" w:eastAsia="en-GB"/>
            <w14:ligatures w14:val="standardContextual"/>
          </w:rPr>
          <w:tab/>
        </w:r>
        <w:r w:rsidRPr="00DB4DEE">
          <w:rPr>
            <w:rStyle w:val="Hyperlink"/>
            <w:noProof/>
          </w:rPr>
          <w:t>Indicators</w:t>
        </w:r>
        <w:r>
          <w:rPr>
            <w:noProof/>
            <w:webHidden/>
          </w:rPr>
          <w:tab/>
        </w:r>
        <w:r>
          <w:rPr>
            <w:noProof/>
            <w:webHidden/>
          </w:rPr>
          <w:fldChar w:fldCharType="begin"/>
        </w:r>
        <w:r>
          <w:rPr>
            <w:noProof/>
            <w:webHidden/>
          </w:rPr>
          <w:instrText xml:space="preserve"> PAGEREF _Toc223511447 \h </w:instrText>
        </w:r>
        <w:r>
          <w:rPr>
            <w:noProof/>
            <w:webHidden/>
          </w:rPr>
        </w:r>
        <w:r>
          <w:rPr>
            <w:noProof/>
            <w:webHidden/>
          </w:rPr>
          <w:fldChar w:fldCharType="separate"/>
        </w:r>
        <w:r w:rsidR="00CD5E1F">
          <w:rPr>
            <w:noProof/>
            <w:webHidden/>
          </w:rPr>
          <w:t>50</w:t>
        </w:r>
        <w:r>
          <w:rPr>
            <w:noProof/>
            <w:webHidden/>
          </w:rPr>
          <w:fldChar w:fldCharType="end"/>
        </w:r>
      </w:hyperlink>
    </w:p>
    <w:p w14:paraId="0ACE1BDB" w14:textId="741F11F5" w:rsidR="00BF21BB" w:rsidRDefault="00BF21BB">
      <w:pPr>
        <w:pStyle w:val="TOC3"/>
        <w:rPr>
          <w:noProof/>
          <w:color w:val="auto"/>
          <w:kern w:val="2"/>
          <w:szCs w:val="24"/>
          <w:lang w:val="en-GB" w:eastAsia="en-GB"/>
          <w14:ligatures w14:val="standardContextual"/>
        </w:rPr>
      </w:pPr>
      <w:hyperlink w:anchor="_Toc223511448" w:history="1">
        <w:r w:rsidRPr="00DB4DEE">
          <w:rPr>
            <w:rStyle w:val="Hyperlink"/>
            <w:rFonts w:asciiTheme="majorHAnsi" w:hAnsiTheme="majorHAnsi" w:cstheme="majorHAnsi"/>
            <w:noProof/>
          </w:rPr>
          <w:t>11.4</w:t>
        </w:r>
        <w:r>
          <w:rPr>
            <w:noProof/>
            <w:color w:val="auto"/>
            <w:kern w:val="2"/>
            <w:szCs w:val="24"/>
            <w:lang w:val="en-GB" w:eastAsia="en-GB"/>
            <w14:ligatures w14:val="standardContextual"/>
          </w:rPr>
          <w:tab/>
        </w:r>
        <w:r w:rsidRPr="00DB4DEE">
          <w:rPr>
            <w:rStyle w:val="Hyperlink"/>
            <w:noProof/>
          </w:rPr>
          <w:t>Indicator structure and performance calculation</w:t>
        </w:r>
        <w:r>
          <w:rPr>
            <w:noProof/>
            <w:webHidden/>
          </w:rPr>
          <w:tab/>
        </w:r>
        <w:r>
          <w:rPr>
            <w:noProof/>
            <w:webHidden/>
          </w:rPr>
          <w:fldChar w:fldCharType="begin"/>
        </w:r>
        <w:r>
          <w:rPr>
            <w:noProof/>
            <w:webHidden/>
          </w:rPr>
          <w:instrText xml:space="preserve"> PAGEREF _Toc223511448 \h </w:instrText>
        </w:r>
        <w:r>
          <w:rPr>
            <w:noProof/>
            <w:webHidden/>
          </w:rPr>
        </w:r>
        <w:r>
          <w:rPr>
            <w:noProof/>
            <w:webHidden/>
          </w:rPr>
          <w:fldChar w:fldCharType="separate"/>
        </w:r>
        <w:r w:rsidR="00CD5E1F">
          <w:rPr>
            <w:noProof/>
            <w:webHidden/>
          </w:rPr>
          <w:t>51</w:t>
        </w:r>
        <w:r>
          <w:rPr>
            <w:noProof/>
            <w:webHidden/>
          </w:rPr>
          <w:fldChar w:fldCharType="end"/>
        </w:r>
      </w:hyperlink>
    </w:p>
    <w:p w14:paraId="200F554F" w14:textId="69F480DD" w:rsidR="00BF21BB" w:rsidRDefault="00BF21BB">
      <w:pPr>
        <w:pStyle w:val="TOC3"/>
        <w:rPr>
          <w:noProof/>
          <w:color w:val="auto"/>
          <w:kern w:val="2"/>
          <w:szCs w:val="24"/>
          <w:lang w:val="en-GB" w:eastAsia="en-GB"/>
          <w14:ligatures w14:val="standardContextual"/>
        </w:rPr>
      </w:pPr>
      <w:hyperlink w:anchor="_Toc223511449" w:history="1">
        <w:r w:rsidRPr="00DB4DEE">
          <w:rPr>
            <w:rStyle w:val="Hyperlink"/>
            <w:rFonts w:asciiTheme="majorHAnsi" w:eastAsia="MS Mincho" w:hAnsiTheme="majorHAnsi" w:cstheme="majorHAnsi"/>
            <w:noProof/>
          </w:rPr>
          <w:t>11.5</w:t>
        </w:r>
        <w:r>
          <w:rPr>
            <w:noProof/>
            <w:color w:val="auto"/>
            <w:kern w:val="2"/>
            <w:szCs w:val="24"/>
            <w:lang w:val="en-GB" w:eastAsia="en-GB"/>
            <w14:ligatures w14:val="standardContextual"/>
          </w:rPr>
          <w:tab/>
        </w:r>
        <w:r w:rsidRPr="00DB4DEE">
          <w:rPr>
            <w:rStyle w:val="Hyperlink"/>
            <w:noProof/>
          </w:rPr>
          <w:t xml:space="preserve">Exclusions and Exceptions (Personalised Care </w:t>
        </w:r>
        <w:r w:rsidRPr="00DB4DEE">
          <w:rPr>
            <w:rStyle w:val="Hyperlink"/>
            <w:rFonts w:asciiTheme="majorHAnsi" w:hAnsiTheme="majorHAnsi" w:cstheme="majorHAnsi"/>
            <w:bCs/>
            <w:noProof/>
          </w:rPr>
          <w:t>Adjustments)</w:t>
        </w:r>
        <w:r>
          <w:rPr>
            <w:noProof/>
            <w:webHidden/>
          </w:rPr>
          <w:tab/>
        </w:r>
        <w:r>
          <w:rPr>
            <w:noProof/>
            <w:webHidden/>
          </w:rPr>
          <w:fldChar w:fldCharType="begin"/>
        </w:r>
        <w:r>
          <w:rPr>
            <w:noProof/>
            <w:webHidden/>
          </w:rPr>
          <w:instrText xml:space="preserve"> PAGEREF _Toc223511449 \h </w:instrText>
        </w:r>
        <w:r>
          <w:rPr>
            <w:noProof/>
            <w:webHidden/>
          </w:rPr>
        </w:r>
        <w:r>
          <w:rPr>
            <w:noProof/>
            <w:webHidden/>
          </w:rPr>
          <w:fldChar w:fldCharType="separate"/>
        </w:r>
        <w:r w:rsidR="00CD5E1F">
          <w:rPr>
            <w:noProof/>
            <w:webHidden/>
          </w:rPr>
          <w:t>51</w:t>
        </w:r>
        <w:r>
          <w:rPr>
            <w:noProof/>
            <w:webHidden/>
          </w:rPr>
          <w:fldChar w:fldCharType="end"/>
        </w:r>
      </w:hyperlink>
    </w:p>
    <w:p w14:paraId="07488CBF" w14:textId="79D9DFAB" w:rsidR="00BF21BB" w:rsidRDefault="00BF21BB">
      <w:pPr>
        <w:pStyle w:val="TOC3"/>
        <w:rPr>
          <w:noProof/>
          <w:color w:val="auto"/>
          <w:kern w:val="2"/>
          <w:szCs w:val="24"/>
          <w:lang w:val="en-GB" w:eastAsia="en-GB"/>
          <w14:ligatures w14:val="standardContextual"/>
        </w:rPr>
      </w:pPr>
      <w:hyperlink w:anchor="_Toc223511450" w:history="1">
        <w:r w:rsidRPr="00DB4DEE">
          <w:rPr>
            <w:rStyle w:val="Hyperlink"/>
            <w:rFonts w:asciiTheme="majorHAnsi" w:hAnsiTheme="majorHAnsi" w:cstheme="majorHAnsi"/>
            <w:noProof/>
          </w:rPr>
          <w:t>11.6</w:t>
        </w:r>
        <w:r>
          <w:rPr>
            <w:noProof/>
            <w:color w:val="auto"/>
            <w:kern w:val="2"/>
            <w:szCs w:val="24"/>
            <w:lang w:val="en-GB" w:eastAsia="en-GB"/>
            <w14:ligatures w14:val="standardContextual"/>
          </w:rPr>
          <w:tab/>
        </w:r>
        <w:r w:rsidRPr="00DB4DEE">
          <w:rPr>
            <w:rStyle w:val="Hyperlink"/>
            <w:noProof/>
          </w:rPr>
          <w:t>Achievement points</w:t>
        </w:r>
        <w:r>
          <w:rPr>
            <w:noProof/>
            <w:webHidden/>
          </w:rPr>
          <w:tab/>
        </w:r>
        <w:r>
          <w:rPr>
            <w:noProof/>
            <w:webHidden/>
          </w:rPr>
          <w:fldChar w:fldCharType="begin"/>
        </w:r>
        <w:r>
          <w:rPr>
            <w:noProof/>
            <w:webHidden/>
          </w:rPr>
          <w:instrText xml:space="preserve"> PAGEREF _Toc223511450 \h </w:instrText>
        </w:r>
        <w:r>
          <w:rPr>
            <w:noProof/>
            <w:webHidden/>
          </w:rPr>
        </w:r>
        <w:r>
          <w:rPr>
            <w:noProof/>
            <w:webHidden/>
          </w:rPr>
          <w:fldChar w:fldCharType="separate"/>
        </w:r>
        <w:r w:rsidR="00CD5E1F">
          <w:rPr>
            <w:noProof/>
            <w:webHidden/>
          </w:rPr>
          <w:t>52</w:t>
        </w:r>
        <w:r>
          <w:rPr>
            <w:noProof/>
            <w:webHidden/>
          </w:rPr>
          <w:fldChar w:fldCharType="end"/>
        </w:r>
      </w:hyperlink>
    </w:p>
    <w:p w14:paraId="054C3516" w14:textId="7C366021" w:rsidR="00BF21BB" w:rsidRDefault="00BF21BB">
      <w:pPr>
        <w:pStyle w:val="TOC3"/>
        <w:rPr>
          <w:noProof/>
          <w:color w:val="auto"/>
          <w:kern w:val="2"/>
          <w:szCs w:val="24"/>
          <w:lang w:val="en-GB" w:eastAsia="en-GB"/>
          <w14:ligatures w14:val="standardContextual"/>
        </w:rPr>
      </w:pPr>
      <w:hyperlink w:anchor="_Toc223511451" w:history="1">
        <w:r w:rsidRPr="00DB4DEE">
          <w:rPr>
            <w:rStyle w:val="Hyperlink"/>
            <w:rFonts w:asciiTheme="majorHAnsi" w:hAnsiTheme="majorHAnsi" w:cstheme="majorHAnsi"/>
            <w:noProof/>
          </w:rPr>
          <w:t>11.7</w:t>
        </w:r>
        <w:r>
          <w:rPr>
            <w:noProof/>
            <w:color w:val="auto"/>
            <w:kern w:val="2"/>
            <w:szCs w:val="24"/>
            <w:lang w:val="en-GB" w:eastAsia="en-GB"/>
            <w14:ligatures w14:val="standardContextual"/>
          </w:rPr>
          <w:tab/>
        </w:r>
        <w:r w:rsidRPr="00DB4DEE">
          <w:rPr>
            <w:rStyle w:val="Hyperlink"/>
            <w:noProof/>
          </w:rPr>
          <w:t>Achievement payments</w:t>
        </w:r>
        <w:r>
          <w:rPr>
            <w:noProof/>
            <w:webHidden/>
          </w:rPr>
          <w:tab/>
        </w:r>
        <w:r>
          <w:rPr>
            <w:noProof/>
            <w:webHidden/>
          </w:rPr>
          <w:fldChar w:fldCharType="begin"/>
        </w:r>
        <w:r>
          <w:rPr>
            <w:noProof/>
            <w:webHidden/>
          </w:rPr>
          <w:instrText xml:space="preserve"> PAGEREF _Toc223511451 \h </w:instrText>
        </w:r>
        <w:r>
          <w:rPr>
            <w:noProof/>
            <w:webHidden/>
          </w:rPr>
        </w:r>
        <w:r>
          <w:rPr>
            <w:noProof/>
            <w:webHidden/>
          </w:rPr>
          <w:fldChar w:fldCharType="separate"/>
        </w:r>
        <w:r w:rsidR="00CD5E1F">
          <w:rPr>
            <w:noProof/>
            <w:webHidden/>
          </w:rPr>
          <w:t>52</w:t>
        </w:r>
        <w:r>
          <w:rPr>
            <w:noProof/>
            <w:webHidden/>
          </w:rPr>
          <w:fldChar w:fldCharType="end"/>
        </w:r>
      </w:hyperlink>
    </w:p>
    <w:p w14:paraId="579D3B39" w14:textId="4BB5125F" w:rsidR="00BF21BB" w:rsidRDefault="00BF21BB">
      <w:pPr>
        <w:pStyle w:val="TOC3"/>
        <w:rPr>
          <w:noProof/>
          <w:color w:val="auto"/>
          <w:kern w:val="2"/>
          <w:szCs w:val="24"/>
          <w:lang w:val="en-GB" w:eastAsia="en-GB"/>
          <w14:ligatures w14:val="standardContextual"/>
        </w:rPr>
      </w:pPr>
      <w:hyperlink w:anchor="_Toc223511452" w:history="1">
        <w:r w:rsidRPr="00DB4DEE">
          <w:rPr>
            <w:rStyle w:val="Hyperlink"/>
            <w:rFonts w:asciiTheme="majorHAnsi" w:hAnsiTheme="majorHAnsi" w:cstheme="majorHAnsi"/>
            <w:noProof/>
          </w:rPr>
          <w:t>11.8</w:t>
        </w:r>
        <w:r>
          <w:rPr>
            <w:noProof/>
            <w:color w:val="auto"/>
            <w:kern w:val="2"/>
            <w:szCs w:val="24"/>
            <w:lang w:val="en-GB" w:eastAsia="en-GB"/>
            <w14:ligatures w14:val="standardContextual"/>
          </w:rPr>
          <w:tab/>
        </w:r>
        <w:r w:rsidRPr="00DB4DEE">
          <w:rPr>
            <w:rStyle w:val="Hyperlink"/>
            <w:noProof/>
          </w:rPr>
          <w:t>Monitoring IIF Indicator performance</w:t>
        </w:r>
        <w:r>
          <w:rPr>
            <w:noProof/>
            <w:webHidden/>
          </w:rPr>
          <w:tab/>
        </w:r>
        <w:r>
          <w:rPr>
            <w:noProof/>
            <w:webHidden/>
          </w:rPr>
          <w:fldChar w:fldCharType="begin"/>
        </w:r>
        <w:r>
          <w:rPr>
            <w:noProof/>
            <w:webHidden/>
          </w:rPr>
          <w:instrText xml:space="preserve"> PAGEREF _Toc223511452 \h </w:instrText>
        </w:r>
        <w:r>
          <w:rPr>
            <w:noProof/>
            <w:webHidden/>
          </w:rPr>
        </w:r>
        <w:r>
          <w:rPr>
            <w:noProof/>
            <w:webHidden/>
          </w:rPr>
          <w:fldChar w:fldCharType="separate"/>
        </w:r>
        <w:r w:rsidR="00CD5E1F">
          <w:rPr>
            <w:noProof/>
            <w:webHidden/>
          </w:rPr>
          <w:t>53</w:t>
        </w:r>
        <w:r>
          <w:rPr>
            <w:noProof/>
            <w:webHidden/>
          </w:rPr>
          <w:fldChar w:fldCharType="end"/>
        </w:r>
      </w:hyperlink>
    </w:p>
    <w:p w14:paraId="45F5D652" w14:textId="2B5885FC" w:rsidR="00BF21BB" w:rsidRDefault="00BF21BB">
      <w:pPr>
        <w:pStyle w:val="TOC3"/>
        <w:rPr>
          <w:noProof/>
          <w:color w:val="auto"/>
          <w:kern w:val="2"/>
          <w:szCs w:val="24"/>
          <w:lang w:val="en-GB" w:eastAsia="en-GB"/>
          <w14:ligatures w14:val="standardContextual"/>
        </w:rPr>
      </w:pPr>
      <w:hyperlink w:anchor="_Toc223511453" w:history="1">
        <w:r w:rsidRPr="00DB4DEE">
          <w:rPr>
            <w:rStyle w:val="Hyperlink"/>
            <w:rFonts w:asciiTheme="majorHAnsi" w:hAnsiTheme="majorHAnsi" w:cstheme="majorHAnsi"/>
            <w:noProof/>
          </w:rPr>
          <w:t>11.9</w:t>
        </w:r>
        <w:r>
          <w:rPr>
            <w:noProof/>
            <w:color w:val="auto"/>
            <w:kern w:val="2"/>
            <w:szCs w:val="24"/>
            <w:lang w:val="en-GB" w:eastAsia="en-GB"/>
            <w14:ligatures w14:val="standardContextual"/>
          </w:rPr>
          <w:tab/>
        </w:r>
        <w:r w:rsidRPr="00DB4DEE">
          <w:rPr>
            <w:rStyle w:val="Hyperlink"/>
            <w:noProof/>
          </w:rPr>
          <w:t>Tackling health inequalities area</w:t>
        </w:r>
        <w:r>
          <w:rPr>
            <w:noProof/>
            <w:webHidden/>
          </w:rPr>
          <w:tab/>
        </w:r>
        <w:r>
          <w:rPr>
            <w:noProof/>
            <w:webHidden/>
          </w:rPr>
          <w:fldChar w:fldCharType="begin"/>
        </w:r>
        <w:r>
          <w:rPr>
            <w:noProof/>
            <w:webHidden/>
          </w:rPr>
          <w:instrText xml:space="preserve"> PAGEREF _Toc223511453 \h </w:instrText>
        </w:r>
        <w:r>
          <w:rPr>
            <w:noProof/>
            <w:webHidden/>
          </w:rPr>
        </w:r>
        <w:r>
          <w:rPr>
            <w:noProof/>
            <w:webHidden/>
          </w:rPr>
          <w:fldChar w:fldCharType="separate"/>
        </w:r>
        <w:r w:rsidR="00CD5E1F">
          <w:rPr>
            <w:noProof/>
            <w:webHidden/>
          </w:rPr>
          <w:t>53</w:t>
        </w:r>
        <w:r>
          <w:rPr>
            <w:noProof/>
            <w:webHidden/>
          </w:rPr>
          <w:fldChar w:fldCharType="end"/>
        </w:r>
      </w:hyperlink>
    </w:p>
    <w:p w14:paraId="032BCEC0" w14:textId="63D4233D" w:rsidR="00BF21BB" w:rsidRDefault="00BF21BB">
      <w:pPr>
        <w:pStyle w:val="TOC3"/>
        <w:rPr>
          <w:noProof/>
          <w:color w:val="auto"/>
          <w:kern w:val="2"/>
          <w:szCs w:val="24"/>
          <w:lang w:val="en-GB" w:eastAsia="en-GB"/>
          <w14:ligatures w14:val="standardContextual"/>
        </w:rPr>
      </w:pPr>
      <w:hyperlink w:anchor="_Toc223511454" w:history="1">
        <w:r w:rsidRPr="00DB4DEE">
          <w:rPr>
            <w:rStyle w:val="Hyperlink"/>
            <w:rFonts w:asciiTheme="majorHAnsi" w:hAnsiTheme="majorHAnsi" w:cstheme="majorHAnsi"/>
            <w:noProof/>
          </w:rPr>
          <w:t>11.10</w:t>
        </w:r>
        <w:r>
          <w:rPr>
            <w:noProof/>
            <w:color w:val="auto"/>
            <w:kern w:val="2"/>
            <w:szCs w:val="24"/>
            <w:lang w:val="en-GB" w:eastAsia="en-GB"/>
            <w14:ligatures w14:val="standardContextual"/>
          </w:rPr>
          <w:tab/>
        </w:r>
        <w:r w:rsidRPr="00DB4DEE">
          <w:rPr>
            <w:rStyle w:val="Hyperlink"/>
            <w:noProof/>
          </w:rPr>
          <w:t>Cancer area</w:t>
        </w:r>
        <w:r>
          <w:rPr>
            <w:noProof/>
            <w:webHidden/>
          </w:rPr>
          <w:tab/>
        </w:r>
        <w:r>
          <w:rPr>
            <w:noProof/>
            <w:webHidden/>
          </w:rPr>
          <w:fldChar w:fldCharType="begin"/>
        </w:r>
        <w:r>
          <w:rPr>
            <w:noProof/>
            <w:webHidden/>
          </w:rPr>
          <w:instrText xml:space="preserve"> PAGEREF _Toc223511454 \h </w:instrText>
        </w:r>
        <w:r>
          <w:rPr>
            <w:noProof/>
            <w:webHidden/>
          </w:rPr>
        </w:r>
        <w:r>
          <w:rPr>
            <w:noProof/>
            <w:webHidden/>
          </w:rPr>
          <w:fldChar w:fldCharType="separate"/>
        </w:r>
        <w:r w:rsidR="00CD5E1F">
          <w:rPr>
            <w:noProof/>
            <w:webHidden/>
          </w:rPr>
          <w:t>58</w:t>
        </w:r>
        <w:r>
          <w:rPr>
            <w:noProof/>
            <w:webHidden/>
          </w:rPr>
          <w:fldChar w:fldCharType="end"/>
        </w:r>
      </w:hyperlink>
    </w:p>
    <w:p w14:paraId="42A74FC0" w14:textId="145FF39C" w:rsidR="00BF21BB" w:rsidRDefault="00BF21BB">
      <w:pPr>
        <w:pStyle w:val="TOC2"/>
        <w:rPr>
          <w:rFonts w:asciiTheme="minorHAnsi" w:eastAsiaTheme="minorEastAsia" w:hAnsiTheme="minorHAnsi" w:cstheme="minorBidi"/>
          <w:color w:val="auto"/>
          <w:kern w:val="2"/>
          <w:sz w:val="24"/>
          <w:lang w:eastAsia="en-GB"/>
          <w14:ligatures w14:val="standardContextual"/>
        </w:rPr>
      </w:pPr>
      <w:hyperlink w:anchor="_Toc223511455" w:history="1">
        <w:r w:rsidRPr="00DB4DEE">
          <w:rPr>
            <w:rStyle w:val="Hyperlink"/>
          </w:rPr>
          <w:t>12. Annex A: Prevalence adjustment and list size adjustment</w:t>
        </w:r>
        <w:r>
          <w:rPr>
            <w:webHidden/>
          </w:rPr>
          <w:tab/>
        </w:r>
        <w:r>
          <w:rPr>
            <w:webHidden/>
          </w:rPr>
          <w:fldChar w:fldCharType="begin"/>
        </w:r>
        <w:r>
          <w:rPr>
            <w:webHidden/>
          </w:rPr>
          <w:instrText xml:space="preserve"> PAGEREF _Toc223511455 \h </w:instrText>
        </w:r>
        <w:r>
          <w:rPr>
            <w:webHidden/>
          </w:rPr>
        </w:r>
        <w:r>
          <w:rPr>
            <w:webHidden/>
          </w:rPr>
          <w:fldChar w:fldCharType="separate"/>
        </w:r>
        <w:r w:rsidR="00CD5E1F">
          <w:rPr>
            <w:webHidden/>
          </w:rPr>
          <w:t>61</w:t>
        </w:r>
        <w:r>
          <w:rPr>
            <w:webHidden/>
          </w:rPr>
          <w:fldChar w:fldCharType="end"/>
        </w:r>
      </w:hyperlink>
    </w:p>
    <w:p w14:paraId="1048F0EB" w14:textId="27AB54D7" w:rsidR="0070387A" w:rsidRDefault="0070387A">
      <w:pPr>
        <w:spacing w:after="0" w:line="240" w:lineRule="auto"/>
        <w:textboxTightWrap w:val="none"/>
      </w:pPr>
      <w:r>
        <w:fldChar w:fldCharType="end"/>
      </w:r>
    </w:p>
    <w:p w14:paraId="4BF39AED" w14:textId="77777777" w:rsidR="0070387A" w:rsidRDefault="0070387A">
      <w:pPr>
        <w:spacing w:after="0" w:line="240" w:lineRule="auto"/>
        <w:textboxTightWrap w:val="none"/>
      </w:pPr>
    </w:p>
    <w:p w14:paraId="6D6712A9" w14:textId="594F22B7" w:rsidR="0070387A" w:rsidRDefault="0070387A">
      <w:pPr>
        <w:spacing w:after="0" w:line="240" w:lineRule="auto"/>
        <w:textboxTightWrap w:val="none"/>
      </w:pPr>
      <w:r>
        <w:br w:type="page"/>
      </w:r>
    </w:p>
    <w:p w14:paraId="2C10E9D0" w14:textId="77777777" w:rsidR="00854200" w:rsidRPr="00F126B3" w:rsidRDefault="00854200" w:rsidP="00E36FE2">
      <w:pPr>
        <w:spacing w:line="276" w:lineRule="auto"/>
      </w:pPr>
    </w:p>
    <w:p w14:paraId="404BAE3F" w14:textId="072E500F" w:rsidR="008F2758" w:rsidRPr="0036060F" w:rsidRDefault="00084AFF" w:rsidP="00084AFF">
      <w:pPr>
        <w:pStyle w:val="h2numbered"/>
      </w:pPr>
      <w:bookmarkStart w:id="3" w:name="_Ref34823649"/>
      <w:bookmarkStart w:id="4" w:name="_Toc36557244"/>
      <w:bookmarkStart w:id="5" w:name="_Toc150155971"/>
      <w:r>
        <w:tab/>
      </w:r>
      <w:bookmarkStart w:id="6" w:name="_Toc223511114"/>
      <w:bookmarkStart w:id="7" w:name="_Toc223511404"/>
      <w:r w:rsidR="008F2758" w:rsidRPr="00084AFF">
        <w:t>Introduction</w:t>
      </w:r>
      <w:bookmarkEnd w:id="3"/>
      <w:bookmarkEnd w:id="4"/>
      <w:bookmarkEnd w:id="5"/>
      <w:bookmarkEnd w:id="6"/>
      <w:bookmarkEnd w:id="7"/>
    </w:p>
    <w:p w14:paraId="6B59312F" w14:textId="30625705" w:rsidR="008F2758" w:rsidRPr="00365F7F" w:rsidRDefault="008F2758" w:rsidP="00084AFF">
      <w:pPr>
        <w:pStyle w:val="Style5"/>
      </w:pPr>
      <w:r w:rsidRPr="00365F7F">
        <w:t>The Network Contract Directed Enhanced Service (DES) was introduced during 2019. For 202</w:t>
      </w:r>
      <w:r w:rsidR="00195768" w:rsidRPr="00853809">
        <w:rPr>
          <w:highlight w:val="yellow"/>
        </w:rPr>
        <w:t>6</w:t>
      </w:r>
      <w:r w:rsidRPr="00365F7F">
        <w:t>/2</w:t>
      </w:r>
      <w:r w:rsidR="00195768" w:rsidRPr="00853809">
        <w:rPr>
          <w:highlight w:val="yellow"/>
        </w:rPr>
        <w:t>7</w:t>
      </w:r>
      <w:r w:rsidRPr="00365F7F">
        <w:t xml:space="preserve">, the </w:t>
      </w:r>
      <w:hyperlink r:id="rId13" w:history="1">
        <w:r w:rsidRPr="00365F7F">
          <w:rPr>
            <w:rStyle w:val="Hyperlink"/>
            <w:rFonts w:ascii="Arial" w:hAnsi="Arial"/>
          </w:rPr>
          <w:t>Network Contract DES Directions</w:t>
        </w:r>
      </w:hyperlink>
      <w:r w:rsidRPr="00365F7F">
        <w:t xml:space="preserve"> come</w:t>
      </w:r>
      <w:r w:rsidR="00C90D8E" w:rsidRPr="00365F7F">
        <w:t>s</w:t>
      </w:r>
      <w:r w:rsidRPr="00365F7F">
        <w:t xml:space="preserve"> into force on 1 April 202</w:t>
      </w:r>
      <w:r w:rsidR="00195768" w:rsidRPr="00853809">
        <w:rPr>
          <w:highlight w:val="yellow"/>
        </w:rPr>
        <w:t>6</w:t>
      </w:r>
      <w:r w:rsidRPr="00365F7F">
        <w:t xml:space="preserve"> and, following participation in the DES, the requirements on practices and Primary </w:t>
      </w:r>
      <w:r w:rsidRPr="00084AFF">
        <w:t>Care</w:t>
      </w:r>
      <w:r w:rsidRPr="00365F7F">
        <w:t xml:space="preserve"> Networks (PCNs), as outlined in the Network Contract DES specification, will apply from that date.</w:t>
      </w:r>
    </w:p>
    <w:p w14:paraId="13AA81E4" w14:textId="3B7200CA" w:rsidR="00D44717" w:rsidRPr="00365F7F" w:rsidRDefault="00D44717" w:rsidP="00084AFF">
      <w:pPr>
        <w:pStyle w:val="Style5"/>
      </w:pPr>
      <w:r w:rsidRPr="00365F7F">
        <w:t>NHS England has announced a number of changes to the Network Contract DES for 202</w:t>
      </w:r>
      <w:r w:rsidR="00195768" w:rsidRPr="008D7393">
        <w:rPr>
          <w:highlight w:val="yellow"/>
        </w:rPr>
        <w:t>6</w:t>
      </w:r>
      <w:r w:rsidRPr="00365F7F">
        <w:t>/2</w:t>
      </w:r>
      <w:r w:rsidR="00195768" w:rsidRPr="008D7393">
        <w:rPr>
          <w:highlight w:val="yellow"/>
        </w:rPr>
        <w:t>7</w:t>
      </w:r>
      <w:r w:rsidRPr="00365F7F">
        <w:t>, as set out in Changes to the GP Contract in 202</w:t>
      </w:r>
      <w:r w:rsidR="00195768" w:rsidRPr="008D7393">
        <w:rPr>
          <w:highlight w:val="yellow"/>
        </w:rPr>
        <w:t>6</w:t>
      </w:r>
      <w:r w:rsidRPr="00365F7F">
        <w:t>/2</w:t>
      </w:r>
      <w:r w:rsidR="00195768" w:rsidRPr="008D7393">
        <w:rPr>
          <w:highlight w:val="yellow"/>
        </w:rPr>
        <w:t>7</w:t>
      </w:r>
      <w:r w:rsidRPr="00365F7F">
        <w:t>. The Network Contract DES and this guidance reflect those changes.</w:t>
      </w:r>
    </w:p>
    <w:p w14:paraId="0D612AA5" w14:textId="75F6595C" w:rsidR="00D44717" w:rsidRPr="00365F7F" w:rsidRDefault="008F2758" w:rsidP="00084AFF">
      <w:pPr>
        <w:pStyle w:val="Style5"/>
      </w:pPr>
      <w:r w:rsidRPr="00365F7F">
        <w:t xml:space="preserve">This </w:t>
      </w:r>
      <w:r w:rsidR="00DF197C" w:rsidRPr="00365F7F">
        <w:t>‘</w:t>
      </w:r>
      <w:r w:rsidR="00494404" w:rsidRPr="00365F7F">
        <w:t xml:space="preserve">Part B </w:t>
      </w:r>
      <w:r w:rsidRPr="00365F7F">
        <w:t>guidance</w:t>
      </w:r>
      <w:r w:rsidR="00DF197C" w:rsidRPr="00365F7F">
        <w:t>’</w:t>
      </w:r>
      <w:r w:rsidRPr="00365F7F">
        <w:t xml:space="preserve"> provides supporting information for commissioners and practices</w:t>
      </w:r>
      <w:r w:rsidR="00494404" w:rsidRPr="00365F7F">
        <w:t xml:space="preserve"> on non-clinical DES delivery requirements</w:t>
      </w:r>
      <w:r w:rsidRPr="00365F7F">
        <w:t xml:space="preserve">. </w:t>
      </w:r>
      <w:r w:rsidR="00EA6C03" w:rsidRPr="00365F7F">
        <w:t>There is also</w:t>
      </w:r>
      <w:r w:rsidR="00D44717" w:rsidRPr="00365F7F">
        <w:t xml:space="preserve"> 'P</w:t>
      </w:r>
      <w:r w:rsidR="00C84EB9" w:rsidRPr="00365F7F">
        <w:t>art A guidance</w:t>
      </w:r>
      <w:r w:rsidR="00D44717" w:rsidRPr="00365F7F">
        <w:t>’</w:t>
      </w:r>
      <w:r w:rsidR="00EA6C03" w:rsidRPr="00365F7F">
        <w:t xml:space="preserve"> which</w:t>
      </w:r>
      <w:r w:rsidR="00C84EB9" w:rsidRPr="00365F7F">
        <w:t xml:space="preserve"> outlines good practice</w:t>
      </w:r>
      <w:r w:rsidR="00D44717" w:rsidRPr="00365F7F">
        <w:t xml:space="preserve"> for delivery of the clinical service requirements and can be found here. </w:t>
      </w:r>
    </w:p>
    <w:p w14:paraId="1975AD4D" w14:textId="43332328" w:rsidR="008F2758" w:rsidRPr="00365F7F" w:rsidRDefault="00D44717" w:rsidP="00084AFF">
      <w:pPr>
        <w:pStyle w:val="Style5"/>
      </w:pPr>
      <w:r w:rsidRPr="00365F7F">
        <w:t xml:space="preserve">This guidance </w:t>
      </w:r>
      <w:r w:rsidR="008F2758" w:rsidRPr="00365F7F">
        <w:t>does not take precedence over the Network Contract DES Specification.</w:t>
      </w:r>
      <w:r w:rsidR="00E81BE4" w:rsidRPr="00365F7F">
        <w:t xml:space="preserve">  </w:t>
      </w:r>
    </w:p>
    <w:p w14:paraId="0D2C32ED" w14:textId="32BEBC8B" w:rsidR="00990C7C" w:rsidRPr="00365F7F" w:rsidRDefault="00990C7C" w:rsidP="00084AFF">
      <w:pPr>
        <w:pStyle w:val="Style5"/>
      </w:pPr>
      <w:r w:rsidRPr="00365F7F">
        <w:t xml:space="preserve">This part B guidance uses defined terms indicated by an initial capital letter. The definitions of these terms are as set out in the Network Contract DES unless a definition is expressly stated </w:t>
      </w:r>
      <w:r w:rsidR="005F4821" w:rsidRPr="00365F7F">
        <w:t>within</w:t>
      </w:r>
      <w:r w:rsidRPr="00365F7F">
        <w:t xml:space="preserve"> this guidance.</w:t>
      </w:r>
    </w:p>
    <w:p w14:paraId="4CE386DC" w14:textId="7801E8BC" w:rsidR="008F2758" w:rsidRPr="001F3AE9" w:rsidRDefault="00084AFF" w:rsidP="00084AFF">
      <w:pPr>
        <w:pStyle w:val="h2numbered"/>
      </w:pPr>
      <w:bookmarkStart w:id="8" w:name="_Ref35525503"/>
      <w:bookmarkStart w:id="9" w:name="_Toc36557245"/>
      <w:bookmarkStart w:id="10" w:name="_Toc150155972"/>
      <w:r>
        <w:tab/>
      </w:r>
      <w:bookmarkStart w:id="11" w:name="_Toc223511115"/>
      <w:bookmarkStart w:id="12" w:name="_Toc223511405"/>
      <w:r w:rsidR="00F44A82">
        <w:t>P</w:t>
      </w:r>
      <w:r w:rsidR="008F2758" w:rsidRPr="001F3AE9">
        <w:t>articipation in the Network Contract DES</w:t>
      </w:r>
      <w:bookmarkEnd w:id="8"/>
      <w:bookmarkEnd w:id="9"/>
      <w:bookmarkEnd w:id="10"/>
      <w:bookmarkEnd w:id="11"/>
      <w:bookmarkEnd w:id="12"/>
      <w:r w:rsidR="008F2758" w:rsidRPr="001F3AE9">
        <w:t xml:space="preserve"> </w:t>
      </w:r>
    </w:p>
    <w:p w14:paraId="1B6CC1BF" w14:textId="77777777" w:rsidR="008F2758" w:rsidRPr="00365F7F" w:rsidRDefault="008F2758" w:rsidP="00084AFF">
      <w:pPr>
        <w:pStyle w:val="h3numbered"/>
      </w:pPr>
      <w:bookmarkStart w:id="13" w:name="_Ref36028833"/>
      <w:bookmarkStart w:id="14" w:name="_Toc36557246"/>
      <w:bookmarkStart w:id="15" w:name="_Toc150155973"/>
      <w:bookmarkStart w:id="16" w:name="_Toc223511116"/>
      <w:bookmarkStart w:id="17" w:name="_Toc223511406"/>
      <w:r w:rsidRPr="00084AFF">
        <w:t>Participation</w:t>
      </w:r>
      <w:r w:rsidRPr="00365F7F">
        <w:t xml:space="preserve"> process</w:t>
      </w:r>
      <w:bookmarkEnd w:id="13"/>
      <w:bookmarkEnd w:id="14"/>
      <w:bookmarkEnd w:id="15"/>
      <w:bookmarkEnd w:id="16"/>
      <w:bookmarkEnd w:id="17"/>
    </w:p>
    <w:p w14:paraId="6E7694DC" w14:textId="2143EC00" w:rsidR="008F2758" w:rsidRPr="00365F7F" w:rsidRDefault="008F2758" w:rsidP="00084AFF">
      <w:pPr>
        <w:pStyle w:val="h4numbered"/>
      </w:pPr>
      <w:r w:rsidRPr="00365F7F">
        <w:t xml:space="preserve">From 1 April </w:t>
      </w:r>
      <w:r w:rsidRPr="00365F7F">
        <w:rPr>
          <w:rFonts w:hint="eastAsia"/>
        </w:rPr>
        <w:t>202</w:t>
      </w:r>
      <w:r w:rsidR="00195768" w:rsidRPr="00AE0316">
        <w:rPr>
          <w:bCs/>
          <w:highlight w:val="yellow"/>
        </w:rPr>
        <w:t>6</w:t>
      </w:r>
      <w:r w:rsidRPr="00365F7F">
        <w:rPr>
          <w:rFonts w:hint="eastAsia"/>
        </w:rPr>
        <w:t xml:space="preserve"> onwards</w:t>
      </w:r>
      <w:r w:rsidRPr="00365F7F">
        <w:t xml:space="preserve">, all Core Network Practices of Previously Approved PCNs will automatically participate in the </w:t>
      </w:r>
      <w:r w:rsidR="00384011">
        <w:rPr>
          <w:rFonts w:hint="eastAsia"/>
        </w:rPr>
        <w:t>202</w:t>
      </w:r>
      <w:r w:rsidR="00384011" w:rsidRPr="00AE0316">
        <w:rPr>
          <w:rFonts w:hint="eastAsia"/>
          <w:highlight w:val="yellow"/>
        </w:rPr>
        <w:t>6</w:t>
      </w:r>
      <w:r w:rsidR="00384011">
        <w:rPr>
          <w:rFonts w:hint="eastAsia"/>
        </w:rPr>
        <w:t>/2</w:t>
      </w:r>
      <w:r w:rsidR="00384011" w:rsidRPr="00AE0316">
        <w:rPr>
          <w:rFonts w:hint="eastAsia"/>
          <w:highlight w:val="yellow"/>
        </w:rPr>
        <w:t>7</w:t>
      </w:r>
      <w:r w:rsidRPr="00365F7F">
        <w:t xml:space="preserve"> and any subsequent year’s Network Contract DES, and any in-year variations, unless a Core Network Practice chooses to opt out of participation. An opt-out and opt-in window will apply from the date of publication by NHS England of the Network Contract DES Specification or any Network Contact DES Variation. For the </w:t>
      </w:r>
      <w:r w:rsidR="00384011">
        <w:rPr>
          <w:rFonts w:hint="eastAsia"/>
        </w:rPr>
        <w:t>202</w:t>
      </w:r>
      <w:r w:rsidR="00384011" w:rsidRPr="00AE0316">
        <w:rPr>
          <w:rFonts w:hint="eastAsia"/>
          <w:highlight w:val="yellow"/>
        </w:rPr>
        <w:t>6</w:t>
      </w:r>
      <w:r w:rsidR="00384011">
        <w:rPr>
          <w:rFonts w:hint="eastAsia"/>
        </w:rPr>
        <w:t>/2</w:t>
      </w:r>
      <w:r w:rsidR="00384011" w:rsidRPr="00AE0316">
        <w:rPr>
          <w:rFonts w:hint="eastAsia"/>
          <w:highlight w:val="yellow"/>
        </w:rPr>
        <w:t>7</w:t>
      </w:r>
      <w:r w:rsidRPr="00365F7F">
        <w:t xml:space="preserve"> Network Contract DES, this opt-out and opt-in window will apply until </w:t>
      </w:r>
      <w:r w:rsidRPr="00365F7F">
        <w:rPr>
          <w:rFonts w:hint="eastAsia"/>
        </w:rPr>
        <w:t xml:space="preserve">30 April </w:t>
      </w:r>
      <w:r w:rsidR="00384011">
        <w:rPr>
          <w:rFonts w:hint="eastAsia"/>
        </w:rPr>
        <w:t>202</w:t>
      </w:r>
      <w:r w:rsidR="00384011" w:rsidRPr="006F4C09">
        <w:rPr>
          <w:rFonts w:hint="eastAsia"/>
          <w:highlight w:val="yellow"/>
        </w:rPr>
        <w:t>6</w:t>
      </w:r>
      <w:r w:rsidR="00384011">
        <w:rPr>
          <w:rFonts w:hint="eastAsia"/>
        </w:rPr>
        <w:t xml:space="preserve"> </w:t>
      </w:r>
      <w:r w:rsidRPr="00365F7F">
        <w:t xml:space="preserve">and allows for: </w:t>
      </w:r>
    </w:p>
    <w:p w14:paraId="7BCE392A" w14:textId="34726407" w:rsidR="008F2758" w:rsidRPr="00365F7F" w:rsidRDefault="008F2758" w:rsidP="000741C5">
      <w:pPr>
        <w:pStyle w:val="bodytextnumbered11"/>
        <w:numPr>
          <w:ilvl w:val="0"/>
          <w:numId w:val="41"/>
        </w:numPr>
        <w:spacing w:before="240" w:line="276" w:lineRule="auto"/>
        <w:ind w:left="2268" w:hanging="567"/>
      </w:pPr>
      <w:r w:rsidRPr="00365F7F">
        <w:t>Cor</w:t>
      </w:r>
      <w:r w:rsidR="008F01D4" w:rsidRPr="00365F7F">
        <w:t>e</w:t>
      </w:r>
      <w:r w:rsidRPr="00365F7F">
        <w:t xml:space="preserve"> Network Practices to opt-out of the </w:t>
      </w:r>
      <w:r w:rsidR="00384011">
        <w:t>202</w:t>
      </w:r>
      <w:r w:rsidR="00384011" w:rsidRPr="00AE0316">
        <w:rPr>
          <w:highlight w:val="yellow"/>
        </w:rPr>
        <w:t>6</w:t>
      </w:r>
      <w:r w:rsidR="00384011">
        <w:t>/2</w:t>
      </w:r>
      <w:r w:rsidR="00384011" w:rsidRPr="00AE0316">
        <w:rPr>
          <w:highlight w:val="yellow"/>
        </w:rPr>
        <w:t>7</w:t>
      </w:r>
      <w:r w:rsidRPr="00365F7F">
        <w:t xml:space="preserve"> Network Contract DES following automatic participation; or</w:t>
      </w:r>
    </w:p>
    <w:p w14:paraId="31740016" w14:textId="08D95605" w:rsidR="008F2758" w:rsidRPr="00365F7F" w:rsidRDefault="008F2758" w:rsidP="000741C5">
      <w:pPr>
        <w:pStyle w:val="bodytextnumbered11"/>
        <w:numPr>
          <w:ilvl w:val="0"/>
          <w:numId w:val="41"/>
        </w:numPr>
        <w:spacing w:line="276" w:lineRule="auto"/>
        <w:ind w:left="2268" w:hanging="567"/>
      </w:pPr>
      <w:r w:rsidRPr="00365F7F">
        <w:t xml:space="preserve">Non-participating practices wishing to participate to opt-in to the </w:t>
      </w:r>
      <w:r w:rsidR="00384011">
        <w:t>202</w:t>
      </w:r>
      <w:r w:rsidR="00384011" w:rsidRPr="00110D2A">
        <w:rPr>
          <w:highlight w:val="yellow"/>
        </w:rPr>
        <w:t>6</w:t>
      </w:r>
      <w:r w:rsidR="00384011">
        <w:t>/2</w:t>
      </w:r>
      <w:r w:rsidR="00384011" w:rsidRPr="00110D2A">
        <w:rPr>
          <w:highlight w:val="yellow"/>
        </w:rPr>
        <w:t>7</w:t>
      </w:r>
      <w:r w:rsidR="00E9770B">
        <w:t xml:space="preserve"> </w:t>
      </w:r>
      <w:r w:rsidRPr="00365F7F">
        <w:t>Network Contract DES.</w:t>
      </w:r>
    </w:p>
    <w:p w14:paraId="4CEFB5CF" w14:textId="0B22B0F1" w:rsidR="008F2758" w:rsidRPr="008B7465" w:rsidRDefault="008F2758" w:rsidP="00084AFF">
      <w:pPr>
        <w:pStyle w:val="h4numbered"/>
      </w:pPr>
      <w:r w:rsidRPr="00365F7F">
        <w:t>In the event of an in-year variation to the Network Contract DES, all Core Network Practices will automatically participate in the variation unless they choose to opt out, in which case they</w:t>
      </w:r>
      <w:r w:rsidRPr="00365F7F" w:rsidDel="004F3B54">
        <w:t xml:space="preserve"> </w:t>
      </w:r>
      <w:r w:rsidRPr="00365F7F" w:rsidDel="001D231C">
        <w:t>mus</w:t>
      </w:r>
      <w:r w:rsidRPr="00365F7F" w:rsidDel="000D0B1E">
        <w:t>t</w:t>
      </w:r>
      <w:r w:rsidRPr="00365F7F">
        <w:t xml:space="preserve"> do so within a 30</w:t>
      </w:r>
      <w:r w:rsidR="007273BA" w:rsidRPr="00365F7F">
        <w:t>-</w:t>
      </w:r>
      <w:r w:rsidRPr="00365F7F">
        <w:t xml:space="preserve">calendar day </w:t>
      </w:r>
      <w:r w:rsidRPr="00365F7F">
        <w:lastRenderedPageBreak/>
        <w:t>window from the date of publication by NHS England of the variation. Any variations to the Network Contract DES will be made nationally by NHS England; local variations to the Network</w:t>
      </w:r>
      <w:r w:rsidRPr="008B7465">
        <w:t xml:space="preserve"> Contract DES Specification, including to the requirements or financial entitlements,</w:t>
      </w:r>
      <w:r w:rsidRPr="008B7465" w:rsidDel="004F3B54">
        <w:t xml:space="preserve"> </w:t>
      </w:r>
      <w:r w:rsidRPr="008B7465" w:rsidDel="000D0B1E">
        <w:t>must</w:t>
      </w:r>
      <w:r w:rsidRPr="008B7465">
        <w:t xml:space="preserve"> not be made.</w:t>
      </w:r>
    </w:p>
    <w:p w14:paraId="6B6C9498" w14:textId="77777777" w:rsidR="008F2758" w:rsidRPr="008B7465" w:rsidRDefault="008F2758" w:rsidP="00084AFF">
      <w:pPr>
        <w:pStyle w:val="h4numbered"/>
      </w:pPr>
      <w:r w:rsidRPr="008B7465">
        <w:t>A New Practice may join a Previously Approved PCN at any time during the year.</w:t>
      </w:r>
    </w:p>
    <w:p w14:paraId="2F39B8E3" w14:textId="77777777" w:rsidR="008F2758" w:rsidRPr="00520E46" w:rsidRDefault="008F2758" w:rsidP="00100EE1">
      <w:pPr>
        <w:pStyle w:val="Heading4"/>
        <w:keepNext w:val="0"/>
        <w:spacing w:line="276" w:lineRule="auto"/>
        <w:ind w:left="851"/>
        <w:rPr>
          <w:rFonts w:hint="eastAsia"/>
          <w:sz w:val="24"/>
          <w:szCs w:val="18"/>
        </w:rPr>
      </w:pPr>
      <w:r w:rsidRPr="00520E46">
        <w:rPr>
          <w:sz w:val="24"/>
          <w:szCs w:val="18"/>
        </w:rPr>
        <w:t>Previously Approved PCNs with no changes to their Core Network Practice membership</w:t>
      </w:r>
    </w:p>
    <w:p w14:paraId="65FDE562" w14:textId="31B342E3" w:rsidR="008F2758" w:rsidRPr="00D06764" w:rsidRDefault="008F2758" w:rsidP="00084AFF">
      <w:pPr>
        <w:pStyle w:val="h4numbered"/>
      </w:pPr>
      <w:r w:rsidRPr="00D06764">
        <w:t xml:space="preserve">Previously </w:t>
      </w:r>
      <w:r w:rsidRPr="008101AD">
        <w:t>Approved</w:t>
      </w:r>
      <w:r w:rsidRPr="00D06764">
        <w:t xml:space="preserve"> PCNs without any changes to their Core Network Practice membership will automatically participate in </w:t>
      </w:r>
      <w:r w:rsidRPr="000A2880">
        <w:t xml:space="preserve">the </w:t>
      </w:r>
      <w:r w:rsidR="00384011">
        <w:rPr>
          <w:rFonts w:hint="eastAsia"/>
        </w:rPr>
        <w:t>202</w:t>
      </w:r>
      <w:r w:rsidR="00384011" w:rsidRPr="00AE0316">
        <w:rPr>
          <w:rFonts w:hint="eastAsia"/>
          <w:highlight w:val="yellow"/>
        </w:rPr>
        <w:t>6</w:t>
      </w:r>
      <w:r w:rsidR="00384011">
        <w:rPr>
          <w:rFonts w:hint="eastAsia"/>
        </w:rPr>
        <w:t>/2</w:t>
      </w:r>
      <w:r w:rsidR="00384011" w:rsidRPr="00AE0316">
        <w:rPr>
          <w:rFonts w:hint="eastAsia"/>
          <w:highlight w:val="yellow"/>
        </w:rPr>
        <w:t>7</w:t>
      </w:r>
      <w:r w:rsidRPr="007A2C06">
        <w:t xml:space="preserve"> Network</w:t>
      </w:r>
      <w:r w:rsidRPr="00D06764">
        <w:t xml:space="preserve"> Contract DES. There is no need for the practices in these PCNs to submit a participation form to their commissioner. A written variation of the primary medical services contract of each Core Network Practice is required to ensure the relevant Network Contract DES Specification forms part of that contract and the commissioner will issue notification through the Calculating Quality Reporting Service (CQRS) for practices</w:t>
      </w:r>
      <w:r w:rsidR="008101AD">
        <w:t xml:space="preserve"> </w:t>
      </w:r>
      <w:r w:rsidRPr="00D06764">
        <w:t xml:space="preserve">to accept. PCNs </w:t>
      </w:r>
      <w:r w:rsidRPr="00D06764" w:rsidDel="00430551">
        <w:t>must</w:t>
      </w:r>
      <w:r w:rsidRPr="00D06764">
        <w:t xml:space="preserve"> ensure their Network Agreement has been updated as necessary. </w:t>
      </w:r>
    </w:p>
    <w:p w14:paraId="6C0F3086" w14:textId="77777777" w:rsidR="008F2758" w:rsidRPr="00520E46" w:rsidRDefault="008F2758" w:rsidP="00100EE1">
      <w:pPr>
        <w:pStyle w:val="Heading4"/>
        <w:keepNext w:val="0"/>
        <w:spacing w:line="276" w:lineRule="auto"/>
        <w:ind w:left="851"/>
        <w:rPr>
          <w:rFonts w:hint="eastAsia"/>
          <w:sz w:val="24"/>
          <w:szCs w:val="18"/>
        </w:rPr>
      </w:pPr>
      <w:r w:rsidRPr="00520E46">
        <w:rPr>
          <w:sz w:val="24"/>
          <w:szCs w:val="18"/>
        </w:rPr>
        <w:t>Previously Approved with changes to their Core Network Practice membership</w:t>
      </w:r>
    </w:p>
    <w:p w14:paraId="38B67B68" w14:textId="7E9E71A9" w:rsidR="008F2758" w:rsidRDefault="008F2758" w:rsidP="00084AFF">
      <w:pPr>
        <w:pStyle w:val="h4numbered"/>
      </w:pPr>
      <w:r w:rsidRPr="00AB6FF8">
        <w:t>Where a Previously Approved PCN has one of the following scenarios which leads to a change in the Core Network Practice membership:</w:t>
      </w:r>
    </w:p>
    <w:p w14:paraId="4BA908F7" w14:textId="2C049641" w:rsidR="008F2758" w:rsidRPr="004967F8" w:rsidRDefault="00AB6FF8" w:rsidP="000741C5">
      <w:pPr>
        <w:pStyle w:val="Heading4"/>
        <w:keepNext w:val="0"/>
        <w:numPr>
          <w:ilvl w:val="2"/>
          <w:numId w:val="28"/>
        </w:numPr>
        <w:spacing w:line="276" w:lineRule="auto"/>
        <w:ind w:left="2268" w:hanging="567"/>
        <w:rPr>
          <w:rFonts w:ascii="Arial" w:hAnsi="Arial"/>
          <w:b w:val="0"/>
          <w:bCs/>
          <w:sz w:val="24"/>
          <w:szCs w:val="24"/>
        </w:rPr>
      </w:pPr>
      <w:r w:rsidRPr="004967F8">
        <w:rPr>
          <w:rFonts w:ascii="Arial" w:hAnsi="Arial"/>
          <w:b w:val="0"/>
          <w:bCs/>
          <w:sz w:val="24"/>
          <w:szCs w:val="24"/>
        </w:rPr>
        <w:t>a</w:t>
      </w:r>
      <w:r w:rsidR="008F2758" w:rsidRPr="004967F8">
        <w:rPr>
          <w:rFonts w:ascii="Arial" w:hAnsi="Arial"/>
          <w:b w:val="0"/>
          <w:bCs/>
          <w:sz w:val="24"/>
          <w:szCs w:val="24"/>
        </w:rPr>
        <w:t xml:space="preserve"> Core Network Practice from another PCN joining; and/or</w:t>
      </w:r>
    </w:p>
    <w:p w14:paraId="2EC9D0CF" w14:textId="77777777" w:rsidR="008F2758" w:rsidRPr="004967F8" w:rsidRDefault="008F2758" w:rsidP="000741C5">
      <w:pPr>
        <w:pStyle w:val="Heading4"/>
        <w:keepNext w:val="0"/>
        <w:numPr>
          <w:ilvl w:val="2"/>
          <w:numId w:val="28"/>
        </w:numPr>
        <w:spacing w:line="276" w:lineRule="auto"/>
        <w:ind w:left="2268" w:hanging="567"/>
        <w:rPr>
          <w:rFonts w:ascii="Arial" w:hAnsi="Arial"/>
          <w:b w:val="0"/>
          <w:bCs/>
          <w:sz w:val="24"/>
          <w:szCs w:val="24"/>
        </w:rPr>
      </w:pPr>
      <w:r w:rsidRPr="004967F8">
        <w:rPr>
          <w:rFonts w:ascii="Arial" w:hAnsi="Arial"/>
          <w:b w:val="0"/>
          <w:bCs/>
          <w:sz w:val="24"/>
          <w:szCs w:val="24"/>
        </w:rPr>
        <w:t>a non-participating practice joining; and/or</w:t>
      </w:r>
    </w:p>
    <w:p w14:paraId="0F5C7051" w14:textId="77777777" w:rsidR="008F2758" w:rsidRPr="004967F8" w:rsidRDefault="008F2758" w:rsidP="000741C5">
      <w:pPr>
        <w:pStyle w:val="Heading4"/>
        <w:keepNext w:val="0"/>
        <w:numPr>
          <w:ilvl w:val="2"/>
          <w:numId w:val="28"/>
        </w:numPr>
        <w:spacing w:line="276" w:lineRule="auto"/>
        <w:ind w:left="2268" w:hanging="567"/>
        <w:rPr>
          <w:rFonts w:ascii="Arial" w:hAnsi="Arial"/>
          <w:b w:val="0"/>
          <w:bCs/>
          <w:sz w:val="24"/>
          <w:szCs w:val="24"/>
        </w:rPr>
      </w:pPr>
      <w:r w:rsidRPr="004967F8">
        <w:rPr>
          <w:rFonts w:ascii="Arial" w:hAnsi="Arial"/>
          <w:b w:val="0"/>
          <w:bCs/>
          <w:sz w:val="24"/>
          <w:szCs w:val="24"/>
        </w:rPr>
        <w:t>a New Practice joining; and/or</w:t>
      </w:r>
    </w:p>
    <w:p w14:paraId="684D821B" w14:textId="77777777" w:rsidR="008F2758" w:rsidRDefault="008F2758" w:rsidP="000741C5">
      <w:pPr>
        <w:pStyle w:val="Heading4"/>
        <w:keepNext w:val="0"/>
        <w:numPr>
          <w:ilvl w:val="2"/>
          <w:numId w:val="28"/>
        </w:numPr>
        <w:spacing w:line="276" w:lineRule="auto"/>
        <w:ind w:left="2268" w:hanging="567"/>
        <w:rPr>
          <w:rFonts w:ascii="Arial" w:hAnsi="Arial"/>
          <w:b w:val="0"/>
          <w:bCs/>
          <w:sz w:val="24"/>
          <w:szCs w:val="24"/>
        </w:rPr>
      </w:pPr>
      <w:r w:rsidRPr="004967F8">
        <w:rPr>
          <w:rFonts w:ascii="Arial" w:hAnsi="Arial"/>
          <w:b w:val="0"/>
          <w:bCs/>
          <w:sz w:val="24"/>
          <w:szCs w:val="24"/>
        </w:rPr>
        <w:t>a Core Network Practice opting out of participating,</w:t>
      </w:r>
    </w:p>
    <w:p w14:paraId="008525DF" w14:textId="3D49EDA2" w:rsidR="008F2758" w:rsidRPr="00F55944" w:rsidRDefault="008F2758" w:rsidP="00D27459">
      <w:pPr>
        <w:pStyle w:val="h4numbered"/>
        <w:numPr>
          <w:ilvl w:val="0"/>
          <w:numId w:val="0"/>
        </w:numPr>
        <w:ind w:left="1701"/>
      </w:pPr>
      <w:bookmarkStart w:id="18" w:name="_Hlk65513679"/>
      <w:r w:rsidRPr="00F55944">
        <w:t>the Core Network Practices</w:t>
      </w:r>
      <w:r w:rsidRPr="00F55944" w:rsidDel="008B0753">
        <w:t xml:space="preserve"> </w:t>
      </w:r>
      <w:r w:rsidRPr="00F55944">
        <w:t>must follow the steps as set out in section 4.4 of the Network Contract DES Specification to seek approval of the change to the PCN’s Core Network membership. PCNs must complete the Network Contract DES Participation</w:t>
      </w:r>
      <w:r>
        <w:t xml:space="preserve"> and Notification</w:t>
      </w:r>
      <w:r w:rsidRPr="00F55944">
        <w:t xml:space="preserve"> Form included at Annex A of the Network Contract DES Specification to provide the required information and submit it to the commissioner by </w:t>
      </w:r>
      <w:r w:rsidRPr="00365F7F">
        <w:t xml:space="preserve">the 30 April </w:t>
      </w:r>
      <w:r w:rsidR="00384011">
        <w:t>202</w:t>
      </w:r>
      <w:r w:rsidR="00384011" w:rsidRPr="00395E9F">
        <w:rPr>
          <w:highlight w:val="yellow"/>
        </w:rPr>
        <w:t>6</w:t>
      </w:r>
      <w:r w:rsidR="00384011">
        <w:t xml:space="preserve"> </w:t>
      </w:r>
      <w:r w:rsidRPr="00365F7F">
        <w:t>or in</w:t>
      </w:r>
      <w:r w:rsidRPr="00F55944">
        <w:t xml:space="preserve"> the case of a Network Contract DES</w:t>
      </w:r>
      <w:r w:rsidR="009B7341">
        <w:t xml:space="preserve"> </w:t>
      </w:r>
      <w:r w:rsidR="00EB7CEF">
        <w:t>V</w:t>
      </w:r>
      <w:r w:rsidRPr="00F55944">
        <w:t>ariation, by the 30</w:t>
      </w:r>
      <w:r w:rsidRPr="00F55944">
        <w:rPr>
          <w:vertAlign w:val="superscript"/>
        </w:rPr>
        <w:t>th</w:t>
      </w:r>
      <w:r w:rsidRPr="00F55944">
        <w:t xml:space="preserve"> calendar day following publication by NHS England of the variation. A single Participation Form can be submitted for a PCN.</w:t>
      </w:r>
    </w:p>
    <w:p w14:paraId="22664923" w14:textId="77777777" w:rsidR="008F2758" w:rsidRPr="00733C88" w:rsidRDefault="008F2758" w:rsidP="00084AFF">
      <w:pPr>
        <w:pStyle w:val="h4numbered"/>
      </w:pPr>
      <w:r w:rsidRPr="00733C88">
        <w:t xml:space="preserve">Commissioners will consider all the information provided and confirm to the PCN as soon as possible (at the latest, within one month of receipt of the </w:t>
      </w:r>
      <w:r w:rsidRPr="00733C88">
        <w:lastRenderedPageBreak/>
        <w:t>notification) whether or not the practices’ participation in the Network Contract DES is confirmed.</w:t>
      </w:r>
    </w:p>
    <w:bookmarkEnd w:id="18"/>
    <w:p w14:paraId="1C5DFF00" w14:textId="77777777" w:rsidR="008F2758" w:rsidRPr="00733C88" w:rsidRDefault="008F2758" w:rsidP="00084AFF">
      <w:pPr>
        <w:pStyle w:val="h4numbered"/>
      </w:pPr>
      <w:r w:rsidRPr="00733C88">
        <w:t xml:space="preserve">PCNs are encouraged to submit the information to the commissioner as soon as possible to support payments, and prior to the next local payment deadline to avoid any disruption in payment. Commissioners should liaise with the PCN to confirm timescales. Where a local payment date has been missed, the commissioner will make the relevant payment in the next month. Where a Previously Approved PCN with changes requires payment adjustment, the commissioner will make these manually in the next month.   </w:t>
      </w:r>
    </w:p>
    <w:p w14:paraId="3DC2F377" w14:textId="77777777" w:rsidR="008F2758" w:rsidRPr="00733C88" w:rsidRDefault="008F2758" w:rsidP="00084AFF">
      <w:pPr>
        <w:pStyle w:val="h4numbered"/>
      </w:pPr>
      <w:r w:rsidRPr="00733C88">
        <w:t>Commissioners are not required to wait for 100 per cent geographical coverage in order to approve Core Network Practice participation and PCN continuation or formation.</w:t>
      </w:r>
    </w:p>
    <w:p w14:paraId="3CF73315" w14:textId="77777777" w:rsidR="008F2758" w:rsidRPr="00F55944" w:rsidRDefault="008F2758" w:rsidP="00084AFF">
      <w:pPr>
        <w:pStyle w:val="h3numbered"/>
      </w:pPr>
      <w:bookmarkStart w:id="19" w:name="_Toc36557247"/>
      <w:bookmarkStart w:id="20" w:name="_Toc150155974"/>
      <w:bookmarkStart w:id="21" w:name="_Toc223511117"/>
      <w:bookmarkStart w:id="22" w:name="_Toc223511407"/>
      <w:r w:rsidRPr="00F55944">
        <w:t>PCN unwilling to accept a practice as a Core Network Practice</w:t>
      </w:r>
      <w:bookmarkEnd w:id="19"/>
      <w:bookmarkEnd w:id="20"/>
      <w:bookmarkEnd w:id="21"/>
      <w:bookmarkEnd w:id="22"/>
      <w:r w:rsidRPr="00F55944">
        <w:t xml:space="preserve"> </w:t>
      </w:r>
    </w:p>
    <w:p w14:paraId="3833A18C" w14:textId="77777777" w:rsidR="008F2758" w:rsidRPr="00B80946" w:rsidRDefault="008F2758" w:rsidP="00084AFF">
      <w:pPr>
        <w:pStyle w:val="h4numbered"/>
      </w:pPr>
      <w:r w:rsidRPr="00B80946">
        <w:t>Where a practice wishes to participate in the Network Contract DES but is unable to find a PCN to join, commissioners will have the ability as a last resort to allocate a practice to a PCN as a Core Network Practice. It is not anticipated that this will happen on a regular basis as it is expected that disagreements over joining a PCN should be managed through mediation, supported by the commissioner and the Local Medical Committee (LMC).</w:t>
      </w:r>
    </w:p>
    <w:p w14:paraId="58199FAA" w14:textId="77777777" w:rsidR="008F2758" w:rsidRPr="00B80946" w:rsidRDefault="008F2758" w:rsidP="00084AFF">
      <w:pPr>
        <w:pStyle w:val="h4numbered"/>
      </w:pPr>
      <w:r w:rsidRPr="00B80946">
        <w:t>Where agreement cannot be reached through mediation, in order to ensure maximum population coverage through the Network Contract DES, a commissioner may allocate the practice to a PCN, with the full engagement of the LMC, in line with the process as set out in section 4.6 of the Network Contract DES Specification.</w:t>
      </w:r>
    </w:p>
    <w:p w14:paraId="6346D632" w14:textId="76223378" w:rsidR="008F2758" w:rsidRPr="001F3AE9" w:rsidRDefault="00100EE1" w:rsidP="00084AFF">
      <w:pPr>
        <w:pStyle w:val="h2numbered"/>
      </w:pPr>
      <w:bookmarkStart w:id="23" w:name="_Toc26957651"/>
      <w:bookmarkStart w:id="24" w:name="_Toc36557248"/>
      <w:bookmarkStart w:id="25" w:name="_Toc150155975"/>
      <w:bookmarkStart w:id="26" w:name="_Hlk32479265"/>
      <w:r>
        <w:tab/>
      </w:r>
      <w:bookmarkStart w:id="27" w:name="_Toc223511118"/>
      <w:bookmarkStart w:id="28" w:name="_Toc223511408"/>
      <w:r w:rsidR="008F2758" w:rsidRPr="001F3AE9">
        <w:t xml:space="preserve">Role of Commissioners and LMCs in </w:t>
      </w:r>
      <w:r w:rsidR="008F2758">
        <w:t xml:space="preserve">reconfirming </w:t>
      </w:r>
      <w:r w:rsidR="008F2758" w:rsidRPr="001F3AE9">
        <w:t xml:space="preserve">PCN </w:t>
      </w:r>
      <w:bookmarkEnd w:id="23"/>
      <w:r w:rsidR="008F2758">
        <w:t>establishment</w:t>
      </w:r>
      <w:bookmarkEnd w:id="24"/>
      <w:bookmarkEnd w:id="25"/>
      <w:bookmarkEnd w:id="27"/>
      <w:bookmarkEnd w:id="28"/>
    </w:p>
    <w:bookmarkEnd w:id="26"/>
    <w:p w14:paraId="6241D1D2" w14:textId="607C674B" w:rsidR="008F2758" w:rsidRPr="00A02017" w:rsidRDefault="008F2758" w:rsidP="000741C5">
      <w:pPr>
        <w:pStyle w:val="Heading4"/>
        <w:keepNext w:val="0"/>
        <w:numPr>
          <w:ilvl w:val="1"/>
          <w:numId w:val="22"/>
        </w:numPr>
        <w:spacing w:line="276" w:lineRule="auto"/>
        <w:ind w:hanging="792"/>
        <w:rPr>
          <w:rFonts w:ascii="Arial" w:eastAsia="Times New Roman" w:hAnsi="Arial"/>
          <w:b w:val="0"/>
          <w:color w:val="000000"/>
          <w:kern w:val="0"/>
          <w:sz w:val="24"/>
          <w:szCs w:val="24"/>
          <w14:ligatures w14:val="none"/>
        </w:rPr>
      </w:pPr>
      <w:r w:rsidRPr="00A02017">
        <w:rPr>
          <w:rFonts w:ascii="Arial" w:eastAsia="Times New Roman" w:hAnsi="Arial"/>
          <w:b w:val="0"/>
          <w:color w:val="000000"/>
          <w:kern w:val="0"/>
          <w:sz w:val="24"/>
          <w:szCs w:val="24"/>
          <w14:ligatures w14:val="none"/>
        </w:rPr>
        <w:t xml:space="preserve">Commissioners and LMCs will need to work together to ensure all practices who wish to join or continue their participation in the Network Contract DES are included within a PCN. Commissioners and LMCs will also need to work with PCNs to ensure that 100 per cent of registered patients are covered by network services, for example by commissioning a local contractual </w:t>
      </w:r>
      <w:r w:rsidR="00FB4F86">
        <w:rPr>
          <w:rFonts w:ascii="Arial" w:eastAsia="Times New Roman" w:hAnsi="Arial"/>
          <w:b w:val="0"/>
          <w:color w:val="000000"/>
          <w:kern w:val="0"/>
          <w:sz w:val="24"/>
          <w:szCs w:val="24"/>
          <w14:ligatures w14:val="none"/>
        </w:rPr>
        <w:t>a</w:t>
      </w:r>
      <w:r w:rsidRPr="00A02017">
        <w:rPr>
          <w:rFonts w:ascii="Arial" w:eastAsia="Times New Roman" w:hAnsi="Arial"/>
          <w:b w:val="0"/>
          <w:color w:val="000000"/>
          <w:kern w:val="0"/>
          <w:sz w:val="24"/>
          <w:szCs w:val="24"/>
          <w14:ligatures w14:val="none"/>
        </w:rPr>
        <w:t xml:space="preserve">rrangement (see section </w:t>
      </w:r>
      <w:r w:rsidRPr="00A02017">
        <w:rPr>
          <w:rFonts w:ascii="Arial" w:eastAsia="Times New Roman" w:hAnsi="Arial"/>
          <w:b w:val="0"/>
          <w:color w:val="000000"/>
          <w:kern w:val="0"/>
          <w:sz w:val="24"/>
          <w:szCs w:val="24"/>
          <w14:ligatures w14:val="none"/>
        </w:rPr>
        <w:fldChar w:fldCharType="begin"/>
      </w:r>
      <w:r w:rsidRPr="00A02017">
        <w:rPr>
          <w:rFonts w:ascii="Arial" w:eastAsia="Times New Roman" w:hAnsi="Arial"/>
          <w:b w:val="0"/>
          <w:color w:val="000000"/>
          <w:kern w:val="0"/>
          <w:sz w:val="24"/>
          <w:szCs w:val="24"/>
          <w14:ligatures w14:val="none"/>
        </w:rPr>
        <w:instrText xml:space="preserve"> REF _Ref36029268 \r \h  \* MERGEFORMAT </w:instrText>
      </w:r>
      <w:r w:rsidRPr="00A02017">
        <w:rPr>
          <w:rFonts w:ascii="Arial" w:eastAsia="Times New Roman" w:hAnsi="Arial"/>
          <w:b w:val="0"/>
          <w:color w:val="000000"/>
          <w:kern w:val="0"/>
          <w:sz w:val="24"/>
          <w:szCs w:val="24"/>
          <w14:ligatures w14:val="none"/>
        </w:rPr>
      </w:r>
      <w:r w:rsidRPr="00A02017">
        <w:rPr>
          <w:rFonts w:ascii="Arial" w:eastAsia="Times New Roman" w:hAnsi="Arial"/>
          <w:b w:val="0"/>
          <w:color w:val="000000"/>
          <w:kern w:val="0"/>
          <w:sz w:val="24"/>
          <w:szCs w:val="24"/>
          <w14:ligatures w14:val="none"/>
        </w:rPr>
        <w:fldChar w:fldCharType="separate"/>
      </w:r>
      <w:r w:rsidR="00BF21BB">
        <w:rPr>
          <w:rFonts w:ascii="Arial" w:eastAsia="Times New Roman" w:hAnsi="Arial"/>
          <w:b w:val="0"/>
          <w:color w:val="000000"/>
          <w:kern w:val="0"/>
          <w:sz w:val="24"/>
          <w:szCs w:val="24"/>
          <w14:ligatures w14:val="none"/>
        </w:rPr>
        <w:t>4</w:t>
      </w:r>
      <w:r w:rsidRPr="00A02017">
        <w:rPr>
          <w:rFonts w:ascii="Arial" w:eastAsia="Times New Roman" w:hAnsi="Arial"/>
          <w:b w:val="0"/>
          <w:color w:val="000000"/>
          <w:kern w:val="0"/>
          <w:sz w:val="24"/>
          <w:szCs w:val="24"/>
          <w14:ligatures w14:val="none"/>
        </w:rPr>
        <w:fldChar w:fldCharType="end"/>
      </w:r>
      <w:r w:rsidRPr="00A02017">
        <w:rPr>
          <w:rFonts w:ascii="Arial" w:eastAsia="Times New Roman" w:hAnsi="Arial"/>
          <w:b w:val="0"/>
          <w:color w:val="000000"/>
          <w:kern w:val="0"/>
          <w:sz w:val="24"/>
          <w:szCs w:val="24"/>
          <w14:ligatures w14:val="none"/>
        </w:rPr>
        <w:t>). This may require discussion and mediation between the relevant PCN grouping and practice(s).</w:t>
      </w:r>
    </w:p>
    <w:p w14:paraId="3F8D2A65" w14:textId="77777777" w:rsidR="008F2758" w:rsidRPr="00A02017" w:rsidRDefault="008F2758" w:rsidP="000741C5">
      <w:pPr>
        <w:pStyle w:val="Heading4"/>
        <w:keepNext w:val="0"/>
        <w:numPr>
          <w:ilvl w:val="1"/>
          <w:numId w:val="22"/>
        </w:numPr>
        <w:spacing w:line="276" w:lineRule="auto"/>
        <w:ind w:hanging="792"/>
        <w:rPr>
          <w:rFonts w:ascii="Arial" w:eastAsia="Times New Roman" w:hAnsi="Arial"/>
          <w:b w:val="0"/>
          <w:color w:val="000000"/>
          <w:kern w:val="0"/>
          <w:sz w:val="24"/>
          <w:szCs w:val="24"/>
          <w14:ligatures w14:val="none"/>
        </w:rPr>
      </w:pPr>
      <w:r w:rsidRPr="00A02017">
        <w:rPr>
          <w:rFonts w:ascii="Arial" w:eastAsia="Times New Roman" w:hAnsi="Arial"/>
          <w:b w:val="0"/>
          <w:color w:val="000000"/>
          <w:kern w:val="0"/>
          <w:sz w:val="24"/>
          <w:szCs w:val="24"/>
          <w14:ligatures w14:val="none"/>
        </w:rPr>
        <w:t>Commissioners will:</w:t>
      </w:r>
    </w:p>
    <w:p w14:paraId="0F243DBD" w14:textId="77777777" w:rsidR="008F2758" w:rsidRPr="001F7F8C" w:rsidRDefault="008F2758" w:rsidP="000741C5">
      <w:pPr>
        <w:pStyle w:val="Heading4"/>
        <w:keepNext w:val="0"/>
        <w:numPr>
          <w:ilvl w:val="2"/>
          <w:numId w:val="7"/>
        </w:numPr>
        <w:spacing w:line="276" w:lineRule="auto"/>
        <w:ind w:left="1276" w:hanging="425"/>
        <w:rPr>
          <w:rFonts w:ascii="Arial" w:hAnsi="Arial"/>
          <w:b w:val="0"/>
          <w:bCs/>
          <w:sz w:val="24"/>
          <w:szCs w:val="24"/>
          <w:lang w:eastAsia="en-GB"/>
        </w:rPr>
      </w:pPr>
      <w:r w:rsidRPr="001F7F8C">
        <w:rPr>
          <w:rFonts w:ascii="Arial" w:hAnsi="Arial"/>
          <w:b w:val="0"/>
          <w:bCs/>
          <w:sz w:val="24"/>
          <w:szCs w:val="24"/>
          <w:lang w:eastAsia="en-GB"/>
        </w:rPr>
        <w:t>Ensure each PCN Network Area supports delivery of services within the wider ICS strategy.</w:t>
      </w:r>
    </w:p>
    <w:p w14:paraId="7C612996" w14:textId="77777777" w:rsidR="008F2758" w:rsidRPr="001F7F8C" w:rsidRDefault="008F2758" w:rsidP="000741C5">
      <w:pPr>
        <w:pStyle w:val="Heading4"/>
        <w:keepNext w:val="0"/>
        <w:numPr>
          <w:ilvl w:val="2"/>
          <w:numId w:val="7"/>
        </w:numPr>
        <w:spacing w:line="276" w:lineRule="auto"/>
        <w:ind w:left="1276" w:hanging="425"/>
        <w:rPr>
          <w:rFonts w:ascii="Arial" w:hAnsi="Arial"/>
          <w:b w:val="0"/>
          <w:bCs/>
          <w:sz w:val="24"/>
          <w:szCs w:val="24"/>
          <w:lang w:eastAsia="en-GB"/>
        </w:rPr>
      </w:pPr>
      <w:r w:rsidRPr="001F7F8C">
        <w:rPr>
          <w:rFonts w:ascii="Arial" w:hAnsi="Arial"/>
          <w:b w:val="0"/>
          <w:bCs/>
          <w:sz w:val="24"/>
          <w:szCs w:val="24"/>
          <w:lang w:eastAsia="en-GB"/>
        </w:rPr>
        <w:lastRenderedPageBreak/>
        <w:t>Engage with LMCs and bring practices together to resolve issues to ensure 100 per cent population coverage is maintained.</w:t>
      </w:r>
    </w:p>
    <w:p w14:paraId="36856CF5" w14:textId="77777777" w:rsidR="008F2758" w:rsidRPr="001F7F8C" w:rsidRDefault="008F2758" w:rsidP="000741C5">
      <w:pPr>
        <w:pStyle w:val="Heading4"/>
        <w:keepNext w:val="0"/>
        <w:numPr>
          <w:ilvl w:val="2"/>
          <w:numId w:val="7"/>
        </w:numPr>
        <w:spacing w:line="276" w:lineRule="auto"/>
        <w:ind w:left="1276" w:hanging="425"/>
        <w:rPr>
          <w:rFonts w:ascii="Arial" w:hAnsi="Arial"/>
          <w:b w:val="0"/>
          <w:bCs/>
          <w:sz w:val="24"/>
          <w:szCs w:val="24"/>
          <w:lang w:eastAsia="en-GB"/>
        </w:rPr>
      </w:pPr>
      <w:r w:rsidRPr="001F7F8C">
        <w:rPr>
          <w:rFonts w:ascii="Arial" w:hAnsi="Arial"/>
          <w:b w:val="0"/>
          <w:bCs/>
          <w:sz w:val="24"/>
          <w:szCs w:val="24"/>
          <w:lang w:eastAsia="en-GB"/>
        </w:rPr>
        <w:t>Engage with LMCs to aid a practice’s participation in the Network Contract DES where the practice is unable to find a PCN.</w:t>
      </w:r>
    </w:p>
    <w:p w14:paraId="37B1CA72" w14:textId="77777777" w:rsidR="008F2758" w:rsidRPr="001F7F8C" w:rsidRDefault="008F2758" w:rsidP="000741C5">
      <w:pPr>
        <w:pStyle w:val="Heading4"/>
        <w:keepNext w:val="0"/>
        <w:numPr>
          <w:ilvl w:val="2"/>
          <w:numId w:val="7"/>
        </w:numPr>
        <w:spacing w:line="276" w:lineRule="auto"/>
        <w:ind w:left="1276" w:hanging="425"/>
        <w:rPr>
          <w:rFonts w:ascii="Arial" w:hAnsi="Arial"/>
          <w:b w:val="0"/>
          <w:bCs/>
          <w:sz w:val="24"/>
          <w:szCs w:val="24"/>
          <w:lang w:eastAsia="en-GB"/>
        </w:rPr>
      </w:pPr>
      <w:r w:rsidRPr="001F7F8C">
        <w:rPr>
          <w:rFonts w:ascii="Arial" w:hAnsi="Arial"/>
          <w:b w:val="0"/>
          <w:bCs/>
          <w:sz w:val="24"/>
          <w:szCs w:val="24"/>
          <w:lang w:eastAsia="en-GB"/>
        </w:rPr>
        <w:t>Reconfirm or approve practice participation in the Network Contract DES as part of a PCN, ensuring that the participation requirements have been or continue to be met.</w:t>
      </w:r>
    </w:p>
    <w:p w14:paraId="3AB05048" w14:textId="77777777" w:rsidR="008F2758" w:rsidRPr="001F7F8C" w:rsidRDefault="008F2758" w:rsidP="000741C5">
      <w:pPr>
        <w:pStyle w:val="Heading4"/>
        <w:keepNext w:val="0"/>
        <w:numPr>
          <w:ilvl w:val="2"/>
          <w:numId w:val="7"/>
        </w:numPr>
        <w:spacing w:line="276" w:lineRule="auto"/>
        <w:ind w:left="1276" w:hanging="425"/>
        <w:rPr>
          <w:rFonts w:ascii="Arial" w:hAnsi="Arial"/>
          <w:b w:val="0"/>
          <w:bCs/>
          <w:sz w:val="24"/>
          <w:szCs w:val="24"/>
          <w:lang w:eastAsia="en-GB"/>
        </w:rPr>
      </w:pPr>
      <w:r w:rsidRPr="001F7F8C">
        <w:rPr>
          <w:rFonts w:ascii="Arial" w:hAnsi="Arial"/>
          <w:b w:val="0"/>
          <w:bCs/>
          <w:sz w:val="24"/>
          <w:szCs w:val="24"/>
          <w:lang w:eastAsia="en-GB"/>
        </w:rPr>
        <w:t>Have oversight of PCN footprints to ensure these make long term sense for service delivery and in the context of the GP contract framework.</w:t>
      </w:r>
    </w:p>
    <w:p w14:paraId="19049DF8" w14:textId="77777777" w:rsidR="008F2758" w:rsidRPr="001F7F8C" w:rsidRDefault="008F2758" w:rsidP="000741C5">
      <w:pPr>
        <w:pStyle w:val="Heading4"/>
        <w:keepNext w:val="0"/>
        <w:numPr>
          <w:ilvl w:val="2"/>
          <w:numId w:val="7"/>
        </w:numPr>
        <w:spacing w:line="276" w:lineRule="auto"/>
        <w:ind w:left="1276" w:hanging="425"/>
        <w:rPr>
          <w:rFonts w:ascii="Arial" w:hAnsi="Arial"/>
          <w:b w:val="0"/>
          <w:bCs/>
          <w:sz w:val="24"/>
          <w:szCs w:val="24"/>
          <w:lang w:eastAsia="en-GB"/>
        </w:rPr>
      </w:pPr>
      <w:r w:rsidRPr="001F7F8C">
        <w:rPr>
          <w:rFonts w:ascii="Arial" w:hAnsi="Arial"/>
          <w:b w:val="0"/>
          <w:bCs/>
          <w:sz w:val="24"/>
          <w:szCs w:val="24"/>
          <w:lang w:eastAsia="en-GB"/>
        </w:rPr>
        <w:t>Support PCN development via investment and development support outside of the Network Contract DES.</w:t>
      </w:r>
    </w:p>
    <w:p w14:paraId="14CC873D" w14:textId="368D1A40" w:rsidR="008F2758" w:rsidRPr="001F3AE9" w:rsidRDefault="00100EE1" w:rsidP="00084AFF">
      <w:pPr>
        <w:pStyle w:val="h2numbered"/>
      </w:pPr>
      <w:bookmarkStart w:id="29" w:name="_Ref36029268"/>
      <w:bookmarkStart w:id="30" w:name="_Toc36557249"/>
      <w:bookmarkStart w:id="31" w:name="_Toc150155976"/>
      <w:bookmarkStart w:id="32" w:name="_Hlk11751448"/>
      <w:r>
        <w:tab/>
      </w:r>
      <w:bookmarkStart w:id="33" w:name="_Toc223511119"/>
      <w:bookmarkStart w:id="34" w:name="_Toc223511409"/>
      <w:r w:rsidR="008F2758" w:rsidRPr="001F3AE9">
        <w:t>Establishing local agreements with a PCN for delivery of network services for patients of a practice not participating in the Network Contract DES</w:t>
      </w:r>
      <w:bookmarkEnd w:id="29"/>
      <w:bookmarkEnd w:id="30"/>
      <w:bookmarkEnd w:id="31"/>
      <w:bookmarkEnd w:id="33"/>
      <w:bookmarkEnd w:id="34"/>
      <w:r w:rsidR="008F2758" w:rsidRPr="001F3AE9">
        <w:t xml:space="preserve"> </w:t>
      </w:r>
    </w:p>
    <w:p w14:paraId="3C3F8466" w14:textId="77777777" w:rsidR="008F2758" w:rsidRDefault="008F2758" w:rsidP="00084AFF">
      <w:pPr>
        <w:pStyle w:val="h3numbered"/>
      </w:pPr>
      <w:bookmarkStart w:id="35" w:name="_Toc36557250"/>
      <w:bookmarkStart w:id="36" w:name="_Toc150155977"/>
      <w:bookmarkStart w:id="37" w:name="_Toc223511120"/>
      <w:bookmarkStart w:id="38" w:name="_Toc223511410"/>
      <w:r w:rsidRPr="00F0408E">
        <w:t>Key considerations</w:t>
      </w:r>
      <w:bookmarkEnd w:id="35"/>
      <w:bookmarkEnd w:id="36"/>
      <w:bookmarkEnd w:id="37"/>
      <w:bookmarkEnd w:id="38"/>
    </w:p>
    <w:p w14:paraId="4D2E1EBD" w14:textId="328EAA64" w:rsidR="008F2758" w:rsidRPr="00EE29D5" w:rsidRDefault="008F2758" w:rsidP="00084AFF">
      <w:pPr>
        <w:pStyle w:val="h4numbered"/>
      </w:pPr>
      <w:r w:rsidRPr="00EE29D5">
        <w:t>Commissioners are required to ensure that any patients of a practice</w:t>
      </w:r>
      <w:r w:rsidR="0031276A">
        <w:t>,</w:t>
      </w:r>
      <w:r w:rsidRPr="00EE29D5">
        <w:t xml:space="preserve"> </w:t>
      </w:r>
      <w:r w:rsidR="00E92E7F">
        <w:t>which</w:t>
      </w:r>
      <w:r w:rsidRPr="00EE29D5">
        <w:t xml:space="preserve"> is not participating in the Network Contract DES</w:t>
      </w:r>
      <w:r w:rsidR="0031276A">
        <w:t>,</w:t>
      </w:r>
      <w:r w:rsidRPr="00EE29D5">
        <w:t xml:space="preserve"> have access to network services.</w:t>
      </w:r>
    </w:p>
    <w:p w14:paraId="1BD9171B" w14:textId="77777777" w:rsidR="008F2758" w:rsidRPr="00772D78" w:rsidRDefault="008F2758" w:rsidP="00084AFF">
      <w:pPr>
        <w:pStyle w:val="h4numbered"/>
      </w:pPr>
      <w:r w:rsidRPr="00772D78">
        <w:t>In those instances where a practice has chosen not to sign up to the Network Contract DES and a commissioner is required to secure network services for the patients of that practice, a commissioner may contract with any other suitable provider for the delivery of network services, such as another PCN or a community services provider. Commissioners must, subject to procurement rules, initially seek to offer the provision of the network service to another Previously Approved PCN via a local agreement. If no Previously Approved PCN is suitable, the commissioner, subject to procurement rules, may offer the network service to any suitable provider and, for the avoidance of doubt, any other suitable provider would not include the practice that has opted out of the Network Contract DES. In commissioning any suitable provider, this must not be on terms better than those set out in the Network Contract DES (including any additional funding) nor divide the service into smaller components. Non-PCN providers commissioned to deliver network services will not be eligible for the Network Participation Payment.</w:t>
      </w:r>
    </w:p>
    <w:p w14:paraId="3D2E0391" w14:textId="77777777" w:rsidR="008F2758" w:rsidRPr="00ED3FCC" w:rsidRDefault="008F2758" w:rsidP="00084AFF">
      <w:pPr>
        <w:pStyle w:val="h4numbered"/>
      </w:pPr>
      <w:r w:rsidRPr="00ED3FCC">
        <w:lastRenderedPageBreak/>
        <w:t>The guidance below applies to those instances where a commissioner is contracting with a PCN through a local agreement to deliver network services to such patients.</w:t>
      </w:r>
    </w:p>
    <w:p w14:paraId="54B55302" w14:textId="77777777" w:rsidR="008F2758" w:rsidRPr="00ED3FCC" w:rsidRDefault="008F2758" w:rsidP="00084AFF">
      <w:pPr>
        <w:pStyle w:val="h4numbered"/>
      </w:pPr>
      <w:r w:rsidRPr="00ED3FCC">
        <w:t>Commissioners will need to work with PCNs to agree how any patients from a non-DES practice - a practice not signed up to the Network Contract DES - can be covered by a PCN. The local agreement would usually be with:</w:t>
      </w:r>
    </w:p>
    <w:p w14:paraId="2FA2CBD1" w14:textId="77777777" w:rsidR="008F2758" w:rsidRPr="00ED3FCC" w:rsidRDefault="008F2758" w:rsidP="000741C5">
      <w:pPr>
        <w:pStyle w:val="BodyText"/>
        <w:numPr>
          <w:ilvl w:val="0"/>
          <w:numId w:val="48"/>
        </w:numPr>
        <w:ind w:left="2268" w:hanging="567"/>
        <w:rPr>
          <w:b/>
        </w:rPr>
      </w:pPr>
      <w:r w:rsidRPr="00ED3FCC">
        <w:t>a single Core Network Practice (as a signatory on behalf of a PCN in a lead provider type of arrangement), or</w:t>
      </w:r>
    </w:p>
    <w:p w14:paraId="1371D231" w14:textId="77777777" w:rsidR="008F2758" w:rsidRPr="00ED3FCC" w:rsidRDefault="008F2758" w:rsidP="000741C5">
      <w:pPr>
        <w:pStyle w:val="BodyText"/>
        <w:numPr>
          <w:ilvl w:val="0"/>
          <w:numId w:val="48"/>
        </w:numPr>
        <w:ind w:left="2268" w:hanging="567"/>
        <w:rPr>
          <w:b/>
        </w:rPr>
      </w:pPr>
      <w:r w:rsidRPr="00ED3FCC">
        <w:t>with all the Core Network Practices in the PCN (as a multi-signatory agreement)</w:t>
      </w:r>
      <w:r w:rsidRPr="00ED3FCC">
        <w:rPr>
          <w:rStyle w:val="FootnoteReference"/>
          <w:rFonts w:cs="Arial"/>
        </w:rPr>
        <w:footnoteReference w:id="2"/>
      </w:r>
      <w:r w:rsidRPr="00ED3FCC">
        <w:t>.</w:t>
      </w:r>
    </w:p>
    <w:p w14:paraId="669CE8A0" w14:textId="77777777" w:rsidR="008F2758" w:rsidRPr="00ED3FCC" w:rsidRDefault="008F2758" w:rsidP="00084AFF">
      <w:pPr>
        <w:pStyle w:val="h4numbered"/>
      </w:pPr>
      <w:r w:rsidRPr="00ED3FCC">
        <w:t>These local agreements will be managed locally and the patient population of a non-DES practice, for whom a PCN is providing network services, will not be accounted for within the PCN ODS reference data.</w:t>
      </w:r>
    </w:p>
    <w:p w14:paraId="7235E3AE" w14:textId="77777777" w:rsidR="008F2758" w:rsidRPr="00365F7F" w:rsidRDefault="008F2758" w:rsidP="00084AFF">
      <w:pPr>
        <w:pStyle w:val="h4numbered"/>
      </w:pPr>
      <w:r w:rsidRPr="00ED3FCC">
        <w:t xml:space="preserve">There may be circumstances where more than one GP practice in an area is not participating in the Network Contract DES. Where a single PCN will be providing cover for multiple non-DES practices, </w:t>
      </w:r>
      <w:r w:rsidRPr="00365F7F">
        <w:t>this can be via either a single or multiple local agreement(s).</w:t>
      </w:r>
    </w:p>
    <w:p w14:paraId="15F002E1" w14:textId="1D92246E" w:rsidR="008F2758" w:rsidRPr="00365F7F" w:rsidRDefault="008F2758" w:rsidP="00084AFF">
      <w:pPr>
        <w:pStyle w:val="h4numbered"/>
      </w:pPr>
      <w:r w:rsidRPr="00365F7F">
        <w:t>Having agreed which PCN or provider will provide the cover, commissioners will need to ensure the following services/activities</w:t>
      </w:r>
      <w:r w:rsidRPr="00365F7F">
        <w:rPr>
          <w:vertAlign w:val="superscript"/>
        </w:rPr>
        <w:footnoteReference w:id="3"/>
      </w:r>
      <w:r w:rsidRPr="00365F7F">
        <w:t xml:space="preserve"> are provided to patients of the non-DES practice in accordance with the timescales for these services/activities:</w:t>
      </w:r>
    </w:p>
    <w:p w14:paraId="466F2FC9" w14:textId="1AB55023" w:rsidR="008F2758" w:rsidRPr="00147900" w:rsidRDefault="008F2758" w:rsidP="000741C5">
      <w:pPr>
        <w:pStyle w:val="BodyText"/>
        <w:numPr>
          <w:ilvl w:val="0"/>
          <w:numId w:val="49"/>
        </w:numPr>
        <w:ind w:left="2268" w:hanging="567"/>
      </w:pPr>
      <w:r w:rsidRPr="00365F7F">
        <w:t>the service requirements as listed at section</w:t>
      </w:r>
      <w:r w:rsidR="00223A89" w:rsidRPr="00365F7F">
        <w:t>s</w:t>
      </w:r>
      <w:r w:rsidRPr="00365F7F">
        <w:t xml:space="preserve"> 8</w:t>
      </w:r>
      <w:r w:rsidR="00223A89" w:rsidRPr="00365F7F">
        <w:t>.1-8.5</w:t>
      </w:r>
      <w:r w:rsidRPr="00365F7F">
        <w:t xml:space="preserve"> of the Network Contract DES Specification; and</w:t>
      </w:r>
    </w:p>
    <w:p w14:paraId="3288FADA" w14:textId="38CFFDEC" w:rsidR="008F2758" w:rsidRPr="00365F7F" w:rsidRDefault="008F2758" w:rsidP="000741C5">
      <w:pPr>
        <w:pStyle w:val="BodyText"/>
        <w:numPr>
          <w:ilvl w:val="0"/>
          <w:numId w:val="49"/>
        </w:numPr>
        <w:ind w:left="2268" w:hanging="567"/>
        <w:rPr>
          <w:b/>
        </w:rPr>
      </w:pPr>
      <w:r w:rsidRPr="00365F7F">
        <w:t xml:space="preserve">the Enhanced Access requirements as listed at section </w:t>
      </w:r>
      <w:r w:rsidR="004A51F2" w:rsidRPr="00365F7F">
        <w:t>8.</w:t>
      </w:r>
      <w:r w:rsidR="00223A89" w:rsidRPr="00365F7F">
        <w:t>6</w:t>
      </w:r>
      <w:r w:rsidRPr="00365F7F">
        <w:t xml:space="preserve"> of the Network Contract DES Specification</w:t>
      </w:r>
      <w:r w:rsidR="00854199" w:rsidRPr="00365F7F">
        <w:t>.</w:t>
      </w:r>
      <w:r w:rsidRPr="00365F7F">
        <w:t xml:space="preserve"> </w:t>
      </w:r>
    </w:p>
    <w:p w14:paraId="51A16F2E" w14:textId="77777777" w:rsidR="008F2758" w:rsidRPr="00365F7F" w:rsidRDefault="008F2758" w:rsidP="00084AFF">
      <w:pPr>
        <w:pStyle w:val="h4numbered"/>
      </w:pPr>
      <w:r w:rsidRPr="00365F7F">
        <w:t>These requirements could be included in the local agreement by cross-referring to the relevant sections of the Network Contract DES Specification document. For some of the service requirements, co-operation between the provider of the local agreement and the non-DES practice(s) will be critical to delivery. Further information on the duty of co-operation on all practices is detailed below.</w:t>
      </w:r>
    </w:p>
    <w:p w14:paraId="76ED4E97" w14:textId="77777777" w:rsidR="008F2758" w:rsidRPr="00365F7F" w:rsidRDefault="008F2758" w:rsidP="00084AFF">
      <w:pPr>
        <w:pStyle w:val="h4numbered"/>
      </w:pPr>
      <w:r w:rsidRPr="00365F7F">
        <w:t>Other provisions that would be expected to be included in a local agreement are:</w:t>
      </w:r>
    </w:p>
    <w:p w14:paraId="02BB2FA3" w14:textId="77777777" w:rsidR="008F2758" w:rsidRPr="00147900" w:rsidRDefault="008F2758" w:rsidP="000741C5">
      <w:pPr>
        <w:pStyle w:val="BodyText"/>
        <w:numPr>
          <w:ilvl w:val="0"/>
          <w:numId w:val="50"/>
        </w:numPr>
        <w:ind w:left="2268" w:hanging="567"/>
      </w:pPr>
      <w:r w:rsidRPr="00365F7F">
        <w:lastRenderedPageBreak/>
        <w:t>A provision requiring the PCN to provide to the commissioner any details of non-co-operation by a non-DES practice with the PCN who is providing network services via the local agreement to the non-DES practice’s patients. This information will be used by the commissioner to consider whether to take any action under the non-DES practice’s primary medical services contract;</w:t>
      </w:r>
    </w:p>
    <w:p w14:paraId="621F247A" w14:textId="77777777" w:rsidR="008F2758" w:rsidRPr="00147900" w:rsidRDefault="008F2758" w:rsidP="000741C5">
      <w:pPr>
        <w:pStyle w:val="BodyText"/>
        <w:numPr>
          <w:ilvl w:val="0"/>
          <w:numId w:val="50"/>
        </w:numPr>
        <w:ind w:left="2268" w:hanging="567"/>
      </w:pPr>
      <w:r w:rsidRPr="00365F7F">
        <w:t xml:space="preserve">Breach – how breaches by the PCN providing cover are dealt with by the commissioner; and </w:t>
      </w:r>
    </w:p>
    <w:p w14:paraId="5FC7593A" w14:textId="77777777" w:rsidR="008F2758" w:rsidRPr="00147900" w:rsidRDefault="008F2758" w:rsidP="000741C5">
      <w:pPr>
        <w:pStyle w:val="BodyText"/>
        <w:numPr>
          <w:ilvl w:val="0"/>
          <w:numId w:val="50"/>
        </w:numPr>
        <w:ind w:left="2268" w:hanging="567"/>
      </w:pPr>
      <w:r w:rsidRPr="00365F7F">
        <w:t>Boilerplate provisions – the usual contractual provisions about commencement, duration, extension, break-clause, termination, variation, dispute</w:t>
      </w:r>
      <w:r w:rsidRPr="00ED3FCC">
        <w:t xml:space="preserve"> resolution, entire agreement, surviving provisions, governing law, etc.</w:t>
      </w:r>
    </w:p>
    <w:p w14:paraId="6DFD6531" w14:textId="77777777" w:rsidR="008F2758" w:rsidRPr="00ED3FCC" w:rsidRDefault="008F2758" w:rsidP="00084AFF">
      <w:pPr>
        <w:pStyle w:val="h4numbered"/>
      </w:pPr>
      <w:r w:rsidRPr="00ED3FCC">
        <w:t>Commissioners should make every effort to find suitable cover to provide network services for patients of a non-DES practice. Where a commissioner has not been able to secure cover to patients of a non-DES practice, this should be notified to NHS England.</w:t>
      </w:r>
    </w:p>
    <w:p w14:paraId="3CEFEC2F" w14:textId="77777777" w:rsidR="008F2758" w:rsidRPr="00ED3FCC" w:rsidRDefault="008F2758" w:rsidP="00084AFF">
      <w:pPr>
        <w:pStyle w:val="h4numbered"/>
      </w:pPr>
      <w:r w:rsidRPr="00ED3FCC">
        <w:t>In areas where the scale of non-participation in the Network Contract DES is significant, NHS England will consider the case for establishing a new APMS contract, in addition to existing GMS/PMS/APMS contracts, in order to establish additional primary medical care capacity (covering both essential services and network services) in those areas.</w:t>
      </w:r>
    </w:p>
    <w:p w14:paraId="746D90B3" w14:textId="77777777" w:rsidR="008F2758" w:rsidRPr="00DC299B" w:rsidRDefault="008F2758" w:rsidP="00084AFF">
      <w:pPr>
        <w:pStyle w:val="h3numbered"/>
      </w:pPr>
      <w:bookmarkStart w:id="39" w:name="_Toc36557251"/>
      <w:bookmarkStart w:id="40" w:name="_Toc150155978"/>
      <w:bookmarkStart w:id="41" w:name="_Toc223511121"/>
      <w:bookmarkStart w:id="42" w:name="_Toc223511411"/>
      <w:r w:rsidRPr="00DC299B">
        <w:t>Payments under a local agreement</w:t>
      </w:r>
      <w:bookmarkEnd w:id="39"/>
      <w:bookmarkEnd w:id="40"/>
      <w:bookmarkEnd w:id="41"/>
      <w:bookmarkEnd w:id="42"/>
      <w:r w:rsidRPr="00DC299B">
        <w:t xml:space="preserve"> </w:t>
      </w:r>
    </w:p>
    <w:p w14:paraId="1F88BC5B" w14:textId="77777777" w:rsidR="008F2758" w:rsidRPr="00F72699" w:rsidRDefault="008F2758" w:rsidP="00084AFF">
      <w:pPr>
        <w:pStyle w:val="h4numbered"/>
      </w:pPr>
      <w:r w:rsidRPr="00F72699">
        <w:t>For the purposes of the Network Contract DES, payments to a PCN for the provision of PCN services/activities are mostly calculated by reference to the sum of its Core Network Practices’ registered lists at 1 January each year. This sum will not therefore include patients from practices who are not participating in the Network Contract DES. Instead, the patients of practices not participating in the Network Contract DES would need to be accounted for under the local agreement put in place with the PCN that will be providing cover. These local agreements / arrangements will need to account for amendment of list sizes in all systems and will not be supported by either the General Practice Extraction Service (GPES) or the Calculating Quality Reporting Service (CQRS). Commissioners will be required to manage these out-with of these systems.</w:t>
      </w:r>
    </w:p>
    <w:p w14:paraId="5AA319A2" w14:textId="77777777" w:rsidR="008F2758" w:rsidRPr="00F72699" w:rsidRDefault="008F2758" w:rsidP="00084AFF">
      <w:pPr>
        <w:pStyle w:val="h4numbered"/>
      </w:pPr>
      <w:r w:rsidRPr="00F72699">
        <w:t xml:space="preserve">The commissioner and PCN may need to consider on a case by case basis the extent to which the total number of patients that the PCN provides services to (i.e. including the non-DES practice patients) would require additional workforce capacity, in order to support delivery of network </w:t>
      </w:r>
      <w:r w:rsidRPr="00F72699">
        <w:lastRenderedPageBreak/>
        <w:t>services and therefore what, if any, workforce related payments should be reflected in the local arrangements.</w:t>
      </w:r>
    </w:p>
    <w:p w14:paraId="34BC7AEA" w14:textId="77777777" w:rsidR="008F2758" w:rsidRPr="00F72699" w:rsidRDefault="008F2758" w:rsidP="00084AFF">
      <w:pPr>
        <w:pStyle w:val="h4numbered"/>
      </w:pPr>
      <w:r w:rsidRPr="00F72699">
        <w:t>There may also need to be consideration of whether the Clinical Director of the PCN acts on behalf of the non-DES practice. If so, then consideration would need to be given to whether a payment in respect of this (calculated with respect to the patient list size of the non-DES practice) is appropriate.</w:t>
      </w:r>
    </w:p>
    <w:p w14:paraId="2A11DD04" w14:textId="77777777" w:rsidR="008F2758" w:rsidRPr="00F72699" w:rsidRDefault="008F2758" w:rsidP="00084AFF">
      <w:pPr>
        <w:pStyle w:val="h4numbered"/>
      </w:pPr>
      <w:r w:rsidRPr="00F72699">
        <w:t>Commissioners will have local discretion as to whether or not any additional funding can be made available, in part or in full to the PCN providing the cover for the non-DES practice.</w:t>
      </w:r>
    </w:p>
    <w:p w14:paraId="094ABA46" w14:textId="77777777" w:rsidR="008F2758" w:rsidRPr="00F72699" w:rsidRDefault="008F2758" w:rsidP="00084AFF">
      <w:pPr>
        <w:pStyle w:val="h4numbered"/>
      </w:pPr>
      <w:r w:rsidRPr="00F72699">
        <w:t>The non-DES practice will not be entitled to the Network Participation Payment if not participating in the Network Contract DES.</w:t>
      </w:r>
    </w:p>
    <w:p w14:paraId="23521215" w14:textId="77777777" w:rsidR="008F2758" w:rsidRDefault="008F2758" w:rsidP="00084AFF">
      <w:pPr>
        <w:pStyle w:val="h3numbered"/>
      </w:pPr>
      <w:bookmarkStart w:id="43" w:name="_Toc36557252"/>
      <w:bookmarkStart w:id="44" w:name="_Toc150155979"/>
      <w:bookmarkStart w:id="45" w:name="_Toc223511122"/>
      <w:bookmarkStart w:id="46" w:name="_Toc223511412"/>
      <w:r w:rsidRPr="00DC299B">
        <w:t>Duty of co-operation</w:t>
      </w:r>
      <w:bookmarkEnd w:id="43"/>
      <w:bookmarkEnd w:id="44"/>
      <w:bookmarkEnd w:id="45"/>
      <w:bookmarkEnd w:id="46"/>
    </w:p>
    <w:p w14:paraId="0BC2A8F9" w14:textId="77777777" w:rsidR="008F2758" w:rsidRPr="00FB0833" w:rsidRDefault="008F2758" w:rsidP="00084AFF">
      <w:pPr>
        <w:pStyle w:val="h4numbered"/>
      </w:pPr>
      <w:r w:rsidRPr="00FB0833">
        <w:t>To support co-operation between all practices in delivering PCN related services to their patients, regardless of whether or not a practice is participating in the Network Contract DES, the GMS and PMS Regulations require all practices to:</w:t>
      </w:r>
    </w:p>
    <w:p w14:paraId="3521252D" w14:textId="72B7959C" w:rsidR="008F2758" w:rsidRPr="009624B2" w:rsidRDefault="008F2758" w:rsidP="000741C5">
      <w:pPr>
        <w:pStyle w:val="BodyText"/>
        <w:numPr>
          <w:ilvl w:val="0"/>
          <w:numId w:val="51"/>
        </w:numPr>
        <w:ind w:left="2268" w:hanging="567"/>
      </w:pPr>
      <w:r w:rsidRPr="00FB0833">
        <w:rPr>
          <w:lang w:eastAsia="en-GB"/>
        </w:rPr>
        <w:t>co-</w:t>
      </w:r>
      <w:r w:rsidRPr="00FB0833">
        <w:t>op</w:t>
      </w:r>
      <w:r w:rsidR="00567865">
        <w:t>e</w:t>
      </w:r>
      <w:r w:rsidRPr="00FB0833">
        <w:t>rate with Core Network Practices of PCNs who are delivering the Network Contract DES services/activities to the collective registered population and as required engage in wider PCN meetings with other PCN providers;</w:t>
      </w:r>
    </w:p>
    <w:p w14:paraId="539BF495" w14:textId="77777777" w:rsidR="008F2758" w:rsidRPr="009624B2" w:rsidRDefault="008F2758" w:rsidP="000741C5">
      <w:pPr>
        <w:pStyle w:val="BodyText"/>
        <w:numPr>
          <w:ilvl w:val="0"/>
          <w:numId w:val="51"/>
        </w:numPr>
        <w:ind w:left="2268" w:hanging="567"/>
      </w:pPr>
      <w:r w:rsidRPr="00FB0833">
        <w:t>inform their patients, as required, of changes to PCN services/activities;</w:t>
      </w:r>
    </w:p>
    <w:p w14:paraId="2102CBAD" w14:textId="77777777" w:rsidR="008F2758" w:rsidRPr="009624B2" w:rsidRDefault="008F2758" w:rsidP="000741C5">
      <w:pPr>
        <w:pStyle w:val="BodyText"/>
        <w:numPr>
          <w:ilvl w:val="0"/>
          <w:numId w:val="51"/>
        </w:numPr>
        <w:ind w:left="2268" w:hanging="567"/>
      </w:pPr>
      <w:r w:rsidRPr="00FB0833">
        <w:t>support wider co-operation with other non-GP provider members of the PCN;</w:t>
      </w:r>
    </w:p>
    <w:p w14:paraId="034C73A2" w14:textId="77777777" w:rsidR="008F2758" w:rsidRPr="009624B2" w:rsidRDefault="008F2758" w:rsidP="000741C5">
      <w:pPr>
        <w:pStyle w:val="BodyText"/>
        <w:numPr>
          <w:ilvl w:val="0"/>
          <w:numId w:val="51"/>
        </w:numPr>
        <w:ind w:left="2268" w:hanging="567"/>
      </w:pPr>
      <w:r w:rsidRPr="00FB0833">
        <w:t>as clinically required, support the delivery of PCN services/activities, be party to appropriate data sharing and data processing arrangements, that are compliant with data protection legislation; and</w:t>
      </w:r>
    </w:p>
    <w:p w14:paraId="26FCC1C7" w14:textId="77777777" w:rsidR="008F2758" w:rsidRPr="009624B2" w:rsidRDefault="008F2758" w:rsidP="000741C5">
      <w:pPr>
        <w:pStyle w:val="BodyText"/>
        <w:numPr>
          <w:ilvl w:val="0"/>
          <w:numId w:val="51"/>
        </w:numPr>
        <w:ind w:left="2268" w:hanging="567"/>
      </w:pPr>
      <w:r w:rsidRPr="00FB0833">
        <w:t>share non-clinical data with members of the PCN to support delivery of PCN business and analysis, following a process that is compliant with data protection legislation.</w:t>
      </w:r>
    </w:p>
    <w:p w14:paraId="6F9EFBC0" w14:textId="2FD7DBAC" w:rsidR="008F2758" w:rsidRPr="0099125F" w:rsidRDefault="008F2758" w:rsidP="00084AFF">
      <w:pPr>
        <w:pStyle w:val="h4numbered"/>
        <w:rPr>
          <w:szCs w:val="26"/>
          <w:lang w:eastAsia="en-GB"/>
        </w:rPr>
      </w:pPr>
      <w:r w:rsidRPr="00FB0833">
        <w:t xml:space="preserve">Alongside the above, a practice’s compliance with the GMC Good Medical Practice to act in the best interests of patients and not put them at risk of harm, should provide assurance that non-DES practices will co-operate with the delivery of PCN services/activities. In the event a non-DES practice does not co-operate, the commissioner will need to be made aware of, and </w:t>
      </w:r>
      <w:r w:rsidRPr="00FB0833">
        <w:lastRenderedPageBreak/>
        <w:t>address, the matter appropriately in line with normal contract management arrangements.</w:t>
      </w:r>
      <w:bookmarkEnd w:id="32"/>
    </w:p>
    <w:p w14:paraId="412CF8EC" w14:textId="2B3C0D97" w:rsidR="008F2758" w:rsidRPr="001F3AE9" w:rsidRDefault="00D8252D" w:rsidP="00D8252D">
      <w:pPr>
        <w:pStyle w:val="h2numbered"/>
        <w:keepNext/>
        <w:keepLines/>
        <w:ind w:right="85"/>
      </w:pPr>
      <w:bookmarkStart w:id="47" w:name="_Toc36557253"/>
      <w:bookmarkStart w:id="48" w:name="_Toc150155980"/>
      <w:r>
        <w:tab/>
      </w:r>
      <w:bookmarkStart w:id="49" w:name="_Toc223511123"/>
      <w:bookmarkStart w:id="50" w:name="_Toc223511413"/>
      <w:r w:rsidR="008F2758" w:rsidRPr="00704FA3">
        <w:t>PCN</w:t>
      </w:r>
      <w:r w:rsidR="008F2758" w:rsidRPr="001F3AE9">
        <w:t xml:space="preserve"> Organisational Requirements</w:t>
      </w:r>
      <w:bookmarkEnd w:id="47"/>
      <w:bookmarkEnd w:id="48"/>
      <w:bookmarkEnd w:id="49"/>
      <w:bookmarkEnd w:id="50"/>
    </w:p>
    <w:p w14:paraId="0D98F0A9" w14:textId="77777777" w:rsidR="008F2758" w:rsidRPr="001D1C67" w:rsidRDefault="008F2758" w:rsidP="00084AFF">
      <w:pPr>
        <w:pStyle w:val="h3numbered"/>
      </w:pPr>
      <w:bookmarkStart w:id="51" w:name="_Toc36557254"/>
      <w:bookmarkStart w:id="52" w:name="_Toc150155981"/>
      <w:bookmarkStart w:id="53" w:name="_Toc223511124"/>
      <w:bookmarkStart w:id="54" w:name="_Toc223511414"/>
      <w:r w:rsidRPr="001D1C67">
        <w:t>Membership of a Primary Care Network</w:t>
      </w:r>
      <w:r>
        <w:t>, network area and crossing commissioner boundaries</w:t>
      </w:r>
      <w:bookmarkEnd w:id="51"/>
      <w:bookmarkEnd w:id="52"/>
      <w:bookmarkEnd w:id="53"/>
      <w:bookmarkEnd w:id="54"/>
    </w:p>
    <w:p w14:paraId="4468CC33" w14:textId="77777777" w:rsidR="008F2758" w:rsidRPr="00567865" w:rsidRDefault="008F2758" w:rsidP="00084AFF">
      <w:pPr>
        <w:pStyle w:val="h4numbered"/>
        <w:rPr>
          <w:lang w:eastAsia="en-GB"/>
        </w:rPr>
      </w:pPr>
      <w:r w:rsidRPr="00567865">
        <w:rPr>
          <w:lang w:eastAsia="en-GB"/>
        </w:rPr>
        <w:t>Under the Network Agreement, PCN membership is divided into two categories – Core Network Practices and other PCN members. Core Network Practices are the practices participating in the Network Contract DES</w:t>
      </w:r>
      <w:r w:rsidRPr="00567865">
        <w:rPr>
          <w:rStyle w:val="FootnoteReference"/>
          <w:lang w:eastAsia="en-GB"/>
        </w:rPr>
        <w:footnoteReference w:id="4"/>
      </w:r>
      <w:r w:rsidRPr="00567865">
        <w:rPr>
          <w:lang w:eastAsia="en-GB"/>
        </w:rPr>
        <w:t>. Any other organisations party to the Network Agreement are known as PCN members and may include other providers, such as a GP Federation, community or secondary care trust, community pharmacy, community or voluntary sector provider, and GP practices who are not participating in the Network Contract DES or who are not Core Network Practices of the PCN.</w:t>
      </w:r>
    </w:p>
    <w:p w14:paraId="44E59CAA" w14:textId="401E31E6" w:rsidR="008F2758" w:rsidRDefault="008F2758" w:rsidP="00084AFF">
      <w:pPr>
        <w:pStyle w:val="h4numbered"/>
      </w:pPr>
      <w:r w:rsidRPr="00567865">
        <w:t xml:space="preserve">The Core Network Practice membership of a PCN </w:t>
      </w:r>
      <w:r w:rsidR="003035B0">
        <w:t xml:space="preserve">must </w:t>
      </w:r>
      <w:r w:rsidRPr="00567865">
        <w:t xml:space="preserve">cover a Network Area that aligns with a footprint that would best support delivery of </w:t>
      </w:r>
      <w:r w:rsidR="00821CA3">
        <w:t>s</w:t>
      </w:r>
      <w:r w:rsidRPr="00567865">
        <w:t>ervices to patients in the context of the relevant ICS. The Network Area</w:t>
      </w:r>
      <w:r w:rsidR="00114B27">
        <w:t xml:space="preserve"> must</w:t>
      </w:r>
      <w:r w:rsidRPr="00567865">
        <w:t xml:space="preserve"> also:</w:t>
      </w:r>
    </w:p>
    <w:p w14:paraId="29236855" w14:textId="77777777" w:rsidR="00223CBB" w:rsidRPr="00567865" w:rsidRDefault="00223CBB" w:rsidP="000741C5">
      <w:pPr>
        <w:pStyle w:val="Heading4"/>
        <w:keepNext w:val="0"/>
        <w:numPr>
          <w:ilvl w:val="0"/>
          <w:numId w:val="17"/>
        </w:numPr>
        <w:spacing w:line="276" w:lineRule="auto"/>
        <w:ind w:left="2268" w:hanging="567"/>
        <w:rPr>
          <w:rFonts w:ascii="Arial" w:hAnsi="Arial"/>
          <w:b w:val="0"/>
          <w:sz w:val="24"/>
        </w:rPr>
      </w:pPr>
      <w:r w:rsidRPr="00567865">
        <w:rPr>
          <w:rFonts w:ascii="Arial" w:hAnsi="Arial"/>
          <w:b w:val="0"/>
          <w:sz w:val="24"/>
        </w:rPr>
        <w:t>cover a boundary that makes sense to:</w:t>
      </w:r>
    </w:p>
    <w:p w14:paraId="4E6651D4" w14:textId="77777777" w:rsidR="00223CBB" w:rsidRPr="00567865" w:rsidRDefault="00223CBB" w:rsidP="000741C5">
      <w:pPr>
        <w:pStyle w:val="Heading4"/>
        <w:keepNext w:val="0"/>
        <w:numPr>
          <w:ilvl w:val="1"/>
          <w:numId w:val="18"/>
        </w:numPr>
        <w:spacing w:line="276" w:lineRule="auto"/>
        <w:ind w:left="2835" w:hanging="567"/>
        <w:rPr>
          <w:rFonts w:ascii="Arial" w:hAnsi="Arial"/>
          <w:b w:val="0"/>
          <w:sz w:val="24"/>
        </w:rPr>
      </w:pPr>
      <w:r w:rsidRPr="00567865">
        <w:rPr>
          <w:rFonts w:ascii="Arial" w:hAnsi="Arial"/>
          <w:b w:val="0"/>
          <w:sz w:val="24"/>
        </w:rPr>
        <w:t>the Core Network Practices of the PCN;</w:t>
      </w:r>
    </w:p>
    <w:p w14:paraId="465E20C2" w14:textId="77777777" w:rsidR="00223CBB" w:rsidRPr="00567865" w:rsidRDefault="00223CBB" w:rsidP="000741C5">
      <w:pPr>
        <w:pStyle w:val="Heading4"/>
        <w:keepNext w:val="0"/>
        <w:numPr>
          <w:ilvl w:val="1"/>
          <w:numId w:val="18"/>
        </w:numPr>
        <w:spacing w:line="276" w:lineRule="auto"/>
        <w:ind w:left="2835" w:hanging="567"/>
        <w:rPr>
          <w:rFonts w:ascii="Arial" w:hAnsi="Arial"/>
          <w:b w:val="0"/>
          <w:sz w:val="24"/>
        </w:rPr>
      </w:pPr>
      <w:r w:rsidRPr="00567865">
        <w:rPr>
          <w:rFonts w:ascii="Arial" w:hAnsi="Arial"/>
          <w:b w:val="0"/>
          <w:sz w:val="24"/>
        </w:rPr>
        <w:t>other community-based providers which configure their teams accordingly; and</w:t>
      </w:r>
    </w:p>
    <w:p w14:paraId="241B9E27" w14:textId="77777777" w:rsidR="00223CBB" w:rsidRPr="00567865" w:rsidRDefault="00223CBB" w:rsidP="000741C5">
      <w:pPr>
        <w:pStyle w:val="Heading4"/>
        <w:keepNext w:val="0"/>
        <w:numPr>
          <w:ilvl w:val="1"/>
          <w:numId w:val="18"/>
        </w:numPr>
        <w:spacing w:line="276" w:lineRule="auto"/>
        <w:ind w:left="2835" w:hanging="567"/>
        <w:rPr>
          <w:rFonts w:ascii="Arial" w:hAnsi="Arial"/>
          <w:b w:val="0"/>
          <w:sz w:val="24"/>
        </w:rPr>
      </w:pPr>
      <w:r w:rsidRPr="00567865">
        <w:rPr>
          <w:rFonts w:ascii="Arial" w:hAnsi="Arial"/>
          <w:b w:val="0"/>
          <w:sz w:val="24"/>
        </w:rPr>
        <w:t>the local community;</w:t>
      </w:r>
    </w:p>
    <w:p w14:paraId="528EF251" w14:textId="77777777" w:rsidR="00223CBB" w:rsidRPr="00567865" w:rsidRDefault="00223CBB" w:rsidP="000741C5">
      <w:pPr>
        <w:pStyle w:val="Heading4"/>
        <w:keepNext w:val="0"/>
        <w:numPr>
          <w:ilvl w:val="0"/>
          <w:numId w:val="17"/>
        </w:numPr>
        <w:spacing w:line="276" w:lineRule="auto"/>
        <w:ind w:left="2268" w:hanging="567"/>
        <w:rPr>
          <w:rFonts w:ascii="Arial" w:hAnsi="Arial"/>
          <w:b w:val="0"/>
          <w:sz w:val="24"/>
        </w:rPr>
      </w:pPr>
      <w:r w:rsidRPr="00567865">
        <w:rPr>
          <w:rFonts w:ascii="Arial" w:hAnsi="Arial"/>
          <w:b w:val="0"/>
          <w:sz w:val="24"/>
        </w:rPr>
        <w:t>cover a geographically contiguous area;</w:t>
      </w:r>
    </w:p>
    <w:p w14:paraId="50F2F773" w14:textId="77777777" w:rsidR="00223CBB" w:rsidRPr="00567865" w:rsidRDefault="00223CBB" w:rsidP="000741C5">
      <w:pPr>
        <w:pStyle w:val="Heading4"/>
        <w:keepNext w:val="0"/>
        <w:numPr>
          <w:ilvl w:val="0"/>
          <w:numId w:val="17"/>
        </w:numPr>
        <w:spacing w:line="276" w:lineRule="auto"/>
        <w:ind w:left="2268" w:hanging="567"/>
        <w:rPr>
          <w:rFonts w:ascii="Arial" w:hAnsi="Arial"/>
          <w:b w:val="0"/>
          <w:sz w:val="24"/>
        </w:rPr>
      </w:pPr>
      <w:r w:rsidRPr="00567865">
        <w:rPr>
          <w:rFonts w:ascii="Arial" w:hAnsi="Arial"/>
          <w:b w:val="0"/>
          <w:sz w:val="24"/>
        </w:rPr>
        <w:t xml:space="preserve">not cross </w:t>
      </w:r>
      <w:r w:rsidRPr="000A2880">
        <w:rPr>
          <w:rFonts w:ascii="Arial" w:hAnsi="Arial"/>
          <w:b w:val="0"/>
          <w:sz w:val="24"/>
        </w:rPr>
        <w:t>commissioner</w:t>
      </w:r>
      <w:r w:rsidRPr="00567865">
        <w:rPr>
          <w:rFonts w:ascii="Arial" w:hAnsi="Arial"/>
          <w:b w:val="0"/>
          <w:sz w:val="24"/>
        </w:rPr>
        <w:t xml:space="preserve"> boundaries except where:</w:t>
      </w:r>
    </w:p>
    <w:p w14:paraId="140BD172" w14:textId="77777777" w:rsidR="00223CBB" w:rsidRPr="00567865" w:rsidRDefault="00223CBB" w:rsidP="000741C5">
      <w:pPr>
        <w:pStyle w:val="Heading4"/>
        <w:keepNext w:val="0"/>
        <w:numPr>
          <w:ilvl w:val="0"/>
          <w:numId w:val="19"/>
        </w:numPr>
        <w:spacing w:line="276" w:lineRule="auto"/>
        <w:ind w:left="2835" w:hanging="567"/>
        <w:rPr>
          <w:rFonts w:ascii="Arial" w:hAnsi="Arial"/>
          <w:b w:val="0"/>
          <w:sz w:val="24"/>
        </w:rPr>
      </w:pPr>
      <w:r w:rsidRPr="00567865">
        <w:rPr>
          <w:rFonts w:ascii="Arial" w:hAnsi="Arial"/>
          <w:b w:val="0"/>
          <w:sz w:val="24"/>
        </w:rPr>
        <w:t>a Core Network Practice’s boundary or branch surgery crosses the relevant boundaries; or</w:t>
      </w:r>
    </w:p>
    <w:p w14:paraId="043AE581" w14:textId="38933AB2" w:rsidR="00936F99" w:rsidRDefault="00223CBB" w:rsidP="00936F99">
      <w:pPr>
        <w:pStyle w:val="Heading4"/>
        <w:keepNext w:val="0"/>
        <w:numPr>
          <w:ilvl w:val="0"/>
          <w:numId w:val="19"/>
        </w:numPr>
        <w:spacing w:line="276" w:lineRule="auto"/>
        <w:ind w:left="2835" w:hanging="567"/>
        <w:rPr>
          <w:rFonts w:ascii="Arial" w:hAnsi="Arial"/>
          <w:b w:val="0"/>
          <w:sz w:val="24"/>
        </w:rPr>
      </w:pPr>
      <w:r w:rsidRPr="00567865">
        <w:rPr>
          <w:rFonts w:ascii="Arial" w:hAnsi="Arial"/>
          <w:b w:val="0"/>
          <w:sz w:val="24"/>
        </w:rPr>
        <w:t xml:space="preserve">the Core Network Practices are situated in </w:t>
      </w:r>
      <w:r w:rsidRPr="000A2880">
        <w:rPr>
          <w:rFonts w:ascii="Arial" w:hAnsi="Arial"/>
          <w:b w:val="0"/>
          <w:sz w:val="24"/>
        </w:rPr>
        <w:t>different ICSs.</w:t>
      </w:r>
    </w:p>
    <w:p w14:paraId="3A90B59D" w14:textId="4DC5BA98" w:rsidR="00936F99" w:rsidRPr="00D87194" w:rsidRDefault="00D87194" w:rsidP="002E73B3">
      <w:pPr>
        <w:pStyle w:val="ListParagraph"/>
        <w:numPr>
          <w:ilvl w:val="0"/>
          <w:numId w:val="17"/>
        </w:numPr>
        <w:rPr>
          <w:highlight w:val="yellow"/>
        </w:rPr>
      </w:pPr>
      <w:r w:rsidRPr="00D87194">
        <w:rPr>
          <w:highlight w:val="yellow"/>
        </w:rPr>
        <w:t>in the limited circumstances described in paragraph 5.1.2(f</w:t>
      </w:r>
      <w:r w:rsidRPr="006C3C8B">
        <w:rPr>
          <w:highlight w:val="yellow"/>
        </w:rPr>
        <w:t xml:space="preserve">) </w:t>
      </w:r>
      <w:r w:rsidR="006C3C8B" w:rsidRPr="006C3C8B">
        <w:rPr>
          <w:highlight w:val="yellow"/>
          <w:lang w:eastAsia="en-GB"/>
        </w:rPr>
        <w:t>of the Network Contract DES Specification</w:t>
      </w:r>
      <w:r w:rsidRPr="006C3C8B">
        <w:rPr>
          <w:highlight w:val="yellow"/>
        </w:rPr>
        <w:t xml:space="preserve"> </w:t>
      </w:r>
      <w:r w:rsidRPr="00D87194">
        <w:rPr>
          <w:highlight w:val="yellow"/>
        </w:rPr>
        <w:t xml:space="preserve">where the commissioner and local authority identify a natural community that does not align with the PCN’s </w:t>
      </w:r>
      <w:r w:rsidRPr="00D87194">
        <w:rPr>
          <w:highlight w:val="yellow"/>
        </w:rPr>
        <w:lastRenderedPageBreak/>
        <w:t>existing Network Area, the commissioner must engage with the LMC to ensure appropriate local practice representation and to support a consistent interpretation of “natural community”.</w:t>
      </w:r>
    </w:p>
    <w:p w14:paraId="4BAEF7D4" w14:textId="23A792DB" w:rsidR="00223CBB" w:rsidRPr="00567865" w:rsidRDefault="00223CBB" w:rsidP="00084AFF">
      <w:pPr>
        <w:pStyle w:val="h4numbered"/>
      </w:pPr>
      <w:r w:rsidRPr="00163199">
        <w:rPr>
          <w:rFonts w:hint="eastAsia"/>
        </w:rPr>
        <w:t xml:space="preserve">From </w:t>
      </w:r>
      <w:r>
        <w:t xml:space="preserve">a </w:t>
      </w:r>
      <w:r w:rsidRPr="00163199">
        <w:rPr>
          <w:rFonts w:hint="eastAsia"/>
        </w:rPr>
        <w:t>contractual perspective, a primary medical services provider who holds:</w:t>
      </w:r>
    </w:p>
    <w:p w14:paraId="6E781A0F" w14:textId="360F5A52" w:rsidR="008F2758" w:rsidRPr="00567865" w:rsidRDefault="008F2758" w:rsidP="000741C5">
      <w:pPr>
        <w:pStyle w:val="Heading4"/>
        <w:keepNext w:val="0"/>
        <w:numPr>
          <w:ilvl w:val="0"/>
          <w:numId w:val="16"/>
        </w:numPr>
        <w:spacing w:line="276" w:lineRule="auto"/>
        <w:ind w:left="2268" w:hanging="567"/>
        <w:rPr>
          <w:rFonts w:ascii="Arial" w:hAnsi="Arial"/>
          <w:b w:val="0"/>
          <w:sz w:val="24"/>
        </w:rPr>
      </w:pPr>
      <w:r w:rsidRPr="00567865">
        <w:rPr>
          <w:rFonts w:ascii="Arial" w:hAnsi="Arial"/>
          <w:b w:val="0"/>
          <w:sz w:val="24"/>
        </w:rPr>
        <w:t>a single eligible primary medical services contract will only be able to hold one Network Contract DES and be a Core Network Practice of a single PCN</w:t>
      </w:r>
      <w:r w:rsidR="00223CBB">
        <w:rPr>
          <w:rFonts w:ascii="Arial" w:hAnsi="Arial"/>
          <w:b w:val="0"/>
          <w:sz w:val="24"/>
        </w:rPr>
        <w:t>;</w:t>
      </w:r>
      <w:r w:rsidRPr="00567865">
        <w:rPr>
          <w:rFonts w:ascii="Arial" w:hAnsi="Arial"/>
          <w:b w:val="0"/>
          <w:sz w:val="24"/>
        </w:rPr>
        <w:t xml:space="preserve"> this applies regardless of whether or not the single primary medical care provider has multiple sites spanning large areas and/or commissioner boundaries; or</w:t>
      </w:r>
    </w:p>
    <w:p w14:paraId="108C964E" w14:textId="0608B9FC" w:rsidR="008F2758" w:rsidRPr="00567865" w:rsidRDefault="008F2758" w:rsidP="000741C5">
      <w:pPr>
        <w:pStyle w:val="Heading4"/>
        <w:keepNext w:val="0"/>
        <w:numPr>
          <w:ilvl w:val="0"/>
          <w:numId w:val="16"/>
        </w:numPr>
        <w:spacing w:line="276" w:lineRule="auto"/>
        <w:ind w:left="2268" w:hanging="567"/>
        <w:rPr>
          <w:rFonts w:ascii="Arial" w:hAnsi="Arial"/>
          <w:b w:val="0"/>
          <w:sz w:val="24"/>
        </w:rPr>
      </w:pPr>
      <w:r w:rsidRPr="00567865">
        <w:rPr>
          <w:rFonts w:ascii="Arial" w:hAnsi="Arial"/>
          <w:b w:val="0"/>
          <w:sz w:val="24"/>
        </w:rPr>
        <w:t xml:space="preserve">multiple eligible primary medical </w:t>
      </w:r>
      <w:r w:rsidR="00223CBB">
        <w:rPr>
          <w:rFonts w:ascii="Arial" w:hAnsi="Arial"/>
          <w:b w:val="0"/>
          <w:sz w:val="24"/>
        </w:rPr>
        <w:t>services</w:t>
      </w:r>
      <w:r w:rsidR="00223CBB" w:rsidRPr="00567865">
        <w:rPr>
          <w:rFonts w:ascii="Arial" w:hAnsi="Arial"/>
          <w:b w:val="0"/>
          <w:sz w:val="24"/>
        </w:rPr>
        <w:t xml:space="preserve"> </w:t>
      </w:r>
      <w:r w:rsidRPr="00567865">
        <w:rPr>
          <w:rFonts w:ascii="Arial" w:hAnsi="Arial"/>
          <w:b w:val="0"/>
          <w:sz w:val="24"/>
        </w:rPr>
        <w:t>contracts will be able to have each of those contracts varied to include the Network Contract DES and each practice will be a Core Network Practice of the relevant PCN(s).</w:t>
      </w:r>
    </w:p>
    <w:p w14:paraId="7D1AA5C8" w14:textId="18B50F8C" w:rsidR="008F2758" w:rsidRPr="00DF14B2" w:rsidRDefault="008F2758" w:rsidP="00084AFF">
      <w:pPr>
        <w:pStyle w:val="h4numbered"/>
        <w:rPr>
          <w:szCs w:val="24"/>
        </w:rPr>
      </w:pPr>
      <w:r w:rsidRPr="00DF14B2">
        <w:t>A practice not participating in the Network Contract DES could be a PCN member (like any other non-practice provider, i.e. not a Core Network Practice) and therefore be party to a PCN’s Network Agreement.</w:t>
      </w:r>
    </w:p>
    <w:p w14:paraId="5EF2A737" w14:textId="39F294ED" w:rsidR="00EF63CF" w:rsidRPr="008E4CFA" w:rsidRDefault="008F2758" w:rsidP="00084AFF">
      <w:pPr>
        <w:pStyle w:val="h4numbered"/>
      </w:pPr>
      <w:r w:rsidRPr="008E4CFA">
        <w:t>A practice may be a member of more than one PCN, for example where a practice provides services from a branch surgery and sub-contracts the delivery of PCN services and/or activities for that branch surgery to a different PCN, or where a practice is the nominated payee for two PCNs. In these examples, the practice would be a Core Network Practice of one PCN and a PCN member (i.e. non-Core Network Practice) of another PCN. Similarly, within the PCN ODS reference data, GPES and CQRS, practices will only be a Core Network Practice of one PCN.</w:t>
      </w:r>
    </w:p>
    <w:p w14:paraId="0D6BD602" w14:textId="7A25E9D3" w:rsidR="008F2758" w:rsidRPr="00F55944" w:rsidRDefault="008F2758" w:rsidP="00084AFF">
      <w:pPr>
        <w:pStyle w:val="h4numbered"/>
        <w:rPr>
          <w:lang w:eastAsia="en-GB"/>
        </w:rPr>
      </w:pPr>
      <w:r w:rsidRPr="00DE1803">
        <w:t xml:space="preserve">A practice with one or more branch surgeries in different PCNs acknowledges that its list of patients will be associated with the PCN of which the practice is a Core Network Practice. For PCNs/practices intending to have a different PCN provide PCN services/ activities to a branch surgery, see section </w:t>
      </w:r>
      <w:r w:rsidRPr="00223A89">
        <w:fldChar w:fldCharType="begin"/>
      </w:r>
      <w:r w:rsidRPr="00DE1803">
        <w:instrText xml:space="preserve"> REF _Ref34815555 \r \h  \* MERGEFORMAT </w:instrText>
      </w:r>
      <w:r w:rsidRPr="00223A89">
        <w:fldChar w:fldCharType="separate"/>
      </w:r>
      <w:r w:rsidR="00BF21BB">
        <w:t>6</w:t>
      </w:r>
      <w:r w:rsidRPr="00223A89">
        <w:fldChar w:fldCharType="end"/>
      </w:r>
      <w:r w:rsidRPr="00DE1803">
        <w:t xml:space="preserve"> for information about sub-contracting arrangements.</w:t>
      </w:r>
    </w:p>
    <w:p w14:paraId="2CECA8C6" w14:textId="694E3548" w:rsidR="008F2758" w:rsidRPr="00EF63CF" w:rsidRDefault="008F2758" w:rsidP="00084AFF">
      <w:pPr>
        <w:pStyle w:val="h3numbered"/>
        <w:rPr>
          <w:bCs/>
          <w:lang w:eastAsia="en-GB"/>
        </w:rPr>
      </w:pPr>
      <w:bookmarkStart w:id="55" w:name="_Toc36557255"/>
      <w:bookmarkStart w:id="56" w:name="_Toc150155982"/>
      <w:bookmarkStart w:id="57" w:name="_Toc223511125"/>
      <w:bookmarkStart w:id="58" w:name="_Toc223511415"/>
      <w:r w:rsidRPr="00F55944">
        <w:rPr>
          <w:lang w:eastAsia="en-GB"/>
        </w:rPr>
        <w:t xml:space="preserve">PCN organisational or Core Network Practice </w:t>
      </w:r>
      <w:bookmarkEnd w:id="55"/>
      <w:r w:rsidRPr="00F55944">
        <w:rPr>
          <w:lang w:eastAsia="en-GB"/>
        </w:rPr>
        <w:t>membership changes</w:t>
      </w:r>
      <w:bookmarkEnd w:id="56"/>
      <w:bookmarkEnd w:id="57"/>
      <w:bookmarkEnd w:id="58"/>
      <w:r w:rsidRPr="00F55944">
        <w:rPr>
          <w:lang w:eastAsia="en-GB"/>
        </w:rPr>
        <w:t xml:space="preserve"> </w:t>
      </w:r>
    </w:p>
    <w:p w14:paraId="0E136D1A" w14:textId="1F112847" w:rsidR="008F2758" w:rsidRPr="00DF14B2" w:rsidRDefault="008F2758" w:rsidP="00084AFF">
      <w:pPr>
        <w:pStyle w:val="h4numbered"/>
        <w:rPr>
          <w:lang w:eastAsia="en-GB"/>
        </w:rPr>
      </w:pPr>
      <w:r w:rsidRPr="00DF14B2">
        <w:rPr>
          <w:lang w:eastAsia="en-GB"/>
        </w:rPr>
        <w:t xml:space="preserve">As outlined in section 2 above, a PCN may seek approval of a change to its Core Network Practice membership as part of the participation process following publication of </w:t>
      </w:r>
      <w:r w:rsidRPr="00365F7F">
        <w:rPr>
          <w:lang w:eastAsia="en-GB"/>
        </w:rPr>
        <w:t xml:space="preserve">the </w:t>
      </w:r>
      <w:r w:rsidR="00384011">
        <w:rPr>
          <w:rFonts w:hint="eastAsia"/>
          <w:lang w:eastAsia="en-GB"/>
        </w:rPr>
        <w:t>202</w:t>
      </w:r>
      <w:r w:rsidR="00384011" w:rsidRPr="00C41D3F">
        <w:rPr>
          <w:rFonts w:hint="eastAsia"/>
          <w:highlight w:val="yellow"/>
          <w:lang w:eastAsia="en-GB"/>
        </w:rPr>
        <w:t>6</w:t>
      </w:r>
      <w:r w:rsidR="00384011">
        <w:rPr>
          <w:rFonts w:hint="eastAsia"/>
          <w:lang w:eastAsia="en-GB"/>
        </w:rPr>
        <w:t>/2</w:t>
      </w:r>
      <w:r w:rsidR="00384011" w:rsidRPr="00C41D3F">
        <w:rPr>
          <w:rFonts w:hint="eastAsia"/>
          <w:highlight w:val="yellow"/>
          <w:lang w:eastAsia="en-GB"/>
        </w:rPr>
        <w:t>7</w:t>
      </w:r>
      <w:r w:rsidRPr="00365F7F">
        <w:rPr>
          <w:lang w:eastAsia="en-GB"/>
        </w:rPr>
        <w:t xml:space="preserve"> Network</w:t>
      </w:r>
      <w:r w:rsidRPr="00DF14B2">
        <w:rPr>
          <w:lang w:eastAsia="en-GB"/>
        </w:rPr>
        <w:t xml:space="preserve"> Contract DES Specification or an in-year variation. This change will be signed off as part of the process for practices confirming participation in the Network Contract DES, as outlined in section 2 of this guidance (and section 4.8 of the Network Contract DES Specification).</w:t>
      </w:r>
    </w:p>
    <w:p w14:paraId="21E7F539" w14:textId="77777777" w:rsidR="008F2758" w:rsidRPr="00DF14B2" w:rsidRDefault="008F2758" w:rsidP="00084AFF">
      <w:pPr>
        <w:pStyle w:val="h4numbered"/>
        <w:rPr>
          <w:lang w:eastAsia="en-GB"/>
        </w:rPr>
      </w:pPr>
      <w:r w:rsidRPr="00DF14B2">
        <w:rPr>
          <w:lang w:eastAsia="en-GB"/>
        </w:rPr>
        <w:lastRenderedPageBreak/>
        <w:t xml:space="preserve">Changes to Core Network Practice membership of a PCN can only take place outside of this window in exceptional circumstances as set out in sections 6.6 to 6.9 of the Network Contract DES Specification and with the approval of the commissioner. </w:t>
      </w:r>
    </w:p>
    <w:p w14:paraId="458682A6" w14:textId="3A827DD0" w:rsidR="008F2758" w:rsidRPr="00DF14B2" w:rsidRDefault="008F2758" w:rsidP="00084AFF">
      <w:pPr>
        <w:pStyle w:val="h4numbered"/>
      </w:pPr>
      <w:r w:rsidRPr="00DF14B2">
        <w:t>Commissioners should maintain accurate records of all PCN Core Network Practice membership approvals and rejections and will be required to demonstrate if requested, the rationale for their decision.</w:t>
      </w:r>
    </w:p>
    <w:p w14:paraId="544EED2D" w14:textId="1EBE9049" w:rsidR="008F2758" w:rsidRPr="00DF14B2" w:rsidRDefault="008F2758" w:rsidP="00084AFF">
      <w:pPr>
        <w:pStyle w:val="h4numbered"/>
      </w:pPr>
      <w:r w:rsidRPr="00DF14B2">
        <w:rPr>
          <w:lang w:eastAsia="en-GB"/>
        </w:rPr>
        <w:t xml:space="preserve">Where a PCN wishes to change its Clinical Director or nominated payee, it </w:t>
      </w:r>
      <w:r w:rsidR="00BE3E19">
        <w:rPr>
          <w:lang w:eastAsia="en-GB"/>
        </w:rPr>
        <w:t>must</w:t>
      </w:r>
      <w:r w:rsidRPr="00DF14B2">
        <w:rPr>
          <w:lang w:eastAsia="en-GB"/>
        </w:rPr>
        <w:t xml:space="preserve"> follow the process as set out in sections 6.2 and 6.3 respectively of the Network Contract DES Specification.</w:t>
      </w:r>
    </w:p>
    <w:p w14:paraId="6E3AC577" w14:textId="6586342C" w:rsidR="008F2758" w:rsidRPr="009E4CB6" w:rsidRDefault="008F2758" w:rsidP="00084AFF">
      <w:pPr>
        <w:pStyle w:val="h3numbered"/>
        <w:rPr>
          <w:b/>
        </w:rPr>
      </w:pPr>
      <w:bookmarkStart w:id="59" w:name="_Toc36557256"/>
      <w:bookmarkStart w:id="60" w:name="_Toc150155983"/>
      <w:bookmarkStart w:id="61" w:name="_Toc178248806"/>
      <w:bookmarkStart w:id="62" w:name="_Toc223511126"/>
      <w:bookmarkStart w:id="63" w:name="_Toc223511416"/>
      <w:bookmarkStart w:id="64" w:name="_Hlk34919114"/>
      <w:bookmarkStart w:id="65" w:name="_Hlk35427815"/>
      <w:r w:rsidRPr="00F55944">
        <w:rPr>
          <w:lang w:eastAsia="en-GB"/>
        </w:rPr>
        <w:t>PCN Organisational Data Service (ODS) information and Change Instruction Notice Form</w:t>
      </w:r>
      <w:bookmarkEnd w:id="59"/>
      <w:bookmarkEnd w:id="60"/>
      <w:bookmarkEnd w:id="61"/>
      <w:bookmarkEnd w:id="62"/>
      <w:bookmarkEnd w:id="63"/>
    </w:p>
    <w:p w14:paraId="5FB64696" w14:textId="7EA3A74B" w:rsidR="008F2758" w:rsidRPr="00817728" w:rsidRDefault="008F2758" w:rsidP="00084AFF">
      <w:pPr>
        <w:pStyle w:val="h4numbered"/>
      </w:pPr>
      <w:r w:rsidRPr="00817728">
        <w:t>Where changes to PCN membership or nominated payee have been approved by the commissioner, the commissioner must complete and submit the ODS Change Instruction Notice Form</w:t>
      </w:r>
      <w:r w:rsidRPr="00817728">
        <w:rPr>
          <w:rStyle w:val="FootnoteReference"/>
          <w:vertAlign w:val="baseline"/>
        </w:rPr>
        <w:footnoteReference w:id="5"/>
      </w:r>
      <w:r w:rsidRPr="00817728">
        <w:t xml:space="preserve">. If the instruction for the new PCN is given to ODS (via the PCN ODS Change Instruction Notice) prior to the last working day on or before the 14th of the month, then the PCN change will take effect in the next month’s statement. If the instruction is not provided prior to the last working day on or before the 14th of the month, then the PCN </w:t>
      </w:r>
      <w:r w:rsidR="00BE3E19" w:rsidRPr="00817728">
        <w:t>must</w:t>
      </w:r>
      <w:r w:rsidRPr="00817728">
        <w:t xml:space="preserve"> wait until the month after the next to be included in the statements (in the case of late notification, it will be down to commissioners to make a decision on how payments are made for the </w:t>
      </w:r>
      <w:proofErr w:type="spellStart"/>
      <w:r w:rsidRPr="00817728">
        <w:t>part</w:t>
      </w:r>
      <w:proofErr w:type="spellEnd"/>
      <w:r w:rsidRPr="00817728">
        <w:t xml:space="preserve"> month and proceeding month where relevant). The new PCN changes submitted to ODS will be reflected in systems in accordance with these timelines. In so doing, commissioners should have due regard to local payment arrangements and the timings implications of this when submitting an ODS Change Instruction Notice. Where the ODS Change Instruction Notice Form is not submitted by the monthly deadline, then changes will not take effect until </w:t>
      </w:r>
      <w:r w:rsidR="00310972" w:rsidRPr="00817728">
        <w:t>two</w:t>
      </w:r>
      <w:r w:rsidRPr="00817728">
        <w:t xml:space="preserve"> months later. The relevant systems will be updated with the instructed changes via automated notification processes. If the PCN has its own bank account to receive payment, please state the PCN ‘U’ code and name below. If a practice/provider receives payment on behalf of the PCN, please state their ODS code and name below.  </w:t>
      </w:r>
    </w:p>
    <w:p w14:paraId="2A9BE13D" w14:textId="77777777" w:rsidR="008F2758" w:rsidRPr="009D2F9A" w:rsidRDefault="008F2758" w:rsidP="00084AFF">
      <w:pPr>
        <w:pStyle w:val="h4numbered"/>
      </w:pPr>
      <w:r w:rsidRPr="009D2F9A">
        <w:t>The PCN ODS reference data provides the following information:</w:t>
      </w:r>
    </w:p>
    <w:p w14:paraId="391CA186" w14:textId="77777777" w:rsidR="008F2758" w:rsidRPr="00F55944" w:rsidRDefault="008F2758" w:rsidP="00E36FE2">
      <w:pPr>
        <w:spacing w:after="0" w:line="276" w:lineRule="auto"/>
        <w:contextualSpacing/>
        <w:rPr>
          <w:rFonts w:cs="Arial"/>
          <w:sz w:val="12"/>
        </w:rPr>
      </w:pPr>
    </w:p>
    <w:tbl>
      <w:tblPr>
        <w:tblStyle w:val="TableGrid"/>
        <w:tblW w:w="7938" w:type="dxa"/>
        <w:tblInd w:w="1696" w:type="dxa"/>
        <w:tblLook w:val="04A0" w:firstRow="1" w:lastRow="0" w:firstColumn="1" w:lastColumn="0" w:noHBand="0" w:noVBand="1"/>
      </w:tblPr>
      <w:tblGrid>
        <w:gridCol w:w="1764"/>
        <w:gridCol w:w="6174"/>
      </w:tblGrid>
      <w:tr w:rsidR="008F2758" w:rsidRPr="00F55944" w14:paraId="257A5DA9" w14:textId="77777777" w:rsidTr="00BF265A">
        <w:trPr>
          <w:tblHeader/>
        </w:trPr>
        <w:tc>
          <w:tcPr>
            <w:tcW w:w="1764" w:type="dxa"/>
            <w:shd w:val="clear" w:color="auto" w:fill="005EB8"/>
          </w:tcPr>
          <w:p w14:paraId="1A6D6CA5" w14:textId="77777777" w:rsidR="008F2758" w:rsidRPr="00F55944" w:rsidRDefault="008F2758" w:rsidP="00E36FE2">
            <w:pPr>
              <w:pStyle w:val="ListParagraph"/>
              <w:spacing w:line="276" w:lineRule="auto"/>
              <w:rPr>
                <w:rFonts w:cs="Arial"/>
                <w:b/>
                <w:color w:val="231F20" w:themeColor="background1"/>
              </w:rPr>
            </w:pPr>
            <w:r w:rsidRPr="00F55944">
              <w:rPr>
                <w:rFonts w:cs="Arial"/>
                <w:b/>
                <w:color w:val="231F20" w:themeColor="background1"/>
              </w:rPr>
              <w:lastRenderedPageBreak/>
              <w:t>Category</w:t>
            </w:r>
          </w:p>
        </w:tc>
        <w:tc>
          <w:tcPr>
            <w:tcW w:w="6174" w:type="dxa"/>
            <w:shd w:val="clear" w:color="auto" w:fill="005EB8"/>
          </w:tcPr>
          <w:p w14:paraId="72EDBD0C" w14:textId="77777777" w:rsidR="008F2758" w:rsidRPr="00F55944" w:rsidRDefault="008F2758" w:rsidP="00E36FE2">
            <w:pPr>
              <w:pStyle w:val="ListParagraph"/>
              <w:spacing w:line="276" w:lineRule="auto"/>
              <w:rPr>
                <w:rFonts w:cs="Arial"/>
                <w:b/>
                <w:color w:val="231F20" w:themeColor="background1"/>
              </w:rPr>
            </w:pPr>
            <w:r w:rsidRPr="00F55944">
              <w:rPr>
                <w:rFonts w:cs="Arial"/>
                <w:b/>
                <w:color w:val="231F20" w:themeColor="background1"/>
              </w:rPr>
              <w:t>Detailed information included</w:t>
            </w:r>
          </w:p>
        </w:tc>
      </w:tr>
      <w:tr w:rsidR="008F2758" w:rsidRPr="00F55944" w14:paraId="06BAC7C1" w14:textId="77777777" w:rsidTr="00BF265A">
        <w:tc>
          <w:tcPr>
            <w:tcW w:w="1764" w:type="dxa"/>
          </w:tcPr>
          <w:p w14:paraId="6267F03D" w14:textId="77777777" w:rsidR="008F2758" w:rsidRPr="00F55944" w:rsidRDefault="008F2758" w:rsidP="00E36FE2">
            <w:pPr>
              <w:pStyle w:val="ListParagraph"/>
              <w:spacing w:line="276" w:lineRule="auto"/>
              <w:ind w:firstLine="0"/>
              <w:rPr>
                <w:rFonts w:cs="Arial"/>
              </w:rPr>
            </w:pPr>
            <w:r w:rsidRPr="00F55944">
              <w:rPr>
                <w:rFonts w:cs="Arial"/>
              </w:rPr>
              <w:t>Organisational data for the PCN</w:t>
            </w:r>
          </w:p>
        </w:tc>
        <w:tc>
          <w:tcPr>
            <w:tcW w:w="6174" w:type="dxa"/>
          </w:tcPr>
          <w:p w14:paraId="487837D1" w14:textId="77777777" w:rsidR="008F2758" w:rsidRPr="00F55944" w:rsidRDefault="008F2758" w:rsidP="00E36FE2">
            <w:pPr>
              <w:spacing w:after="120" w:line="276" w:lineRule="auto"/>
              <w:rPr>
                <w:rFonts w:cs="Arial"/>
              </w:rPr>
            </w:pPr>
            <w:r w:rsidRPr="00F55944">
              <w:rPr>
                <w:rFonts w:cs="Arial"/>
              </w:rPr>
              <w:t>ODS code</w:t>
            </w:r>
          </w:p>
          <w:p w14:paraId="470216BB" w14:textId="77777777" w:rsidR="008F2758" w:rsidRPr="00F55944" w:rsidRDefault="008F2758" w:rsidP="00E36FE2">
            <w:pPr>
              <w:spacing w:after="120" w:line="276" w:lineRule="auto"/>
              <w:rPr>
                <w:rFonts w:cs="Arial"/>
              </w:rPr>
            </w:pPr>
            <w:r w:rsidRPr="00F55944">
              <w:rPr>
                <w:rFonts w:cs="Arial"/>
              </w:rPr>
              <w:t>PCN name</w:t>
            </w:r>
          </w:p>
          <w:p w14:paraId="362EDA8D" w14:textId="77777777" w:rsidR="008F2758" w:rsidRPr="00F55944" w:rsidRDefault="008F2758" w:rsidP="00E36FE2">
            <w:pPr>
              <w:spacing w:after="120" w:line="276" w:lineRule="auto"/>
              <w:rPr>
                <w:rFonts w:cs="Arial"/>
              </w:rPr>
            </w:pPr>
            <w:r w:rsidRPr="00F55944">
              <w:rPr>
                <w:rFonts w:cs="Arial"/>
              </w:rPr>
              <w:t>PCN address</w:t>
            </w:r>
          </w:p>
          <w:p w14:paraId="3E832C2A" w14:textId="77777777" w:rsidR="008F2758" w:rsidRPr="00F55944" w:rsidRDefault="008F2758" w:rsidP="00E36FE2">
            <w:pPr>
              <w:spacing w:after="120" w:line="276" w:lineRule="auto"/>
              <w:rPr>
                <w:rFonts w:cs="Arial"/>
              </w:rPr>
            </w:pPr>
            <w:r w:rsidRPr="00F55944">
              <w:rPr>
                <w:rFonts w:cs="Arial"/>
              </w:rPr>
              <w:t>Start and end dates of PCN</w:t>
            </w:r>
          </w:p>
          <w:p w14:paraId="49421209" w14:textId="77777777" w:rsidR="008F2758" w:rsidRPr="00F55944" w:rsidRDefault="008F2758" w:rsidP="00E36FE2">
            <w:pPr>
              <w:spacing w:after="120" w:line="276" w:lineRule="auto"/>
              <w:rPr>
                <w:rFonts w:cs="Arial"/>
              </w:rPr>
            </w:pPr>
            <w:r w:rsidRPr="00F55944">
              <w:rPr>
                <w:rFonts w:cs="Arial"/>
              </w:rPr>
              <w:t>Status (active or inactive)</w:t>
            </w:r>
          </w:p>
        </w:tc>
      </w:tr>
      <w:tr w:rsidR="008F2758" w:rsidRPr="00F55944" w14:paraId="08DEB4A5" w14:textId="77777777" w:rsidTr="00BF265A">
        <w:tc>
          <w:tcPr>
            <w:tcW w:w="1764" w:type="dxa"/>
          </w:tcPr>
          <w:p w14:paraId="468DDA7B" w14:textId="77777777" w:rsidR="008F2758" w:rsidRPr="00F55944" w:rsidRDefault="008F2758" w:rsidP="00E36FE2">
            <w:pPr>
              <w:pStyle w:val="ListParagraph"/>
              <w:spacing w:line="276" w:lineRule="auto"/>
              <w:ind w:firstLine="0"/>
              <w:rPr>
                <w:rFonts w:cs="Arial"/>
              </w:rPr>
            </w:pPr>
            <w:r w:rsidRPr="00F55944">
              <w:rPr>
                <w:rFonts w:cs="Arial"/>
              </w:rPr>
              <w:t>Core Network Practice(s) to PCN</w:t>
            </w:r>
          </w:p>
        </w:tc>
        <w:tc>
          <w:tcPr>
            <w:tcW w:w="6174" w:type="dxa"/>
          </w:tcPr>
          <w:p w14:paraId="4B037055" w14:textId="669B7B4A" w:rsidR="008F2758" w:rsidRPr="00F55944" w:rsidRDefault="008F2758" w:rsidP="00E36FE2">
            <w:pPr>
              <w:spacing w:after="120" w:line="276" w:lineRule="auto"/>
              <w:rPr>
                <w:rFonts w:cs="Arial"/>
              </w:rPr>
            </w:pPr>
            <w:r w:rsidRPr="00F55944">
              <w:rPr>
                <w:rFonts w:cs="Arial"/>
              </w:rPr>
              <w:t>Is</w:t>
            </w:r>
            <w:r w:rsidR="006825A5">
              <w:rPr>
                <w:rFonts w:cs="Arial"/>
              </w:rPr>
              <w:t xml:space="preserve"> </w:t>
            </w:r>
            <w:r w:rsidR="00B2560C">
              <w:rPr>
                <w:rFonts w:cs="Arial"/>
              </w:rPr>
              <w:t>P</w:t>
            </w:r>
            <w:r w:rsidRPr="00F55944">
              <w:rPr>
                <w:rFonts w:cs="Arial"/>
              </w:rPr>
              <w:t>artner</w:t>
            </w:r>
            <w:r w:rsidR="006825A5">
              <w:rPr>
                <w:rFonts w:cs="Arial"/>
              </w:rPr>
              <w:t xml:space="preserve"> </w:t>
            </w:r>
            <w:r w:rsidRPr="00F55944">
              <w:rPr>
                <w:rFonts w:cs="Arial"/>
              </w:rPr>
              <w:t>To relationship: ODS for Practice and PCN</w:t>
            </w:r>
          </w:p>
          <w:p w14:paraId="5DF949F0" w14:textId="77777777" w:rsidR="008F2758" w:rsidRPr="00F55944" w:rsidRDefault="008F2758" w:rsidP="00E36FE2">
            <w:pPr>
              <w:spacing w:after="120" w:line="276" w:lineRule="auto"/>
              <w:rPr>
                <w:rFonts w:cs="Arial"/>
              </w:rPr>
            </w:pPr>
            <w:r w:rsidRPr="00F55944">
              <w:rPr>
                <w:rFonts w:cs="Arial"/>
              </w:rPr>
              <w:t>Start and end dates of relationship</w:t>
            </w:r>
          </w:p>
          <w:p w14:paraId="3F966CF4" w14:textId="77777777" w:rsidR="008F2758" w:rsidRPr="00F55944" w:rsidRDefault="008F2758" w:rsidP="00E36FE2">
            <w:pPr>
              <w:spacing w:after="120" w:line="276" w:lineRule="auto"/>
              <w:rPr>
                <w:rFonts w:cs="Arial"/>
              </w:rPr>
            </w:pPr>
            <w:r w:rsidRPr="00F55944">
              <w:rPr>
                <w:rFonts w:cs="Arial"/>
              </w:rPr>
              <w:t>Relationship Status (active or inactive)</w:t>
            </w:r>
          </w:p>
        </w:tc>
      </w:tr>
      <w:tr w:rsidR="008F2758" w:rsidRPr="00F55944" w14:paraId="6BD7CE31" w14:textId="77777777" w:rsidTr="00BF265A">
        <w:tc>
          <w:tcPr>
            <w:tcW w:w="1764" w:type="dxa"/>
          </w:tcPr>
          <w:p w14:paraId="62C4D5E9" w14:textId="77777777" w:rsidR="008F2758" w:rsidRPr="00F55944" w:rsidRDefault="008F2758" w:rsidP="00E36FE2">
            <w:pPr>
              <w:pStyle w:val="ListParagraph"/>
              <w:spacing w:line="276" w:lineRule="auto"/>
              <w:ind w:firstLine="0"/>
              <w:rPr>
                <w:rFonts w:cs="Arial"/>
              </w:rPr>
            </w:pPr>
            <w:r w:rsidRPr="00F55944">
              <w:rPr>
                <w:rFonts w:cs="Arial"/>
              </w:rPr>
              <w:t>PCN to commissioner mapping</w:t>
            </w:r>
          </w:p>
        </w:tc>
        <w:tc>
          <w:tcPr>
            <w:tcW w:w="6174" w:type="dxa"/>
          </w:tcPr>
          <w:p w14:paraId="344F3FC9" w14:textId="233FE122" w:rsidR="008F2758" w:rsidRPr="00F55944" w:rsidRDefault="008F2758" w:rsidP="00E36FE2">
            <w:pPr>
              <w:spacing w:after="120" w:line="276" w:lineRule="auto"/>
              <w:rPr>
                <w:rFonts w:cs="Arial"/>
              </w:rPr>
            </w:pPr>
            <w:r w:rsidRPr="00F55944">
              <w:rPr>
                <w:rFonts w:cs="Arial"/>
              </w:rPr>
              <w:t>Is</w:t>
            </w:r>
            <w:r w:rsidR="006825A5">
              <w:rPr>
                <w:rFonts w:cs="Arial"/>
              </w:rPr>
              <w:t xml:space="preserve"> </w:t>
            </w:r>
            <w:r w:rsidRPr="00F55944">
              <w:rPr>
                <w:rFonts w:cs="Arial"/>
              </w:rPr>
              <w:t>Commissioned</w:t>
            </w:r>
            <w:r w:rsidR="006825A5">
              <w:rPr>
                <w:rFonts w:cs="Arial"/>
              </w:rPr>
              <w:t xml:space="preserve"> </w:t>
            </w:r>
            <w:r w:rsidRPr="00F55944">
              <w:rPr>
                <w:rFonts w:cs="Arial"/>
              </w:rPr>
              <w:t>By relationship: ODS for PCN and commissioner</w:t>
            </w:r>
          </w:p>
          <w:p w14:paraId="5F4ECA53" w14:textId="77777777" w:rsidR="008F2758" w:rsidRPr="00F55944" w:rsidRDefault="008F2758" w:rsidP="00E36FE2">
            <w:pPr>
              <w:spacing w:after="120" w:line="276" w:lineRule="auto"/>
              <w:rPr>
                <w:rFonts w:cs="Arial"/>
              </w:rPr>
            </w:pPr>
            <w:r w:rsidRPr="00F55944">
              <w:rPr>
                <w:rFonts w:cs="Arial"/>
              </w:rPr>
              <w:t>Start and end dates of relationship</w:t>
            </w:r>
          </w:p>
          <w:p w14:paraId="6CB4B6DB" w14:textId="77777777" w:rsidR="008F2758" w:rsidRPr="00F55944" w:rsidRDefault="008F2758" w:rsidP="00E36FE2">
            <w:pPr>
              <w:spacing w:after="120" w:line="276" w:lineRule="auto"/>
              <w:rPr>
                <w:rFonts w:cs="Arial"/>
              </w:rPr>
            </w:pPr>
            <w:r w:rsidRPr="00F55944">
              <w:rPr>
                <w:rFonts w:cs="Arial"/>
              </w:rPr>
              <w:t>Relationship Status (active or inactive)</w:t>
            </w:r>
          </w:p>
        </w:tc>
      </w:tr>
      <w:tr w:rsidR="008F2758" w:rsidRPr="00F55944" w14:paraId="73EFAA56" w14:textId="77777777" w:rsidTr="00BF265A">
        <w:tc>
          <w:tcPr>
            <w:tcW w:w="1764" w:type="dxa"/>
          </w:tcPr>
          <w:p w14:paraId="510E1786" w14:textId="77777777" w:rsidR="008F2758" w:rsidRPr="00F55944" w:rsidRDefault="008F2758" w:rsidP="00E36FE2">
            <w:pPr>
              <w:pStyle w:val="ListParagraph"/>
              <w:spacing w:line="276" w:lineRule="auto"/>
              <w:ind w:firstLine="0"/>
              <w:rPr>
                <w:rFonts w:cs="Arial"/>
              </w:rPr>
            </w:pPr>
            <w:r w:rsidRPr="00F55944">
              <w:rPr>
                <w:rFonts w:cs="Arial"/>
              </w:rPr>
              <w:t>Nominated payee (NP)</w:t>
            </w:r>
          </w:p>
        </w:tc>
        <w:tc>
          <w:tcPr>
            <w:tcW w:w="6174" w:type="dxa"/>
          </w:tcPr>
          <w:p w14:paraId="24A954E9" w14:textId="68023967" w:rsidR="008F2758" w:rsidRPr="00F55944" w:rsidRDefault="008F2758" w:rsidP="00E36FE2">
            <w:pPr>
              <w:spacing w:after="120" w:line="276" w:lineRule="auto"/>
              <w:rPr>
                <w:rFonts w:cs="Arial"/>
              </w:rPr>
            </w:pPr>
            <w:r w:rsidRPr="00F55944">
              <w:rPr>
                <w:rFonts w:cs="Arial"/>
              </w:rPr>
              <w:t>Is</w:t>
            </w:r>
            <w:r w:rsidR="006825A5">
              <w:rPr>
                <w:rFonts w:cs="Arial"/>
              </w:rPr>
              <w:t xml:space="preserve"> </w:t>
            </w:r>
            <w:r w:rsidRPr="00F55944">
              <w:rPr>
                <w:rFonts w:cs="Arial"/>
              </w:rPr>
              <w:t>Nominated</w:t>
            </w:r>
            <w:r w:rsidR="006825A5">
              <w:rPr>
                <w:rFonts w:cs="Arial"/>
              </w:rPr>
              <w:t xml:space="preserve"> </w:t>
            </w:r>
            <w:r w:rsidRPr="00F55944">
              <w:rPr>
                <w:rFonts w:cs="Arial"/>
              </w:rPr>
              <w:t>Payee</w:t>
            </w:r>
            <w:r w:rsidR="006825A5">
              <w:rPr>
                <w:rFonts w:cs="Arial"/>
              </w:rPr>
              <w:t xml:space="preserve"> </w:t>
            </w:r>
            <w:r w:rsidRPr="00F55944">
              <w:rPr>
                <w:rFonts w:cs="Arial"/>
              </w:rPr>
              <w:t>For relationship: ODS Code for Nominated Payee and PCN</w:t>
            </w:r>
          </w:p>
          <w:p w14:paraId="0F2B3156" w14:textId="77777777" w:rsidR="008F2758" w:rsidRPr="00F55944" w:rsidRDefault="008F2758" w:rsidP="00E36FE2">
            <w:pPr>
              <w:spacing w:after="120" w:line="276" w:lineRule="auto"/>
              <w:rPr>
                <w:rFonts w:cs="Arial"/>
              </w:rPr>
            </w:pPr>
            <w:r w:rsidRPr="00F55944">
              <w:rPr>
                <w:rFonts w:cs="Arial"/>
              </w:rPr>
              <w:t xml:space="preserve">NP Name </w:t>
            </w:r>
          </w:p>
          <w:p w14:paraId="071056AF" w14:textId="77777777" w:rsidR="008F2758" w:rsidRPr="00F55944" w:rsidRDefault="008F2758" w:rsidP="00E36FE2">
            <w:pPr>
              <w:spacing w:after="120" w:line="276" w:lineRule="auto"/>
              <w:rPr>
                <w:rFonts w:cs="Arial"/>
              </w:rPr>
            </w:pPr>
            <w:r w:rsidRPr="00F55944">
              <w:rPr>
                <w:rFonts w:cs="Arial"/>
              </w:rPr>
              <w:t xml:space="preserve">NP address </w:t>
            </w:r>
          </w:p>
          <w:p w14:paraId="18DA3205" w14:textId="77777777" w:rsidR="008F2758" w:rsidRPr="00F55944" w:rsidRDefault="008F2758" w:rsidP="00E36FE2">
            <w:pPr>
              <w:spacing w:after="120" w:line="276" w:lineRule="auto"/>
              <w:rPr>
                <w:rFonts w:cs="Arial"/>
              </w:rPr>
            </w:pPr>
            <w:r w:rsidRPr="00F55944">
              <w:rPr>
                <w:rFonts w:cs="Arial"/>
              </w:rPr>
              <w:t xml:space="preserve">Start and end dates of relationship </w:t>
            </w:r>
          </w:p>
          <w:p w14:paraId="05BDB75F" w14:textId="77777777" w:rsidR="008F2758" w:rsidRPr="00F55944" w:rsidRDefault="008F2758" w:rsidP="00E36FE2">
            <w:pPr>
              <w:spacing w:after="120" w:line="276" w:lineRule="auto"/>
              <w:rPr>
                <w:rFonts w:cs="Arial"/>
              </w:rPr>
            </w:pPr>
            <w:r w:rsidRPr="00F55944">
              <w:rPr>
                <w:rFonts w:cs="Arial"/>
              </w:rPr>
              <w:t>Relationship Status (active or inactive)</w:t>
            </w:r>
          </w:p>
          <w:p w14:paraId="5A306AE9" w14:textId="77777777" w:rsidR="008F2758" w:rsidRPr="00F55944" w:rsidRDefault="008F2758" w:rsidP="00E36FE2">
            <w:pPr>
              <w:spacing w:after="120" w:line="276" w:lineRule="auto"/>
              <w:rPr>
                <w:rFonts w:cs="Arial"/>
              </w:rPr>
            </w:pPr>
            <w:r w:rsidRPr="00F55944">
              <w:rPr>
                <w:rFonts w:cs="Arial"/>
              </w:rPr>
              <w:t>NP Role (whether NP is a practice or not)</w:t>
            </w:r>
          </w:p>
          <w:p w14:paraId="3A51ECA1" w14:textId="617015F9" w:rsidR="008F2758" w:rsidRPr="00F55944" w:rsidRDefault="008F2758" w:rsidP="00E36FE2">
            <w:pPr>
              <w:spacing w:after="120" w:line="276" w:lineRule="auto"/>
              <w:rPr>
                <w:rFonts w:cs="Arial"/>
              </w:rPr>
            </w:pPr>
            <w:r w:rsidRPr="00F403AB">
              <w:rPr>
                <w:rFonts w:cs="Arial"/>
                <w:b/>
                <w:bCs/>
              </w:rPr>
              <w:t>Note</w:t>
            </w:r>
            <w:r w:rsidRPr="00F55944">
              <w:rPr>
                <w:rFonts w:cs="Arial"/>
              </w:rPr>
              <w:t>: A Nominated Payee can be payee for more than one PCN. This means some payee records will have multiple ‘Is</w:t>
            </w:r>
            <w:r w:rsidR="006825A5">
              <w:rPr>
                <w:rFonts w:cs="Arial"/>
              </w:rPr>
              <w:t xml:space="preserve"> </w:t>
            </w:r>
            <w:r w:rsidRPr="00F55944">
              <w:rPr>
                <w:rFonts w:cs="Arial"/>
              </w:rPr>
              <w:t>Nomin</w:t>
            </w:r>
            <w:r w:rsidR="00B020A5">
              <w:rPr>
                <w:rFonts w:cs="Arial"/>
              </w:rPr>
              <w:t>a</w:t>
            </w:r>
            <w:r w:rsidRPr="00F55944">
              <w:rPr>
                <w:rFonts w:cs="Arial"/>
              </w:rPr>
              <w:t>ted</w:t>
            </w:r>
            <w:r w:rsidR="006825A5">
              <w:rPr>
                <w:rFonts w:cs="Arial"/>
              </w:rPr>
              <w:t xml:space="preserve"> </w:t>
            </w:r>
            <w:r w:rsidRPr="00F55944">
              <w:rPr>
                <w:rFonts w:cs="Arial"/>
              </w:rPr>
              <w:t>Payee</w:t>
            </w:r>
            <w:r w:rsidR="006825A5">
              <w:rPr>
                <w:rFonts w:cs="Arial"/>
              </w:rPr>
              <w:t xml:space="preserve"> </w:t>
            </w:r>
            <w:r w:rsidRPr="00F55944">
              <w:rPr>
                <w:rFonts w:cs="Arial"/>
              </w:rPr>
              <w:t>For’ relationships to different PCNs. A PCN can only have one Nominated Payee.</w:t>
            </w:r>
          </w:p>
        </w:tc>
      </w:tr>
    </w:tbl>
    <w:p w14:paraId="4C669AE1" w14:textId="77777777" w:rsidR="008F2758" w:rsidRPr="00F55944" w:rsidRDefault="008F2758" w:rsidP="00E36FE2">
      <w:pPr>
        <w:spacing w:after="0" w:line="276" w:lineRule="auto"/>
      </w:pPr>
    </w:p>
    <w:p w14:paraId="17508A79" w14:textId="77777777" w:rsidR="008F2758" w:rsidRPr="009D2F9A" w:rsidRDefault="008F2758" w:rsidP="00084AFF">
      <w:pPr>
        <w:pStyle w:val="h4numbered"/>
        <w:rPr>
          <w:szCs w:val="24"/>
        </w:rPr>
      </w:pPr>
      <w:r w:rsidRPr="009D2F9A">
        <w:rPr>
          <w:szCs w:val="24"/>
        </w:rPr>
        <w:t>Each PCN</w:t>
      </w:r>
      <w:r w:rsidRPr="009D2F9A">
        <w:t xml:space="preserve"> will have a single commissioning relationship, regardless of whether the Core Network Practices of a PCN cross commissioner boundaries. In the event a PCN crosses commissioner boundaries, then the relevant commissioners must agree who will be the ‘lead’ commissioner for the PCN. The agreed ‘lead’ will be identified as such within both the PCN ODS reference data and subsequently within the relevant GP IT systems for payment processing. The identified lead commissioner will make payments to the relevant Nominated Payee in relation to the Network Contract DES. The lead commissioner and any other relevant commissioner must reconcile any funding allocation discrepancies between themselves and not via national GP payment systems.</w:t>
      </w:r>
    </w:p>
    <w:p w14:paraId="43F44025" w14:textId="6B1994B2" w:rsidR="008F2758" w:rsidRPr="00F55944" w:rsidRDefault="008F2758" w:rsidP="00084AFF">
      <w:pPr>
        <w:pStyle w:val="h4numbered"/>
      </w:pPr>
      <w:bookmarkStart w:id="66" w:name="_Hlk35525919"/>
      <w:r w:rsidRPr="009D2F9A">
        <w:lastRenderedPageBreak/>
        <w:t xml:space="preserve">Only a PCN’s ‘lead’ commissioner will be able to instruct changes to the ODS reference data and by someone from within that lead commissioner’s primary care commissioning team. </w:t>
      </w:r>
      <w:r w:rsidRPr="007B1EA9">
        <w:rPr>
          <w:color w:val="auto"/>
        </w:rPr>
        <w:t xml:space="preserve">It </w:t>
      </w:r>
      <w:r w:rsidRPr="009D2F9A">
        <w:t xml:space="preserve">is the responsibility of commissioners to ensure that they have the authority to submit the ODS Change Instruction Notice, as it will have implications for payment system calculations and processing. </w:t>
      </w:r>
      <w:bookmarkEnd w:id="66"/>
    </w:p>
    <w:p w14:paraId="0C4DAC7A" w14:textId="77777777" w:rsidR="008F2758" w:rsidRPr="00F55944" w:rsidRDefault="008F2758" w:rsidP="00084AFF">
      <w:pPr>
        <w:pStyle w:val="h3numbered"/>
        <w:rPr>
          <w:lang w:eastAsia="en-GB"/>
        </w:rPr>
      </w:pPr>
      <w:bookmarkStart w:id="67" w:name="_Toc26957653"/>
      <w:bookmarkStart w:id="68" w:name="_Toc36557257"/>
      <w:bookmarkStart w:id="69" w:name="_Toc150155984"/>
      <w:bookmarkStart w:id="70" w:name="_Toc223511127"/>
      <w:bookmarkStart w:id="71" w:name="_Toc223511417"/>
      <w:bookmarkEnd w:id="64"/>
      <w:bookmarkEnd w:id="65"/>
      <w:r w:rsidRPr="00F55944">
        <w:rPr>
          <w:lang w:eastAsia="en-GB"/>
        </w:rPr>
        <w:t>Network Agreement</w:t>
      </w:r>
      <w:bookmarkEnd w:id="67"/>
      <w:bookmarkEnd w:id="68"/>
      <w:bookmarkEnd w:id="69"/>
      <w:bookmarkEnd w:id="70"/>
      <w:bookmarkEnd w:id="71"/>
    </w:p>
    <w:p w14:paraId="64F12FE8" w14:textId="77777777" w:rsidR="008F2758" w:rsidRPr="009D2F49" w:rsidRDefault="008F2758" w:rsidP="00084AFF">
      <w:pPr>
        <w:pStyle w:val="h4numbered"/>
      </w:pPr>
      <w:r w:rsidRPr="009D2F49">
        <w:t xml:space="preserve">The Network Agreement sets out the collective rights and obligations of a PCN’s Core Network Practices and is required to enable PCN claims of the financial entitlements under the Network Contract DES. It also sets out how the Core Network Practices will collaborate with non-GP providers which make up the wider PCN. </w:t>
      </w:r>
    </w:p>
    <w:p w14:paraId="7288F9E6" w14:textId="02495965" w:rsidR="008F2758" w:rsidRPr="009D2F49" w:rsidRDefault="008F2758" w:rsidP="00084AFF">
      <w:pPr>
        <w:pStyle w:val="h4numbered"/>
      </w:pPr>
      <w:r w:rsidRPr="009D2F49">
        <w:t>PCNs will continue to be required to use the national mandatory Network Agreement and its Schedules to support the Network Contract DES. The mandatory sections of the Network Agreement cannot be amended, except in those instances where the Network Agreement states that wording in a specific clause may be replaced with wording to reflect agreement which the PCN has reached.</w:t>
      </w:r>
    </w:p>
    <w:p w14:paraId="5BE2BB41" w14:textId="77777777" w:rsidR="008F2758" w:rsidRPr="009D2F49" w:rsidRDefault="008F2758" w:rsidP="00084AFF">
      <w:pPr>
        <w:pStyle w:val="h4numbered"/>
      </w:pPr>
      <w:r w:rsidRPr="009D2F49">
        <w:t>Core Network Practices are required to ensure that PCN arrangements and agreements reached in the Network Agreement are updated to take account of any changes to the Network Contract DES specification. This would include how new services will be delivered, and for any other changes such as when new workforce is recruited.</w:t>
      </w:r>
    </w:p>
    <w:p w14:paraId="5BBF7714" w14:textId="77777777" w:rsidR="008F2758" w:rsidRDefault="008F2758" w:rsidP="00084AFF">
      <w:pPr>
        <w:pStyle w:val="h4numbered"/>
      </w:pPr>
      <w:r w:rsidRPr="009D2F49">
        <w:t xml:space="preserve">Where PCNs decide to seek advice related to the Network Agreement, these costs will not be covered under the Network Contract DES nor by commissioners at a local level. </w:t>
      </w:r>
    </w:p>
    <w:p w14:paraId="77A27CB1" w14:textId="15DA12C2" w:rsidR="008F2758" w:rsidRPr="00FF0A2F" w:rsidRDefault="00866D48" w:rsidP="00084AFF">
      <w:pPr>
        <w:pStyle w:val="h3numbered"/>
      </w:pPr>
      <w:bookmarkStart w:id="72" w:name="_Toc36557258"/>
      <w:bookmarkStart w:id="73" w:name="_Toc51151010"/>
      <w:bookmarkStart w:id="74" w:name="_Toc150155985"/>
      <w:bookmarkStart w:id="75" w:name="_Toc223511128"/>
      <w:bookmarkStart w:id="76" w:name="_Toc223511418"/>
      <w:bookmarkStart w:id="77" w:name="_Toc36557259"/>
      <w:r w:rsidRPr="00FF0A2F">
        <w:rPr>
          <w:lang w:eastAsia="en-GB"/>
        </w:rPr>
        <w:t>Working with</w:t>
      </w:r>
      <w:r w:rsidR="008F2758" w:rsidRPr="00FF0A2F">
        <w:rPr>
          <w:lang w:eastAsia="en-GB"/>
        </w:rPr>
        <w:t xml:space="preserve"> local providers</w:t>
      </w:r>
      <w:bookmarkEnd w:id="72"/>
      <w:bookmarkEnd w:id="73"/>
      <w:bookmarkEnd w:id="74"/>
      <w:bookmarkEnd w:id="75"/>
      <w:bookmarkEnd w:id="76"/>
    </w:p>
    <w:p w14:paraId="670B6CBB" w14:textId="158E6C26" w:rsidR="00AF301C" w:rsidRPr="00FF0A2F" w:rsidRDefault="003D38E2" w:rsidP="00084AFF">
      <w:pPr>
        <w:pStyle w:val="h4numbered"/>
      </w:pPr>
      <w:r w:rsidRPr="00FF0A2F">
        <w:t>A PCN must work with other PCNs, local community services providers, mental health providers, community pharmacy providers and other relevant health and social care delivery partners in the best interests of patient care. This includes developing and fostering strong relationships with leaders and commissioners to successfully manage the health and care needs of the populations they serve</w:t>
      </w:r>
      <w:r w:rsidR="00AF301C" w:rsidRPr="00FF0A2F">
        <w:t>.</w:t>
      </w:r>
    </w:p>
    <w:p w14:paraId="3E934FC8" w14:textId="254D05FA" w:rsidR="008F2758" w:rsidRPr="00A015B9" w:rsidRDefault="00AF301C" w:rsidP="00084AFF">
      <w:pPr>
        <w:pStyle w:val="h4numbered"/>
      </w:pPr>
      <w:r w:rsidRPr="00EF3D55">
        <w:t>Commissioners should use reasonable endeavours to facilitate the agreement of arrangements, or any subsequent amendment to the arrangements, between the local community services provider(s) and the PCN</w:t>
      </w:r>
      <w:r w:rsidR="008F2758" w:rsidRPr="00A015B9">
        <w:t>.</w:t>
      </w:r>
    </w:p>
    <w:p w14:paraId="3F5A87E4" w14:textId="77777777" w:rsidR="008F2758" w:rsidRPr="00F55944" w:rsidRDefault="008F2758" w:rsidP="00084AFF">
      <w:pPr>
        <w:pStyle w:val="h3numbered"/>
        <w:rPr>
          <w:lang w:eastAsia="en-GB"/>
        </w:rPr>
      </w:pPr>
      <w:bookmarkStart w:id="78" w:name="_Toc150155986"/>
      <w:bookmarkStart w:id="79" w:name="_Toc223511129"/>
      <w:bookmarkStart w:id="80" w:name="_Toc223511419"/>
      <w:r w:rsidRPr="00F55944">
        <w:rPr>
          <w:lang w:eastAsia="en-GB"/>
        </w:rPr>
        <w:lastRenderedPageBreak/>
        <w:t>Clinical Director</w:t>
      </w:r>
      <w:bookmarkEnd w:id="77"/>
      <w:bookmarkEnd w:id="78"/>
      <w:bookmarkEnd w:id="79"/>
      <w:bookmarkEnd w:id="80"/>
    </w:p>
    <w:p w14:paraId="42D9C18F" w14:textId="30D5CBB8" w:rsidR="008F2758" w:rsidRPr="004414E2" w:rsidRDefault="008F2758" w:rsidP="00084AFF">
      <w:pPr>
        <w:pStyle w:val="h4numbered"/>
      </w:pPr>
      <w:r w:rsidRPr="004414E2">
        <w:t xml:space="preserve">The Clinical Director should be a practicing clinician from one of the PCN’s Core Network Practices, working regularly within the PCN (regardless of whether the clinician is directly employed, self-employed or engaged via a sub-contracting arrangement) and be able to undertake the responsibilities of the role, representing the </w:t>
      </w:r>
      <w:r w:rsidR="0011538A" w:rsidRPr="00FF0A2F">
        <w:t>needs of the PCN’s patients</w:t>
      </w:r>
      <w:r w:rsidRPr="00FF0A2F">
        <w:t>.</w:t>
      </w:r>
      <w:r w:rsidRPr="004414E2">
        <w:t xml:space="preserve"> It is most likely to be a GP, but this is not a requirement and can be any clinician including one of the PCN additional roles. The post should be held by an individual (or individuals if they are job-sharing) from within the PCN and should not be a shared role between PCNs. The Clinical Director should not be employed by a commissioner and provided to the PCN.</w:t>
      </w:r>
    </w:p>
    <w:p w14:paraId="4E5BF702" w14:textId="77777777" w:rsidR="008F2758" w:rsidRPr="004414E2" w:rsidRDefault="008F2758" w:rsidP="00084AFF">
      <w:pPr>
        <w:pStyle w:val="h4numbered"/>
      </w:pPr>
      <w:r w:rsidRPr="004414E2">
        <w:t>PCNs may wish to consider rotating the Clinical Director role within a reasonable term.</w:t>
      </w:r>
    </w:p>
    <w:p w14:paraId="4571B71D" w14:textId="1C7261EA" w:rsidR="00003C0C" w:rsidRPr="00FF0A2F" w:rsidRDefault="008F2758" w:rsidP="00084AFF">
      <w:pPr>
        <w:pStyle w:val="h4numbered"/>
      </w:pPr>
      <w:r w:rsidRPr="00FF0A2F">
        <w:t xml:space="preserve">A national outline of the key requirements is included in section 5.3 of the Network Contract DES </w:t>
      </w:r>
      <w:r w:rsidRPr="00365F7F">
        <w:t xml:space="preserve">Specification. </w:t>
      </w:r>
      <w:r w:rsidR="00241C99" w:rsidRPr="00365F7F">
        <w:t xml:space="preserve">In </w:t>
      </w:r>
      <w:r w:rsidR="00384011">
        <w:rPr>
          <w:rFonts w:hint="eastAsia"/>
        </w:rPr>
        <w:t>202</w:t>
      </w:r>
      <w:r w:rsidR="00384011" w:rsidRPr="0088339B">
        <w:rPr>
          <w:rFonts w:hint="eastAsia"/>
          <w:highlight w:val="yellow"/>
        </w:rPr>
        <w:t>6</w:t>
      </w:r>
      <w:r w:rsidR="00384011">
        <w:rPr>
          <w:rFonts w:hint="eastAsia"/>
        </w:rPr>
        <w:t>/2</w:t>
      </w:r>
      <w:r w:rsidR="00384011" w:rsidRPr="0088339B">
        <w:rPr>
          <w:rFonts w:hint="eastAsia"/>
          <w:highlight w:val="yellow"/>
        </w:rPr>
        <w:t>7</w:t>
      </w:r>
      <w:r w:rsidR="00241C99" w:rsidRPr="00365F7F">
        <w:t xml:space="preserve"> it</w:t>
      </w:r>
      <w:r w:rsidR="00241C99" w:rsidRPr="00FF0A2F">
        <w:t xml:space="preserve"> </w:t>
      </w:r>
      <w:r w:rsidR="00134268" w:rsidRPr="004A218C">
        <w:rPr>
          <w:highlight w:val="yellow"/>
        </w:rPr>
        <w:t>continues</w:t>
      </w:r>
      <w:r w:rsidR="00134268">
        <w:t xml:space="preserve"> </w:t>
      </w:r>
      <w:r w:rsidR="00E71D21" w:rsidRPr="00FF0A2F">
        <w:t xml:space="preserve">to focus on </w:t>
      </w:r>
      <w:r w:rsidR="00D953AA" w:rsidRPr="00FF0A2F">
        <w:t xml:space="preserve">co-ordination of service delivery, effective allocation of resources, </w:t>
      </w:r>
      <w:r w:rsidR="008C3F04" w:rsidRPr="00FF0A2F">
        <w:t xml:space="preserve">supporting transformation towards Modern General Practice and </w:t>
      </w:r>
      <w:r w:rsidR="00656A40" w:rsidRPr="00FF0A2F">
        <w:t xml:space="preserve">supporting the PCN’s role in the development of Integrated Neighbourhood Teams. </w:t>
      </w:r>
    </w:p>
    <w:p w14:paraId="4D1B1E83" w14:textId="74B4AEBD" w:rsidR="008F2758" w:rsidRPr="00F403AB" w:rsidRDefault="008F2758" w:rsidP="00D27459">
      <w:pPr>
        <w:pStyle w:val="Heading4"/>
        <w:keepNext w:val="0"/>
        <w:widowControl w:val="0"/>
        <w:spacing w:line="276" w:lineRule="auto"/>
        <w:ind w:left="851"/>
        <w:rPr>
          <w:rFonts w:hint="eastAsia"/>
          <w:sz w:val="24"/>
          <w:szCs w:val="18"/>
        </w:rPr>
      </w:pPr>
      <w:bookmarkStart w:id="81" w:name="_Toc36557260"/>
      <w:bookmarkStart w:id="82" w:name="_Toc150155987"/>
      <w:r w:rsidRPr="00F403AB">
        <w:rPr>
          <w:rFonts w:hint="eastAsia"/>
          <w:sz w:val="24"/>
          <w:szCs w:val="18"/>
        </w:rPr>
        <w:t>Appointment of Clinical Director</w:t>
      </w:r>
      <w:bookmarkEnd w:id="81"/>
      <w:bookmarkEnd w:id="82"/>
    </w:p>
    <w:p w14:paraId="382F7B0F" w14:textId="1D785030" w:rsidR="008F2758" w:rsidRPr="00EB4B22" w:rsidRDefault="008F2758" w:rsidP="00084AFF">
      <w:pPr>
        <w:pStyle w:val="h4numbered"/>
        <w:rPr>
          <w:bCs/>
        </w:rPr>
      </w:pPr>
      <w:r w:rsidRPr="4D34B28C">
        <w:t>It will be the responsibility of the PCN to agree who their Clinical Director will be. The selection process will be for the PCN to determine but may include</w:t>
      </w:r>
      <w:r w:rsidR="00866D48">
        <w:t>:</w:t>
      </w:r>
    </w:p>
    <w:p w14:paraId="1B414900" w14:textId="77777777" w:rsidR="008F2758" w:rsidRPr="00EB4B22" w:rsidRDefault="008F2758" w:rsidP="000741C5">
      <w:pPr>
        <w:pStyle w:val="Heading4"/>
        <w:keepNext w:val="0"/>
        <w:widowControl w:val="0"/>
        <w:numPr>
          <w:ilvl w:val="1"/>
          <w:numId w:val="8"/>
        </w:numPr>
        <w:spacing w:line="276" w:lineRule="auto"/>
        <w:ind w:left="2268" w:hanging="567"/>
        <w:rPr>
          <w:rFonts w:ascii="Arial" w:hAnsi="Arial"/>
          <w:b w:val="0"/>
          <w:sz w:val="24"/>
          <w:lang w:eastAsia="en-GB"/>
        </w:rPr>
      </w:pPr>
      <w:r w:rsidRPr="00EB4B22">
        <w:rPr>
          <w:rFonts w:ascii="Arial" w:hAnsi="Arial"/>
          <w:b w:val="0"/>
          <w:sz w:val="24"/>
          <w:lang w:eastAsia="en-GB"/>
        </w:rPr>
        <w:t>Election - nomination and voting;</w:t>
      </w:r>
    </w:p>
    <w:p w14:paraId="329A43A4" w14:textId="77777777" w:rsidR="008F2758" w:rsidRPr="00EB4B22" w:rsidRDefault="008F2758" w:rsidP="000741C5">
      <w:pPr>
        <w:pStyle w:val="Heading4"/>
        <w:keepNext w:val="0"/>
        <w:widowControl w:val="0"/>
        <w:numPr>
          <w:ilvl w:val="1"/>
          <w:numId w:val="8"/>
        </w:numPr>
        <w:spacing w:line="276" w:lineRule="auto"/>
        <w:ind w:left="2268" w:hanging="567"/>
        <w:rPr>
          <w:rFonts w:ascii="Arial" w:hAnsi="Arial"/>
          <w:b w:val="0"/>
          <w:sz w:val="24"/>
          <w:lang w:eastAsia="en-GB"/>
        </w:rPr>
      </w:pPr>
      <w:r w:rsidRPr="00EB4B22">
        <w:rPr>
          <w:rFonts w:ascii="Arial" w:hAnsi="Arial"/>
          <w:b w:val="0"/>
          <w:sz w:val="24"/>
          <w:lang w:eastAsia="en-GB"/>
        </w:rPr>
        <w:t>Mutual agreement between the members;</w:t>
      </w:r>
    </w:p>
    <w:p w14:paraId="6321BEB9" w14:textId="77777777" w:rsidR="008F2758" w:rsidRPr="00EB4B22" w:rsidRDefault="008F2758" w:rsidP="000741C5">
      <w:pPr>
        <w:pStyle w:val="Heading4"/>
        <w:keepNext w:val="0"/>
        <w:widowControl w:val="0"/>
        <w:numPr>
          <w:ilvl w:val="1"/>
          <w:numId w:val="8"/>
        </w:numPr>
        <w:spacing w:line="276" w:lineRule="auto"/>
        <w:ind w:left="2268" w:hanging="567"/>
        <w:rPr>
          <w:rFonts w:ascii="Arial" w:hAnsi="Arial"/>
          <w:b w:val="0"/>
          <w:sz w:val="24"/>
          <w:lang w:eastAsia="en-GB"/>
        </w:rPr>
      </w:pPr>
      <w:r w:rsidRPr="00EB4B22">
        <w:rPr>
          <w:rFonts w:ascii="Arial" w:hAnsi="Arial"/>
          <w:b w:val="0"/>
          <w:sz w:val="24"/>
          <w:lang w:eastAsia="en-GB"/>
        </w:rPr>
        <w:t>Selection – via application and interview for example; or</w:t>
      </w:r>
    </w:p>
    <w:p w14:paraId="209E9860" w14:textId="77777777" w:rsidR="008F2758" w:rsidRPr="00EB4B22" w:rsidRDefault="008F2758" w:rsidP="000741C5">
      <w:pPr>
        <w:pStyle w:val="Heading4"/>
        <w:keepNext w:val="0"/>
        <w:widowControl w:val="0"/>
        <w:numPr>
          <w:ilvl w:val="1"/>
          <w:numId w:val="8"/>
        </w:numPr>
        <w:spacing w:line="276" w:lineRule="auto"/>
        <w:ind w:left="2268" w:hanging="567"/>
        <w:rPr>
          <w:rFonts w:ascii="Arial" w:hAnsi="Arial"/>
          <w:b w:val="0"/>
          <w:sz w:val="24"/>
          <w:lang w:eastAsia="en-GB"/>
        </w:rPr>
      </w:pPr>
      <w:r w:rsidRPr="00EB4B22">
        <w:rPr>
          <w:rFonts w:ascii="Arial" w:hAnsi="Arial"/>
          <w:b w:val="0"/>
          <w:sz w:val="24"/>
          <w:lang w:eastAsia="en-GB"/>
        </w:rPr>
        <w:t>Rotation within a fixed term (this could equally apply against the above processes).</w:t>
      </w:r>
    </w:p>
    <w:p w14:paraId="14D2DA48" w14:textId="10E2830F" w:rsidR="008F2758" w:rsidRPr="00EB4B22" w:rsidRDefault="008F2758" w:rsidP="00084AFF">
      <w:pPr>
        <w:pStyle w:val="h4numbered"/>
      </w:pPr>
      <w:r w:rsidRPr="4D34B28C">
        <w:t xml:space="preserve">The PCN </w:t>
      </w:r>
      <w:r w:rsidR="008F7816" w:rsidRPr="4D34B28C">
        <w:t>must</w:t>
      </w:r>
      <w:r w:rsidRPr="4D34B28C">
        <w:t xml:space="preserve"> ensure that any changes to the Clinical Director are recorded in the PCN module of the National Workforce Reporting Service (NWRS)</w:t>
      </w:r>
      <w:r w:rsidR="00B7796D">
        <w:t>.</w:t>
      </w:r>
    </w:p>
    <w:p w14:paraId="1D3B832D" w14:textId="77777777" w:rsidR="008F2758" w:rsidRPr="00F55944" w:rsidRDefault="008F2758" w:rsidP="00D27459">
      <w:pPr>
        <w:pStyle w:val="Heading5"/>
        <w:keepNext w:val="0"/>
        <w:keepLines w:val="0"/>
        <w:spacing w:line="276" w:lineRule="auto"/>
        <w:ind w:left="851"/>
        <w:rPr>
          <w:rFonts w:hint="eastAsia"/>
        </w:rPr>
      </w:pPr>
      <w:bookmarkStart w:id="83" w:name="_Toc36557261"/>
      <w:bookmarkStart w:id="84" w:name="_Toc150155988"/>
      <w:r w:rsidRPr="00F55944">
        <w:t>Managing Conflicts of interest</w:t>
      </w:r>
      <w:bookmarkEnd w:id="83"/>
      <w:bookmarkEnd w:id="84"/>
    </w:p>
    <w:p w14:paraId="7730B8C4" w14:textId="77777777" w:rsidR="008F2758" w:rsidRPr="008B3B7B" w:rsidRDefault="008F2758" w:rsidP="00084AFF">
      <w:pPr>
        <w:pStyle w:val="h4numbered"/>
        <w:rPr>
          <w:bCs/>
        </w:rPr>
      </w:pPr>
      <w:r w:rsidRPr="4D34B28C">
        <w:t>PCNs and Clinical Directors will be responsible for managing any conflicts of interest, taking account of what is within the best interests of the PCN and their collective patients. They will need to consider how best to manage inappropriate behaviour which negatively impacts on PCN member relationships or delivery of care to patients.</w:t>
      </w:r>
    </w:p>
    <w:p w14:paraId="176BB146" w14:textId="77777777" w:rsidR="008F2758" w:rsidRPr="00F55944" w:rsidRDefault="008F2758" w:rsidP="00084AFF">
      <w:pPr>
        <w:pStyle w:val="h3numbered"/>
        <w:rPr>
          <w:lang w:eastAsia="en-GB"/>
        </w:rPr>
      </w:pPr>
      <w:bookmarkStart w:id="85" w:name="_Toc26957658"/>
      <w:bookmarkStart w:id="86" w:name="_Toc36557262"/>
      <w:bookmarkStart w:id="87" w:name="_Toc150155989"/>
      <w:bookmarkStart w:id="88" w:name="_Toc223511130"/>
      <w:bookmarkStart w:id="89" w:name="_Toc223511420"/>
      <w:r w:rsidRPr="00F55944">
        <w:rPr>
          <w:lang w:eastAsia="en-GB"/>
        </w:rPr>
        <w:lastRenderedPageBreak/>
        <w:t>Data and analytics</w:t>
      </w:r>
      <w:bookmarkEnd w:id="85"/>
      <w:bookmarkEnd w:id="86"/>
      <w:bookmarkEnd w:id="87"/>
      <w:bookmarkEnd w:id="88"/>
      <w:bookmarkEnd w:id="89"/>
    </w:p>
    <w:p w14:paraId="5A5B4368" w14:textId="15A44C73" w:rsidR="008F2758" w:rsidRPr="003B04EB" w:rsidRDefault="008F2758" w:rsidP="00084AFF">
      <w:pPr>
        <w:pStyle w:val="h4numbered"/>
      </w:pPr>
      <w:r w:rsidRPr="003B04EB">
        <w:t xml:space="preserve">Each PCN is required to have in place appropriate data sharing and, where appropriate, data processing arrangements between members of the PCN and any sub-contractors as required. These arrangements </w:t>
      </w:r>
      <w:r w:rsidR="0009278D">
        <w:t>must</w:t>
      </w:r>
      <w:r w:rsidRPr="003B04EB">
        <w:t xml:space="preserve"> be in place prior to the start of the activity to which they relate. The Data Sharing Agreement and Data Processing Agreement non-mandatory templates </w:t>
      </w:r>
      <w:r w:rsidR="00434F94" w:rsidRPr="00FF0A2F">
        <w:t xml:space="preserve">have been updated for </w:t>
      </w:r>
      <w:r w:rsidR="00384011">
        <w:t>202</w:t>
      </w:r>
      <w:r w:rsidR="00384011" w:rsidRPr="0088339B">
        <w:rPr>
          <w:highlight w:val="yellow"/>
        </w:rPr>
        <w:t>6</w:t>
      </w:r>
      <w:r w:rsidR="00384011">
        <w:t>/2</w:t>
      </w:r>
      <w:r w:rsidR="00384011" w:rsidRPr="0088339B">
        <w:rPr>
          <w:highlight w:val="yellow"/>
        </w:rPr>
        <w:t>7</w:t>
      </w:r>
      <w:r w:rsidR="00434F94" w:rsidRPr="00FF0A2F">
        <w:t xml:space="preserve"> to reflect </w:t>
      </w:r>
      <w:r w:rsidR="007E1271" w:rsidRPr="00FF0A2F">
        <w:t>updated legislative references and requirements</w:t>
      </w:r>
      <w:r w:rsidR="00434F94" w:rsidRPr="00FF0A2F">
        <w:t xml:space="preserve"> and</w:t>
      </w:r>
      <w:r w:rsidR="00434F94">
        <w:t xml:space="preserve"> </w:t>
      </w:r>
      <w:r w:rsidRPr="003B04EB">
        <w:t>are available for PCNs to use.</w:t>
      </w:r>
    </w:p>
    <w:p w14:paraId="7CAFAC51" w14:textId="1A87652B" w:rsidR="008F2758" w:rsidRPr="003B04EB" w:rsidRDefault="008F2758" w:rsidP="00084AFF">
      <w:pPr>
        <w:pStyle w:val="h4numbered"/>
      </w:pPr>
      <w:r w:rsidRPr="003B04EB">
        <w:t>Where func</w:t>
      </w:r>
      <w:r w:rsidR="00BF21EE">
        <w:t>t</w:t>
      </w:r>
      <w:r w:rsidRPr="003B04EB">
        <w:t>ionality is available, clinical data sharing for service delivery should be read/write access, so that a GP from any practice, and where required other PCN staff, can refer, order tests, and prescribe electronically and maintain a contemporaneous record for every patient.</w:t>
      </w:r>
    </w:p>
    <w:p w14:paraId="1ADB6FCE" w14:textId="77777777" w:rsidR="008F2758" w:rsidRPr="003B04EB" w:rsidRDefault="008F2758" w:rsidP="00084AFF">
      <w:pPr>
        <w:pStyle w:val="h4numbered"/>
      </w:pPr>
      <w:r w:rsidRPr="003B04EB">
        <w:t>PCNs should be routinely monitoring, sharing, and aggregating relevant data across the Core Network Practices. This is to allow for benchmarking of activity and the identification of:</w:t>
      </w:r>
    </w:p>
    <w:p w14:paraId="5DA19405" w14:textId="77777777" w:rsidR="008F2758" w:rsidRPr="003B04EB" w:rsidRDefault="008F2758" w:rsidP="000741C5">
      <w:pPr>
        <w:pStyle w:val="Heading4"/>
        <w:keepNext w:val="0"/>
        <w:numPr>
          <w:ilvl w:val="1"/>
          <w:numId w:val="9"/>
        </w:numPr>
        <w:spacing w:line="276" w:lineRule="auto"/>
        <w:ind w:left="2268" w:hanging="567"/>
        <w:rPr>
          <w:rFonts w:ascii="Arial" w:hAnsi="Arial"/>
          <w:b w:val="0"/>
          <w:sz w:val="24"/>
        </w:rPr>
      </w:pPr>
      <w:r w:rsidRPr="003B04EB">
        <w:rPr>
          <w:rFonts w:ascii="Arial" w:hAnsi="Arial"/>
          <w:b w:val="0"/>
          <w:sz w:val="24"/>
        </w:rPr>
        <w:t>opportunities for improvement;</w:t>
      </w:r>
    </w:p>
    <w:p w14:paraId="1AB877BC" w14:textId="77777777" w:rsidR="008F2758" w:rsidRPr="003B04EB" w:rsidRDefault="008F2758" w:rsidP="000741C5">
      <w:pPr>
        <w:pStyle w:val="Heading4"/>
        <w:keepNext w:val="0"/>
        <w:numPr>
          <w:ilvl w:val="1"/>
          <w:numId w:val="9"/>
        </w:numPr>
        <w:spacing w:line="276" w:lineRule="auto"/>
        <w:ind w:left="2268" w:hanging="567"/>
        <w:rPr>
          <w:rFonts w:ascii="Arial" w:hAnsi="Arial"/>
          <w:b w:val="0"/>
          <w:sz w:val="24"/>
        </w:rPr>
      </w:pPr>
      <w:r w:rsidRPr="003B04EB">
        <w:rPr>
          <w:rFonts w:ascii="Arial" w:hAnsi="Arial"/>
          <w:b w:val="0"/>
          <w:sz w:val="24"/>
        </w:rPr>
        <w:t>variation in access and service delivery; and</w:t>
      </w:r>
    </w:p>
    <w:p w14:paraId="31D61AB3" w14:textId="77777777" w:rsidR="008F2758" w:rsidRPr="003B04EB" w:rsidRDefault="008F2758" w:rsidP="000741C5">
      <w:pPr>
        <w:pStyle w:val="Heading4"/>
        <w:keepNext w:val="0"/>
        <w:numPr>
          <w:ilvl w:val="1"/>
          <w:numId w:val="9"/>
        </w:numPr>
        <w:spacing w:line="276" w:lineRule="auto"/>
        <w:ind w:left="2268" w:hanging="567"/>
        <w:rPr>
          <w:rFonts w:ascii="Arial" w:hAnsi="Arial"/>
          <w:b w:val="0"/>
          <w:sz w:val="24"/>
        </w:rPr>
      </w:pPr>
      <w:r w:rsidRPr="003B04EB">
        <w:rPr>
          <w:rFonts w:ascii="Arial" w:hAnsi="Arial"/>
          <w:b w:val="0"/>
          <w:sz w:val="24"/>
        </w:rPr>
        <w:t>capacity and demand across the PCN population in order to review and manage appropriately.</w:t>
      </w:r>
    </w:p>
    <w:p w14:paraId="72275671" w14:textId="77777777" w:rsidR="008F2758" w:rsidRPr="003B04EB" w:rsidRDefault="008F2758" w:rsidP="00084AFF">
      <w:pPr>
        <w:pStyle w:val="h4numbered"/>
      </w:pPr>
      <w:r w:rsidRPr="003B04EB">
        <w:t>The Calculating Quality and Reporting Service (CQRS) includes functionality to enable practice-level data for PCN Core Network Practices to be summed to PCN-</w:t>
      </w:r>
      <w:r w:rsidRPr="003B04EB">
        <w:rPr>
          <w:bCs/>
        </w:rPr>
        <w:t>level</w:t>
      </w:r>
      <w:r w:rsidRPr="003B04EB">
        <w:t>. PCN Core Network Practices and the lead commissioner will be able to review both PCN and practice-level data.</w:t>
      </w:r>
    </w:p>
    <w:p w14:paraId="3A04FD0E" w14:textId="77777777" w:rsidR="008F2758" w:rsidRDefault="008F2758" w:rsidP="00084AFF">
      <w:pPr>
        <w:pStyle w:val="h4numbered"/>
        <w:rPr>
          <w:szCs w:val="24"/>
        </w:rPr>
      </w:pPr>
      <w:r w:rsidRPr="003B04EB">
        <w:t xml:space="preserve">With regards to cross-boundary PCNs identified through the PCN ODS mapping data, reporting within CQRS will not enable PCN related data to be available to multiple commissioners. The commissioners will therefore need to work together and the ‘lead CCG’ – identified by the PCN ODS reference data - will be required to share all relevant PCN level data with the ‘non-lead CCG’ to support monitoring and payment information linked to the Network Contract DES. Providing the data is not patient identifiable – which for the purposes of the Network Contract DES it will not be – General Data Protection Regulation (GDPR) does not require a data sharing agreement to be in place </w:t>
      </w:r>
      <w:r w:rsidRPr="003B04EB">
        <w:rPr>
          <w:szCs w:val="24"/>
        </w:rPr>
        <w:t>between controllers.</w:t>
      </w:r>
    </w:p>
    <w:p w14:paraId="0C5E6EA2" w14:textId="1CE6931D" w:rsidR="000847E5" w:rsidRPr="00392CDD" w:rsidRDefault="000847E5" w:rsidP="00084AFF">
      <w:pPr>
        <w:pStyle w:val="h4numbered"/>
        <w:rPr>
          <w:highlight w:val="yellow"/>
        </w:rPr>
      </w:pPr>
      <w:r w:rsidRPr="00392CDD">
        <w:rPr>
          <w:highlight w:val="yellow"/>
        </w:rPr>
        <w:t xml:space="preserve">Core Network Practices and PCNs must participate in the General Practice Staff Survey ("GPSS"). The PCN must nominate a key contact who is responsible for providing the commissioner with the email addresses of all </w:t>
      </w:r>
      <w:r w:rsidR="00976C4B" w:rsidRPr="00392CDD">
        <w:rPr>
          <w:highlight w:val="yellow"/>
        </w:rPr>
        <w:t xml:space="preserve">PCN </w:t>
      </w:r>
      <w:r w:rsidRPr="00392CDD">
        <w:rPr>
          <w:highlight w:val="yellow"/>
        </w:rPr>
        <w:t xml:space="preserve">eligible staff, so that they can be issued a personalised survey link. The PCN must ensure that the contact details supplied include the email </w:t>
      </w:r>
      <w:r w:rsidRPr="00392CDD">
        <w:rPr>
          <w:highlight w:val="yellow"/>
        </w:rPr>
        <w:lastRenderedPageBreak/>
        <w:t xml:space="preserve">addresses of staff employed by Core Network Practices, staff employed by the PCN (if applicable), and all Additional Roles, including where those Additional Roles are employed by third party organisations. </w:t>
      </w:r>
    </w:p>
    <w:p w14:paraId="215F53EA" w14:textId="132E9AAF" w:rsidR="008F2758" w:rsidRDefault="00BF265A" w:rsidP="00BF265A">
      <w:pPr>
        <w:pStyle w:val="h2numbered"/>
        <w:keepNext/>
        <w:keepLines/>
      </w:pPr>
      <w:bookmarkStart w:id="90" w:name="_Ref34815458"/>
      <w:bookmarkStart w:id="91" w:name="_Ref34815555"/>
      <w:bookmarkStart w:id="92" w:name="_Toc36557264"/>
      <w:bookmarkStart w:id="93" w:name="_Toc150155991"/>
      <w:bookmarkStart w:id="94" w:name="_Toc26957661"/>
      <w:r>
        <w:tab/>
      </w:r>
      <w:bookmarkStart w:id="95" w:name="_Toc223511131"/>
      <w:bookmarkStart w:id="96" w:name="_Toc223511421"/>
      <w:r w:rsidR="008F2758" w:rsidRPr="00F55944">
        <w:t>Sub-contracting of network services</w:t>
      </w:r>
      <w:bookmarkEnd w:id="90"/>
      <w:bookmarkEnd w:id="91"/>
      <w:bookmarkEnd w:id="92"/>
      <w:bookmarkEnd w:id="93"/>
      <w:bookmarkEnd w:id="95"/>
      <w:bookmarkEnd w:id="96"/>
    </w:p>
    <w:p w14:paraId="15B06EB4" w14:textId="77777777" w:rsidR="008F2758" w:rsidRPr="00F55944" w:rsidRDefault="008F2758" w:rsidP="00BF265A">
      <w:pPr>
        <w:pStyle w:val="h3numbered"/>
        <w:keepNext/>
        <w:keepLines/>
        <w:rPr>
          <w:lang w:eastAsia="en-GB"/>
        </w:rPr>
      </w:pPr>
      <w:bookmarkStart w:id="97" w:name="_Toc36557265"/>
      <w:bookmarkStart w:id="98" w:name="_Toc150155992"/>
      <w:bookmarkStart w:id="99" w:name="_Toc223511132"/>
      <w:bookmarkStart w:id="100" w:name="_Toc223511422"/>
      <w:r w:rsidRPr="00F55944">
        <w:rPr>
          <w:lang w:eastAsia="en-GB"/>
        </w:rPr>
        <w:t>Core Network Practice with sites in different PCNs</w:t>
      </w:r>
      <w:bookmarkEnd w:id="97"/>
      <w:bookmarkEnd w:id="98"/>
      <w:bookmarkEnd w:id="99"/>
      <w:bookmarkEnd w:id="100"/>
    </w:p>
    <w:p w14:paraId="3618791E" w14:textId="77777777" w:rsidR="008F2758" w:rsidRPr="00E57468" w:rsidRDefault="008F2758" w:rsidP="00084AFF">
      <w:pPr>
        <w:pStyle w:val="h4numbered"/>
      </w:pPr>
      <w:r w:rsidRPr="00E57468">
        <w:t>When a Core Network Practice of a PCN (PCN 1) is looking to sub-contract services/activities to a different PCN (PCN 2) for a proportion of their registered population (for example where it holds a single contract but delivers services from multiple sites, such as a branch surgery), PCN 1 should give careful consideration to how the patients - to whom PCN 2 will provide PCN services/activities - will be identified. This is particularly important where those patients are under a single registered list under a single primary medical services contract.</w:t>
      </w:r>
    </w:p>
    <w:p w14:paraId="51018C26" w14:textId="77777777" w:rsidR="008F2758" w:rsidRPr="00E57468" w:rsidRDefault="008F2758" w:rsidP="00084AFF">
      <w:pPr>
        <w:pStyle w:val="h4numbered"/>
      </w:pPr>
      <w:r w:rsidRPr="00E57468">
        <w:t>Identification of patients for whom PCN 2 will provide PCN services/activities may, for example, be the patients who usually access care at a GP practice site within PCN 1. The GP practice should also take care not to do anything that could mean that a cohort of registered patients were treated differently e.g. a GP practice should not tell specific patients that they can only access PCN services/activities from sites in PCN 2. This is important as the practice needs to ensure that it does not breach any of the practice’s obligations to patients set out in its core primary medical services contract.</w:t>
      </w:r>
    </w:p>
    <w:p w14:paraId="635EFEE3" w14:textId="77777777" w:rsidR="008F2758" w:rsidRPr="00E57468" w:rsidRDefault="008F2758" w:rsidP="00084AFF">
      <w:pPr>
        <w:pStyle w:val="h4numbered"/>
      </w:pPr>
      <w:r w:rsidRPr="00E57468">
        <w:t>There are two main options for the sub-contracting of PCN services/activities:</w:t>
      </w:r>
    </w:p>
    <w:p w14:paraId="1E251CD9" w14:textId="77777777" w:rsidR="008F2758" w:rsidRPr="00E57468" w:rsidRDefault="008F2758" w:rsidP="000741C5">
      <w:pPr>
        <w:pStyle w:val="Heading3"/>
        <w:keepNext w:val="0"/>
        <w:numPr>
          <w:ilvl w:val="0"/>
          <w:numId w:val="26"/>
        </w:numPr>
        <w:spacing w:line="276" w:lineRule="auto"/>
        <w:ind w:left="1701" w:hanging="851"/>
        <w:rPr>
          <w:sz w:val="24"/>
        </w:rPr>
      </w:pPr>
      <w:bookmarkStart w:id="101" w:name="_Toc36557266"/>
      <w:bookmarkStart w:id="102" w:name="_Toc150155993"/>
      <w:bookmarkStart w:id="103" w:name="_Toc223511133"/>
      <w:r w:rsidRPr="00E57468">
        <w:rPr>
          <w:sz w:val="24"/>
        </w:rPr>
        <w:t>Option 1: Sub-contracting via the Network Agreement</w:t>
      </w:r>
      <w:bookmarkEnd w:id="101"/>
      <w:bookmarkEnd w:id="102"/>
      <w:bookmarkEnd w:id="103"/>
    </w:p>
    <w:p w14:paraId="28905AC0" w14:textId="77777777" w:rsidR="008F2758" w:rsidRPr="00E57468" w:rsidRDefault="008F2758" w:rsidP="000741C5">
      <w:pPr>
        <w:pStyle w:val="Heading4"/>
        <w:keepNext w:val="0"/>
        <w:numPr>
          <w:ilvl w:val="0"/>
          <w:numId w:val="10"/>
        </w:numPr>
        <w:spacing w:line="276" w:lineRule="auto"/>
        <w:ind w:left="2268" w:hanging="567"/>
        <w:rPr>
          <w:rFonts w:ascii="Arial" w:hAnsi="Arial" w:cs="Arial"/>
          <w:b w:val="0"/>
          <w:sz w:val="24"/>
          <w:szCs w:val="24"/>
        </w:rPr>
      </w:pPr>
      <w:r w:rsidRPr="00E57468">
        <w:rPr>
          <w:rFonts w:ascii="Arial" w:hAnsi="Arial" w:cs="Arial"/>
          <w:b w:val="0"/>
          <w:sz w:val="24"/>
          <w:szCs w:val="24"/>
        </w:rPr>
        <w:t>In this scenario, the practice will be a Core Network Practice of a PCN (PCN 1) and will be signed up to PCN 1’s Network Agreement in the usual way. That Network Agreement will note that it has been agreed that another PCN (PCN 2) will provide PCN services/activities to certain patients of the relevant practice. It would be helpful for PCN 1’s Network Agreement to set out the reasoning for this.  The relevant practice will also sign the Network Agreement of PCN 2 as an “other member” (i.e. not as a Core Network Practice). The details of the sub-contracting arrangement - the financial/service delivery/workforce arrangements - would be set out in an additional schedule of PCN 2’s Network Agreement.</w:t>
      </w:r>
    </w:p>
    <w:p w14:paraId="333B5DDD" w14:textId="77777777" w:rsidR="008F2758" w:rsidRPr="00E57468" w:rsidRDefault="008F2758" w:rsidP="000741C5">
      <w:pPr>
        <w:pStyle w:val="Heading4"/>
        <w:keepNext w:val="0"/>
        <w:numPr>
          <w:ilvl w:val="0"/>
          <w:numId w:val="10"/>
        </w:numPr>
        <w:spacing w:line="276" w:lineRule="auto"/>
        <w:ind w:left="2268" w:hanging="567"/>
        <w:rPr>
          <w:rFonts w:ascii="Arial" w:hAnsi="Arial" w:cs="Arial"/>
          <w:b w:val="0"/>
          <w:sz w:val="24"/>
          <w:szCs w:val="24"/>
        </w:rPr>
      </w:pPr>
      <w:r w:rsidRPr="00E57468">
        <w:rPr>
          <w:rFonts w:ascii="Arial" w:hAnsi="Arial" w:cs="Arial"/>
          <w:b w:val="0"/>
          <w:sz w:val="24"/>
          <w:szCs w:val="24"/>
        </w:rPr>
        <w:t>Careful consideration would need to be given to the role that the relevant practice has in PCN 2. The Network Agreement for PCN 2 would need to be clear on:</w:t>
      </w:r>
    </w:p>
    <w:p w14:paraId="078CB823" w14:textId="77777777" w:rsidR="008F2758" w:rsidRPr="00E57468" w:rsidRDefault="008F2758" w:rsidP="000741C5">
      <w:pPr>
        <w:pStyle w:val="Heading4"/>
        <w:keepNext w:val="0"/>
        <w:numPr>
          <w:ilvl w:val="0"/>
          <w:numId w:val="11"/>
        </w:numPr>
        <w:spacing w:line="276" w:lineRule="auto"/>
        <w:ind w:left="2835" w:hanging="567"/>
        <w:rPr>
          <w:rFonts w:ascii="Arial" w:hAnsi="Arial"/>
          <w:b w:val="0"/>
          <w:sz w:val="24"/>
        </w:rPr>
      </w:pPr>
      <w:r w:rsidRPr="00E57468">
        <w:rPr>
          <w:rFonts w:ascii="Arial" w:hAnsi="Arial"/>
          <w:b w:val="0"/>
          <w:sz w:val="24"/>
        </w:rPr>
        <w:lastRenderedPageBreak/>
        <w:t>setting out what requirements, if any, the relevant practice should be expected to deliver to facilitate the delivery of PCN services/activities to its patients. This might include agreed arrangements for communicating with patients and data sharing, for example;</w:t>
      </w:r>
    </w:p>
    <w:p w14:paraId="3C80C9D1" w14:textId="77777777" w:rsidR="008F2758" w:rsidRPr="00E57468" w:rsidRDefault="008F2758" w:rsidP="000741C5">
      <w:pPr>
        <w:pStyle w:val="Heading4"/>
        <w:keepNext w:val="0"/>
        <w:numPr>
          <w:ilvl w:val="0"/>
          <w:numId w:val="11"/>
        </w:numPr>
        <w:spacing w:line="276" w:lineRule="auto"/>
        <w:ind w:left="2835" w:hanging="567"/>
        <w:rPr>
          <w:rFonts w:ascii="Arial" w:hAnsi="Arial"/>
          <w:b w:val="0"/>
          <w:sz w:val="24"/>
        </w:rPr>
      </w:pPr>
      <w:r w:rsidRPr="00E57468">
        <w:rPr>
          <w:rFonts w:ascii="Arial" w:hAnsi="Arial"/>
          <w:b w:val="0"/>
          <w:sz w:val="24"/>
        </w:rPr>
        <w:t>defining which matters of PCN 2 the relevant practice may have an interest/vote in; and</w:t>
      </w:r>
    </w:p>
    <w:p w14:paraId="33CB2C1F" w14:textId="77777777" w:rsidR="008F2758" w:rsidRPr="00E57468" w:rsidRDefault="008F2758" w:rsidP="000741C5">
      <w:pPr>
        <w:pStyle w:val="Heading4"/>
        <w:keepNext w:val="0"/>
        <w:numPr>
          <w:ilvl w:val="0"/>
          <w:numId w:val="11"/>
        </w:numPr>
        <w:spacing w:line="276" w:lineRule="auto"/>
        <w:ind w:left="2835" w:hanging="567"/>
        <w:rPr>
          <w:rFonts w:ascii="Arial" w:hAnsi="Arial"/>
          <w:b w:val="0"/>
          <w:sz w:val="24"/>
        </w:rPr>
      </w:pPr>
      <w:r w:rsidRPr="00E57468">
        <w:rPr>
          <w:rFonts w:ascii="Arial" w:hAnsi="Arial"/>
          <w:b w:val="0"/>
          <w:sz w:val="24"/>
        </w:rPr>
        <w:t>whether there is any PCN 2 related information e.g. financial accounts, that it should not be party to.</w:t>
      </w:r>
    </w:p>
    <w:p w14:paraId="048CE58C" w14:textId="77777777" w:rsidR="008F2758" w:rsidRPr="00E57468" w:rsidRDefault="008F2758" w:rsidP="000741C5">
      <w:pPr>
        <w:pStyle w:val="Heading3"/>
        <w:keepNext w:val="0"/>
        <w:numPr>
          <w:ilvl w:val="0"/>
          <w:numId w:val="26"/>
        </w:numPr>
        <w:spacing w:line="276" w:lineRule="auto"/>
        <w:ind w:left="1701"/>
        <w:rPr>
          <w:sz w:val="24"/>
        </w:rPr>
      </w:pPr>
      <w:bookmarkStart w:id="104" w:name="_Toc36557267"/>
      <w:bookmarkStart w:id="105" w:name="_Toc150155994"/>
      <w:bookmarkStart w:id="106" w:name="_Toc223511134"/>
      <w:r w:rsidRPr="00E57468">
        <w:rPr>
          <w:sz w:val="24"/>
        </w:rPr>
        <w:t>Option 2: Entering into a separate specific sub-contract</w:t>
      </w:r>
      <w:bookmarkEnd w:id="104"/>
      <w:r w:rsidRPr="00E57468">
        <w:rPr>
          <w:rStyle w:val="FootnoteReference"/>
          <w:sz w:val="24"/>
        </w:rPr>
        <w:footnoteReference w:id="6"/>
      </w:r>
      <w:bookmarkEnd w:id="105"/>
      <w:bookmarkEnd w:id="106"/>
      <w:r w:rsidRPr="00E57468">
        <w:rPr>
          <w:sz w:val="24"/>
        </w:rPr>
        <w:t xml:space="preserve"> </w:t>
      </w:r>
    </w:p>
    <w:p w14:paraId="6961D1D5" w14:textId="77777777" w:rsidR="008F2758" w:rsidRPr="00E57468" w:rsidRDefault="008F2758" w:rsidP="000741C5">
      <w:pPr>
        <w:pStyle w:val="Heading4"/>
        <w:keepNext w:val="0"/>
        <w:numPr>
          <w:ilvl w:val="0"/>
          <w:numId w:val="27"/>
        </w:numPr>
        <w:spacing w:line="276" w:lineRule="auto"/>
        <w:ind w:left="2268" w:hanging="567"/>
        <w:rPr>
          <w:rFonts w:ascii="Arial" w:hAnsi="Arial" w:cs="Arial"/>
          <w:b w:val="0"/>
          <w:sz w:val="24"/>
          <w:szCs w:val="24"/>
        </w:rPr>
      </w:pPr>
      <w:r w:rsidRPr="00E57468">
        <w:rPr>
          <w:rFonts w:ascii="Arial" w:hAnsi="Arial" w:cs="Arial"/>
          <w:b w:val="0"/>
          <w:sz w:val="24"/>
          <w:szCs w:val="24"/>
        </w:rPr>
        <w:t>In this scenario, the relevant practice could enter into a separate sub-contract with one or more of the Core Network Practices of PCN 2 for the delivery of PCN services/activities. Both PCNs will need to reflect the sub-contracting arrangement in both Network Agreements. In this scenario, it would not be necessary for the relevant practice to sign the Network Agreement of PCN 2.</w:t>
      </w:r>
    </w:p>
    <w:p w14:paraId="091781D0" w14:textId="77777777" w:rsidR="008F2758" w:rsidRPr="00E57468" w:rsidRDefault="008F2758" w:rsidP="00084AFF">
      <w:pPr>
        <w:pStyle w:val="h4numbered"/>
      </w:pPr>
      <w:r w:rsidRPr="00E57468">
        <w:t>PCNs will need to carefully consider the pros and cons of each approach, bearing in mind the additional complexity that either of the sub-contracting arrangements may bring and ensure that the agreed position is set out in clear and unambiguous wording. In all cases, the sub-contracting arrangements should include the ability to review/update the sub-contracting arrangements in light of any changes to the Network Contract DES Specification.</w:t>
      </w:r>
    </w:p>
    <w:p w14:paraId="3B9E283A" w14:textId="77777777" w:rsidR="008F2758" w:rsidRPr="00E57468" w:rsidRDefault="008F2758" w:rsidP="00084AFF">
      <w:pPr>
        <w:pStyle w:val="h4numbered"/>
      </w:pPr>
      <w:r w:rsidRPr="00E57468">
        <w:t>In entering into any sub-contracting arrangement, GP practices should at all times ensure they are complying with the sub-contracting requirements within their individual primary medical services contracts. Where a PCN wishes to sub-contract delivery of network services to a GP federation, this is permitted if the arrangement complies with the sub-contracting requirements in each GP practice’s primary medical services contract.</w:t>
      </w:r>
    </w:p>
    <w:p w14:paraId="0C34C8DA" w14:textId="77777777" w:rsidR="008F2758" w:rsidRPr="00F55944" w:rsidRDefault="008F2758" w:rsidP="00084AFF">
      <w:pPr>
        <w:pStyle w:val="h3numbered"/>
        <w:rPr>
          <w:lang w:eastAsia="en-GB"/>
        </w:rPr>
      </w:pPr>
      <w:bookmarkStart w:id="107" w:name="_Toc36557268"/>
      <w:bookmarkStart w:id="108" w:name="_Toc150155995"/>
      <w:bookmarkStart w:id="109" w:name="_Toc223511135"/>
      <w:bookmarkStart w:id="110" w:name="_Toc223511423"/>
      <w:r w:rsidRPr="00F55944">
        <w:rPr>
          <w:lang w:eastAsia="en-GB"/>
        </w:rPr>
        <w:t>Sub-contracting of clinical and non-clinical services or matters</w:t>
      </w:r>
      <w:bookmarkEnd w:id="107"/>
      <w:bookmarkEnd w:id="108"/>
      <w:bookmarkEnd w:id="109"/>
      <w:bookmarkEnd w:id="110"/>
    </w:p>
    <w:p w14:paraId="79C8FC02" w14:textId="77777777" w:rsidR="008F2758" w:rsidRPr="00CB47F5" w:rsidRDefault="008F2758" w:rsidP="00084AFF">
      <w:pPr>
        <w:pStyle w:val="h4numbered"/>
      </w:pPr>
      <w:r w:rsidRPr="00CB47F5">
        <w:t>Following an amendment to GMS and PMS Regulations</w:t>
      </w:r>
      <w:r w:rsidRPr="00CB47F5">
        <w:rPr>
          <w:rStyle w:val="FootnoteReference"/>
        </w:rPr>
        <w:footnoteReference w:id="7"/>
      </w:r>
      <w:r w:rsidRPr="00CB47F5">
        <w:t xml:space="preserve">, a sub-contractor to a practice or practices may be allowed to onward sub-contract a clinical matter that relates to the Network Contract DES. If, for example, practices have sub-contracted provision of clinical services to a GP federation, the sub-contract could now allow the GP federation to </w:t>
      </w:r>
      <w:r w:rsidRPr="00CB47F5" w:rsidDel="004A4DBD">
        <w:t>sub-contract</w:t>
      </w:r>
      <w:r w:rsidRPr="00CB47F5">
        <w:t xml:space="preserve"> the clinical services to another organisation with the prior written approval of the </w:t>
      </w:r>
      <w:r w:rsidRPr="00CB47F5">
        <w:lastRenderedPageBreak/>
        <w:t>commissioner. The commissioner’s approval will not unreasonably be withheld or delayed</w:t>
      </w:r>
      <w:r w:rsidRPr="00CB47F5" w:rsidDel="004A4DBD">
        <w:t>.</w:t>
      </w:r>
      <w:r w:rsidRPr="00CB47F5">
        <w:t xml:space="preserve"> </w:t>
      </w:r>
    </w:p>
    <w:p w14:paraId="6DF8CAB1" w14:textId="77777777" w:rsidR="008F2758" w:rsidRPr="00CB47F5" w:rsidRDefault="008F2758" w:rsidP="00084AFF">
      <w:pPr>
        <w:pStyle w:val="h4numbered"/>
      </w:pPr>
      <w:r w:rsidRPr="00CB47F5">
        <w:t>A sub-contractor to a practice or practice(s) will be allowed to onward sub-contract a non-clinical matter that relates to the Network Contract DES where the prior written approval of the commissioner is given. The commissioner’s approval will not unreasonably be withheld or delayed.</w:t>
      </w:r>
    </w:p>
    <w:p w14:paraId="0CF04734" w14:textId="26657084" w:rsidR="008F2758" w:rsidRPr="00F55944" w:rsidRDefault="00DD6A69" w:rsidP="00084AFF">
      <w:pPr>
        <w:pStyle w:val="h2numbered"/>
      </w:pPr>
      <w:bookmarkStart w:id="111" w:name="_Toc36557269"/>
      <w:bookmarkStart w:id="112" w:name="_Toc150155996"/>
      <w:r>
        <w:tab/>
      </w:r>
      <w:bookmarkStart w:id="113" w:name="_Toc223511136"/>
      <w:bookmarkStart w:id="114" w:name="_Toc223511424"/>
      <w:r w:rsidR="008F2758" w:rsidRPr="00F55944">
        <w:t>Additional Roles Reimbursement Scheme</w:t>
      </w:r>
      <w:bookmarkEnd w:id="94"/>
      <w:bookmarkEnd w:id="111"/>
      <w:bookmarkEnd w:id="112"/>
      <w:bookmarkEnd w:id="113"/>
      <w:bookmarkEnd w:id="114"/>
    </w:p>
    <w:p w14:paraId="0408592B" w14:textId="77777777" w:rsidR="008F2758" w:rsidRPr="00F55944" w:rsidRDefault="008F2758" w:rsidP="00084AFF">
      <w:pPr>
        <w:pStyle w:val="h3numbered"/>
        <w:rPr>
          <w:lang w:eastAsia="en-GB"/>
        </w:rPr>
      </w:pPr>
      <w:bookmarkStart w:id="115" w:name="_Toc36557270"/>
      <w:bookmarkStart w:id="116" w:name="_Toc150155997"/>
      <w:bookmarkStart w:id="117" w:name="_Toc223511137"/>
      <w:bookmarkStart w:id="118" w:name="_Toc223511425"/>
      <w:r w:rsidRPr="00F55944">
        <w:rPr>
          <w:lang w:eastAsia="en-GB"/>
        </w:rPr>
        <w:t>Workforce planning and ongoing reporting</w:t>
      </w:r>
      <w:bookmarkEnd w:id="115"/>
      <w:bookmarkEnd w:id="116"/>
      <w:bookmarkEnd w:id="117"/>
      <w:bookmarkEnd w:id="118"/>
    </w:p>
    <w:p w14:paraId="01D77901" w14:textId="77777777" w:rsidR="008F2758" w:rsidRPr="00CB47F5" w:rsidRDefault="008F2758" w:rsidP="00084AFF">
      <w:pPr>
        <w:pStyle w:val="h4numbered"/>
      </w:pPr>
      <w:r w:rsidRPr="00CB47F5">
        <w:t>Expanding the workforce is the top priority for primary care, and commissioners must support their PCNs to undertake recruitment under the Additional Roles Reimbursement Scheme to deliver this priority.</w:t>
      </w:r>
    </w:p>
    <w:p w14:paraId="217D4338" w14:textId="43B08D0D" w:rsidR="008F2758" w:rsidRPr="00CB47F5" w:rsidRDefault="008F2758" w:rsidP="00084AFF">
      <w:pPr>
        <w:pStyle w:val="h4numbered"/>
      </w:pPr>
      <w:r w:rsidRPr="00CB47F5">
        <w:t xml:space="preserve">PCNs are required to plan their future workforce requirements in order to support claims under their Additional Roles Reimbursement Sum each year. As set out in the Network Contract DES Specification, each PCN is required to complete and return to the commissioner by </w:t>
      </w:r>
      <w:r w:rsidRPr="00FF0A2F">
        <w:t>31</w:t>
      </w:r>
      <w:r w:rsidR="000F0201" w:rsidRPr="00FF0A2F">
        <w:t xml:space="preserve"> </w:t>
      </w:r>
      <w:r w:rsidR="000F0201" w:rsidRPr="00365F7F">
        <w:t>October</w:t>
      </w:r>
      <w:r w:rsidRPr="00365F7F">
        <w:t xml:space="preserve"> </w:t>
      </w:r>
      <w:r w:rsidR="00384011">
        <w:rPr>
          <w:rFonts w:hint="eastAsia"/>
        </w:rPr>
        <w:t>202</w:t>
      </w:r>
      <w:r w:rsidR="00384011" w:rsidRPr="0019790E">
        <w:rPr>
          <w:rFonts w:hint="eastAsia"/>
          <w:highlight w:val="yellow"/>
        </w:rPr>
        <w:t>6</w:t>
      </w:r>
      <w:r w:rsidR="00384011">
        <w:rPr>
          <w:rFonts w:hint="eastAsia"/>
        </w:rPr>
        <w:t xml:space="preserve"> </w:t>
      </w:r>
      <w:r w:rsidR="00B02480" w:rsidRPr="00365F7F">
        <w:rPr>
          <w:rFonts w:hint="eastAsia"/>
        </w:rPr>
        <w:t>a workforce plan</w:t>
      </w:r>
      <w:r w:rsidRPr="00365F7F">
        <w:t xml:space="preserve">, providing details of any updated recruitment plans for </w:t>
      </w:r>
      <w:r w:rsidR="00384011">
        <w:rPr>
          <w:rFonts w:hint="eastAsia"/>
        </w:rPr>
        <w:t>202</w:t>
      </w:r>
      <w:r w:rsidR="00384011" w:rsidRPr="0019790E">
        <w:rPr>
          <w:rFonts w:hint="eastAsia"/>
          <w:highlight w:val="yellow"/>
        </w:rPr>
        <w:t>6</w:t>
      </w:r>
      <w:r w:rsidR="00384011">
        <w:rPr>
          <w:rFonts w:hint="eastAsia"/>
        </w:rPr>
        <w:t>/2</w:t>
      </w:r>
      <w:r w:rsidR="00384011" w:rsidRPr="0019790E">
        <w:rPr>
          <w:rFonts w:hint="eastAsia"/>
          <w:highlight w:val="yellow"/>
        </w:rPr>
        <w:t>7</w:t>
      </w:r>
      <w:r w:rsidR="00866D48" w:rsidRPr="00365F7F">
        <w:t>.</w:t>
      </w:r>
      <w:r w:rsidRPr="00365F7F">
        <w:t xml:space="preserve"> The commissioner will confirm the plan with each PCN’s Clinical Director and, once each plan is agreed, will share with NHS England Regional Teams by 30 November </w:t>
      </w:r>
      <w:r w:rsidRPr="00365F7F">
        <w:rPr>
          <w:rFonts w:hint="eastAsia"/>
        </w:rPr>
        <w:t>202</w:t>
      </w:r>
      <w:r w:rsidR="00C458B7" w:rsidRPr="0019790E">
        <w:rPr>
          <w:highlight w:val="yellow"/>
        </w:rPr>
        <w:t>6</w:t>
      </w:r>
      <w:r w:rsidRPr="00365F7F">
        <w:rPr>
          <w:rFonts w:hint="eastAsia"/>
        </w:rPr>
        <w:t>.</w:t>
      </w:r>
    </w:p>
    <w:p w14:paraId="13C8E7EF" w14:textId="77777777" w:rsidR="008F2758" w:rsidRPr="00CB47F5" w:rsidRDefault="008F2758" w:rsidP="00084AFF">
      <w:pPr>
        <w:pStyle w:val="h4numbered"/>
      </w:pPr>
      <w:r w:rsidRPr="00CB47F5">
        <w:t>PCNs working with their commissioners are encouraged to have ongoing dialogue in relation to workforce strategies, to ensure these are consistent with broader ICS workforce strategies.</w:t>
      </w:r>
    </w:p>
    <w:p w14:paraId="5D2EBC73" w14:textId="68AE55EC" w:rsidR="008F2758" w:rsidRPr="00CB47F5" w:rsidRDefault="008F2758" w:rsidP="00084AFF">
      <w:pPr>
        <w:pStyle w:val="h4numbered"/>
      </w:pPr>
      <w:r w:rsidRPr="00CB47F5">
        <w:t xml:space="preserve">PCNs </w:t>
      </w:r>
      <w:r w:rsidR="00D94978">
        <w:t>must</w:t>
      </w:r>
      <w:r w:rsidRPr="00CB47F5">
        <w:t xml:space="preserve"> record, on a monthly basis, within the PCN Module of the National Workforce Reporting Service (NWRS) information on any staff employed or engaged through the Additional Roles Reimbursement Scheme. </w:t>
      </w:r>
    </w:p>
    <w:p w14:paraId="5F598645" w14:textId="56C88343" w:rsidR="008F2758" w:rsidRPr="002A2ED8" w:rsidRDefault="008F2758" w:rsidP="00084AFF">
      <w:pPr>
        <w:pStyle w:val="h4numbered"/>
        <w:rPr>
          <w:bCs/>
        </w:rPr>
      </w:pPr>
      <w:bookmarkStart w:id="119" w:name="_Toc36557271"/>
      <w:bookmarkStart w:id="120" w:name="_Toc150155998"/>
      <w:r w:rsidRPr="002A2ED8">
        <w:t>PCNs are required to record and submit any data required by NHS England for the purposes of the NHS England Workforce Collection (known as the “Workforce Minimum Dataset”). This includes ARRS roles agreed with the ICB in line with the provisions in section 7.3</w:t>
      </w:r>
      <w:r w:rsidR="00B15F5E" w:rsidRPr="002A2ED8">
        <w:t xml:space="preserve"> of the Network Contract DES Specification</w:t>
      </w:r>
      <w:r w:rsidR="00866D48" w:rsidRPr="002A2ED8">
        <w:t xml:space="preserve">. </w:t>
      </w:r>
    </w:p>
    <w:p w14:paraId="54AEE809" w14:textId="7D5E2BE4" w:rsidR="008F2758" w:rsidRPr="002A2ED8" w:rsidRDefault="008F2758" w:rsidP="00084AFF">
      <w:pPr>
        <w:pStyle w:val="h4numbered"/>
      </w:pPr>
      <w:r w:rsidRPr="002A2ED8">
        <w:t>The data needs to be appropriately coded</w:t>
      </w:r>
      <w:r w:rsidR="000D07BD" w:rsidRPr="002A2ED8">
        <w:t>, reviewed and updated</w:t>
      </w:r>
      <w:r w:rsidRPr="002A2ED8">
        <w:t xml:space="preserve"> in line with agreed standards set out in guidance</w:t>
      </w:r>
      <w:r w:rsidRPr="002A2ED8">
        <w:rPr>
          <w:rStyle w:val="FootnoteReference"/>
        </w:rPr>
        <w:footnoteReference w:id="8"/>
      </w:r>
      <w:r w:rsidR="00866D48" w:rsidRPr="002A2ED8">
        <w:t xml:space="preserve"> </w:t>
      </w:r>
      <w:r w:rsidRPr="002A2ED8">
        <w:t>published by NHS England</w:t>
      </w:r>
      <w:r w:rsidR="001B44BD" w:rsidRPr="002A2ED8">
        <w:t>,</w:t>
      </w:r>
      <w:r w:rsidRPr="002A2ED8">
        <w:t xml:space="preserve"> and </w:t>
      </w:r>
      <w:r w:rsidR="006700C2" w:rsidRPr="002A2ED8">
        <w:lastRenderedPageBreak/>
        <w:t>made available fo</w:t>
      </w:r>
      <w:r w:rsidR="004D0E51">
        <w:t xml:space="preserve">r </w:t>
      </w:r>
      <w:r w:rsidR="006700C2" w:rsidRPr="002A2ED8">
        <w:t>collection</w:t>
      </w:r>
      <w:r w:rsidRPr="002A2ED8">
        <w:t xml:space="preserve"> </w:t>
      </w:r>
      <w:r w:rsidR="000E253D" w:rsidRPr="002A2ED8">
        <w:t>at least monthly</w:t>
      </w:r>
      <w:r w:rsidRPr="002A2ED8">
        <w:t>, using the data entry module on the National Workforce Reporting S</w:t>
      </w:r>
      <w:r w:rsidR="00D33C4D" w:rsidRPr="002A2ED8">
        <w:t>ervice</w:t>
      </w:r>
      <w:r w:rsidRPr="002A2ED8">
        <w:t xml:space="preserve"> (NWRS).</w:t>
      </w:r>
    </w:p>
    <w:p w14:paraId="6E88E4B0" w14:textId="1EDA72B6" w:rsidR="008F2758" w:rsidRPr="00F55944" w:rsidRDefault="008F2758" w:rsidP="003A0B3B">
      <w:pPr>
        <w:pStyle w:val="Heading5"/>
        <w:spacing w:line="276" w:lineRule="auto"/>
        <w:ind w:left="851"/>
        <w:rPr>
          <w:rFonts w:hint="eastAsia"/>
        </w:rPr>
      </w:pPr>
      <w:r w:rsidRPr="00F55944">
        <w:t>System Support for PCNs</w:t>
      </w:r>
      <w:bookmarkEnd w:id="119"/>
      <w:bookmarkEnd w:id="120"/>
    </w:p>
    <w:p w14:paraId="14BA1499" w14:textId="77777777" w:rsidR="008F2758" w:rsidRPr="00ED7811" w:rsidRDefault="008F2758" w:rsidP="00084AFF">
      <w:pPr>
        <w:pStyle w:val="h4numbered"/>
      </w:pPr>
      <w:r w:rsidRPr="4D34B28C">
        <w:t>Commissioners and systems are expected to explore different ways of supporting PCNs. These should include, but not be limited to:</w:t>
      </w:r>
    </w:p>
    <w:p w14:paraId="41B4F159" w14:textId="77777777" w:rsidR="008F2758" w:rsidRPr="00ED7811" w:rsidRDefault="008F2758" w:rsidP="000741C5">
      <w:pPr>
        <w:pStyle w:val="Heading4"/>
        <w:keepNext w:val="0"/>
        <w:numPr>
          <w:ilvl w:val="0"/>
          <w:numId w:val="23"/>
        </w:numPr>
        <w:spacing w:line="276" w:lineRule="auto"/>
        <w:ind w:left="2268" w:hanging="567"/>
        <w:rPr>
          <w:rFonts w:ascii="Arial" w:hAnsi="Arial"/>
          <w:b w:val="0"/>
          <w:sz w:val="24"/>
        </w:rPr>
      </w:pPr>
      <w:r w:rsidRPr="00ED7811">
        <w:rPr>
          <w:rFonts w:ascii="Arial" w:hAnsi="Arial"/>
          <w:b w:val="0"/>
          <w:sz w:val="24"/>
        </w:rPr>
        <w:t>the immediate offer of support from their own staff to help co-ordinate and run recruitment exercises;</w:t>
      </w:r>
    </w:p>
    <w:p w14:paraId="559BACE9" w14:textId="77777777" w:rsidR="008F2758" w:rsidRPr="00ED7811" w:rsidRDefault="008F2758" w:rsidP="000741C5">
      <w:pPr>
        <w:pStyle w:val="Heading4"/>
        <w:keepNext w:val="0"/>
        <w:numPr>
          <w:ilvl w:val="0"/>
          <w:numId w:val="23"/>
        </w:numPr>
        <w:spacing w:line="276" w:lineRule="auto"/>
        <w:ind w:left="2268" w:hanging="567"/>
        <w:rPr>
          <w:rFonts w:ascii="Arial" w:hAnsi="Arial"/>
          <w:b w:val="0"/>
          <w:sz w:val="24"/>
        </w:rPr>
      </w:pPr>
      <w:r w:rsidRPr="00ED7811">
        <w:rPr>
          <w:rFonts w:ascii="Arial" w:hAnsi="Arial"/>
          <w:b w:val="0"/>
          <w:sz w:val="24"/>
        </w:rPr>
        <w:t>the offer of collective/batch recruitment across PCNs. Where groups of PCNs wish to advertise vacancies collectively, commissioners should support this;</w:t>
      </w:r>
    </w:p>
    <w:p w14:paraId="50454EB8" w14:textId="77777777" w:rsidR="008F2758" w:rsidRPr="00ED7811" w:rsidRDefault="008F2758" w:rsidP="000741C5">
      <w:pPr>
        <w:pStyle w:val="Heading4"/>
        <w:keepNext w:val="0"/>
        <w:numPr>
          <w:ilvl w:val="0"/>
          <w:numId w:val="23"/>
        </w:numPr>
        <w:spacing w:line="276" w:lineRule="auto"/>
        <w:ind w:left="2268" w:hanging="567"/>
        <w:rPr>
          <w:rFonts w:ascii="Arial" w:hAnsi="Arial"/>
          <w:b w:val="0"/>
          <w:sz w:val="24"/>
        </w:rPr>
      </w:pPr>
      <w:r w:rsidRPr="00ED7811">
        <w:rPr>
          <w:rFonts w:ascii="Arial" w:hAnsi="Arial"/>
          <w:b w:val="0"/>
          <w:sz w:val="24"/>
        </w:rPr>
        <w:t>brokering arrangements to support full-time direct employment of staff by community partners, or to support rotational working across acute, community and (in time) mental health trusts, as well as community pharmacy; and</w:t>
      </w:r>
    </w:p>
    <w:p w14:paraId="0DE9CE26" w14:textId="77777777" w:rsidR="008F2758" w:rsidRPr="00ED7811" w:rsidRDefault="008F2758" w:rsidP="000741C5">
      <w:pPr>
        <w:pStyle w:val="Heading4"/>
        <w:keepNext w:val="0"/>
        <w:numPr>
          <w:ilvl w:val="0"/>
          <w:numId w:val="23"/>
        </w:numPr>
        <w:spacing w:line="276" w:lineRule="auto"/>
        <w:ind w:left="2268" w:hanging="567"/>
        <w:rPr>
          <w:rFonts w:ascii="Arial" w:hAnsi="Arial"/>
          <w:b w:val="0"/>
          <w:sz w:val="24"/>
        </w:rPr>
      </w:pPr>
      <w:r w:rsidRPr="00ED7811">
        <w:rPr>
          <w:rFonts w:ascii="Arial" w:hAnsi="Arial"/>
          <w:b w:val="0"/>
          <w:sz w:val="24"/>
        </w:rPr>
        <w:t>ensuring that NHS workforce plans for the local system are as helpful as possible in meeting PCN intentions.</w:t>
      </w:r>
    </w:p>
    <w:p w14:paraId="6ABFE48C" w14:textId="1DB555A6" w:rsidR="008F2758" w:rsidRPr="00F55944" w:rsidRDefault="008F2758" w:rsidP="00084AFF">
      <w:pPr>
        <w:pStyle w:val="h3numbered"/>
        <w:rPr>
          <w:lang w:eastAsia="en-GB"/>
        </w:rPr>
      </w:pPr>
      <w:bookmarkStart w:id="121" w:name="_Ref35439783"/>
      <w:bookmarkStart w:id="122" w:name="_Toc36557272"/>
      <w:bookmarkStart w:id="123" w:name="_Toc150155999"/>
      <w:bookmarkStart w:id="124" w:name="_Toc223511138"/>
      <w:bookmarkStart w:id="125" w:name="_Toc223511426"/>
      <w:r w:rsidRPr="00F55944">
        <w:rPr>
          <w:lang w:eastAsia="en-GB"/>
        </w:rPr>
        <w:t>Additional Roles Reimbursement Sum</w:t>
      </w:r>
      <w:bookmarkEnd w:id="121"/>
      <w:bookmarkEnd w:id="122"/>
      <w:bookmarkEnd w:id="123"/>
      <w:bookmarkEnd w:id="124"/>
      <w:bookmarkEnd w:id="125"/>
    </w:p>
    <w:p w14:paraId="70CDB1B3" w14:textId="29421ADA" w:rsidR="008F2758" w:rsidRPr="001F37ED" w:rsidRDefault="008F2758" w:rsidP="00084AFF">
      <w:pPr>
        <w:pStyle w:val="h4numbered"/>
      </w:pPr>
      <w:r w:rsidRPr="73C4A21E">
        <w:t xml:space="preserve">Each PCN will be </w:t>
      </w:r>
      <w:r w:rsidR="00323043" w:rsidRPr="73C4A21E">
        <w:t xml:space="preserve">notified of </w:t>
      </w:r>
      <w:r w:rsidRPr="73C4A21E">
        <w:t xml:space="preserve">Additional Roles Reimbursement </w:t>
      </w:r>
      <w:r w:rsidR="00323043" w:rsidRPr="73C4A21E">
        <w:t xml:space="preserve">maximum entitlement </w:t>
      </w:r>
      <w:r w:rsidRPr="73C4A21E">
        <w:t>sum each year, based upon the PCN’s Contractor Weighted Population share of the total Additional Roles Reimbursement Scheme funding. The basis for weighting is the same as for global sum (i.e. Carr-Hill Formula). PCNs will be able to claim up to th</w:t>
      </w:r>
      <w:r w:rsidR="00D84883" w:rsidRPr="73C4A21E">
        <w:t>e</w:t>
      </w:r>
      <w:r w:rsidRPr="73C4A21E">
        <w:t xml:space="preserve"> maximum sum each year, in line with the rules set out in the Network Contract DES Specification.</w:t>
      </w:r>
    </w:p>
    <w:p w14:paraId="1E2712F8" w14:textId="66A6722E" w:rsidR="008F2758" w:rsidRPr="001F37ED" w:rsidRDefault="008F2758" w:rsidP="00084AFF">
      <w:pPr>
        <w:pStyle w:val="h4numbered"/>
      </w:pPr>
      <w:r w:rsidRPr="001F37ED">
        <w:t>Each PCN’s Additional Roles Reimbursement Sum</w:t>
      </w:r>
      <w:r w:rsidR="00F147FD">
        <w:t xml:space="preserve"> </w:t>
      </w:r>
      <w:r w:rsidRPr="001F37ED">
        <w:t>will use the Contractor Weighted Population</w:t>
      </w:r>
      <w:r w:rsidRPr="001F37ED">
        <w:rPr>
          <w:rStyle w:val="FootnoteReference"/>
        </w:rPr>
        <w:footnoteReference w:id="9"/>
      </w:r>
      <w:r w:rsidRPr="001F37ED">
        <w:t xml:space="preserve"> as at 1 January of the financial year preceding and be calculated as follows:</w:t>
      </w:r>
    </w:p>
    <w:p w14:paraId="125216A8" w14:textId="77777777" w:rsidR="008F2758" w:rsidRDefault="008F2758" w:rsidP="00E36FE2">
      <w:pPr>
        <w:spacing w:after="0" w:line="276" w:lineRule="auto"/>
        <w:ind w:left="1134" w:firstLine="306"/>
        <w:contextualSpacing/>
        <w:textboxTightWrap w:val="none"/>
        <w:rPr>
          <w:color w:val="auto"/>
          <w:sz w:val="18"/>
          <w:szCs w:val="26"/>
        </w:rPr>
      </w:pPr>
    </w:p>
    <w:p w14:paraId="6C06C3BA" w14:textId="369BCE9C" w:rsidR="008F2758" w:rsidRPr="00CA52F0" w:rsidRDefault="008F2758" w:rsidP="00DD6A69">
      <w:pPr>
        <w:spacing w:after="0" w:line="276" w:lineRule="auto"/>
        <w:ind w:left="1418" w:firstLine="306"/>
        <w:contextualSpacing/>
        <w:textboxTightWrap w:val="none"/>
        <w:rPr>
          <w:color w:val="auto"/>
          <w:sz w:val="18"/>
          <w:szCs w:val="26"/>
        </w:rPr>
      </w:pPr>
      <w:r w:rsidRPr="00CA52F0">
        <w:rPr>
          <w:color w:val="auto"/>
          <w:sz w:val="18"/>
          <w:szCs w:val="26"/>
        </w:rPr>
        <w:t xml:space="preserve">PCN’s weighted </w:t>
      </w:r>
      <w:r w:rsidRPr="00CA52F0">
        <w:rPr>
          <w:color w:val="auto"/>
          <w:sz w:val="18"/>
          <w:szCs w:val="26"/>
        </w:rPr>
        <w:tab/>
        <w:t xml:space="preserve">=     </w:t>
      </w:r>
      <w:r w:rsidRPr="00CA52F0">
        <w:rPr>
          <w:color w:val="auto"/>
          <w:sz w:val="18"/>
          <w:szCs w:val="26"/>
          <w:u w:val="single"/>
        </w:rPr>
        <w:t xml:space="preserve">       </w:t>
      </w:r>
      <w:r w:rsidRPr="00CA52F0">
        <w:rPr>
          <w:color w:val="auto"/>
          <w:sz w:val="18"/>
          <w:szCs w:val="26"/>
          <w:u w:val="single"/>
        </w:rPr>
        <w:tab/>
        <w:t xml:space="preserve">    PCN’s Contractor Weighted Population______        </w:t>
      </w:r>
      <w:r w:rsidRPr="00CA52F0">
        <w:rPr>
          <w:color w:val="auto"/>
          <w:sz w:val="18"/>
          <w:szCs w:val="26"/>
        </w:rPr>
        <w:t xml:space="preserve">         </w:t>
      </w:r>
    </w:p>
    <w:p w14:paraId="5A8F98CD" w14:textId="15FFB145" w:rsidR="00CA52F0" w:rsidRPr="00CA52F0" w:rsidRDefault="00CA52F0" w:rsidP="00DD6A69">
      <w:pPr>
        <w:spacing w:after="0" w:line="276" w:lineRule="auto"/>
        <w:ind w:left="1418" w:firstLine="306"/>
        <w:contextualSpacing/>
        <w:textboxTightWrap w:val="none"/>
        <w:rPr>
          <w:bCs/>
          <w:color w:val="auto"/>
          <w:sz w:val="18"/>
          <w:szCs w:val="26"/>
        </w:rPr>
      </w:pPr>
      <w:r w:rsidRPr="00CA52F0">
        <w:rPr>
          <w:bCs/>
          <w:color w:val="auto"/>
          <w:sz w:val="18"/>
          <w:szCs w:val="26"/>
        </w:rPr>
        <w:t xml:space="preserve">population share         </w:t>
      </w:r>
      <w:r w:rsidRPr="00CA52F0">
        <w:rPr>
          <w:bCs/>
          <w:color w:val="auto"/>
          <w:sz w:val="18"/>
          <w:szCs w:val="26"/>
        </w:rPr>
        <w:tab/>
      </w:r>
      <w:r w:rsidR="00B93BAC">
        <w:rPr>
          <w:bCs/>
          <w:color w:val="auto"/>
          <w:sz w:val="18"/>
          <w:szCs w:val="26"/>
        </w:rPr>
        <w:t xml:space="preserve">     </w:t>
      </w:r>
      <w:r w:rsidRPr="00CA52F0">
        <w:rPr>
          <w:bCs/>
          <w:color w:val="auto"/>
          <w:sz w:val="18"/>
          <w:szCs w:val="26"/>
        </w:rPr>
        <w:t>Total England weighted population</w:t>
      </w:r>
    </w:p>
    <w:p w14:paraId="51E5CF68" w14:textId="77777777" w:rsidR="008F2758" w:rsidRPr="00CA52F0" w:rsidRDefault="008F2758" w:rsidP="00E36FE2">
      <w:pPr>
        <w:spacing w:after="0" w:line="276" w:lineRule="auto"/>
        <w:textboxTightWrap w:val="none"/>
        <w:rPr>
          <w:rFonts w:eastAsia="Calibri" w:cs="Arial"/>
          <w:color w:val="auto"/>
          <w:szCs w:val="22"/>
        </w:rPr>
      </w:pPr>
    </w:p>
    <w:p w14:paraId="6834CEDE" w14:textId="2DDB436C" w:rsidR="00306990" w:rsidRDefault="008F2758" w:rsidP="00084AFF">
      <w:pPr>
        <w:pStyle w:val="h4numbered"/>
      </w:pPr>
      <w:r w:rsidRPr="008D4763">
        <w:t>The Additional Roles Reimbursement Sum</w:t>
      </w:r>
      <w:r w:rsidR="00B02480" w:rsidRPr="009E4CB6">
        <w:rPr>
          <w:b/>
        </w:rPr>
        <w:t xml:space="preserve"> </w:t>
      </w:r>
      <w:r w:rsidRPr="008D4763">
        <w:t>for any given year would be calculated</w:t>
      </w:r>
      <w:r w:rsidR="00B02480" w:rsidRPr="009E4CB6">
        <w:rPr>
          <w:b/>
        </w:rPr>
        <w:t xml:space="preserve"> </w:t>
      </w:r>
      <w:r w:rsidR="00CC3C45" w:rsidRPr="009E4CB6">
        <w:t xml:space="preserve"> </w:t>
      </w:r>
      <w:r w:rsidRPr="009E4CB6">
        <w:t>as follows:</w:t>
      </w:r>
    </w:p>
    <w:tbl>
      <w:tblPr>
        <w:tblStyle w:val="TableGrid"/>
        <w:tblW w:w="850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26"/>
        <w:gridCol w:w="2840"/>
        <w:gridCol w:w="439"/>
        <w:gridCol w:w="2254"/>
      </w:tblGrid>
      <w:tr w:rsidR="00306990" w14:paraId="04F1DD3C" w14:textId="77777777" w:rsidTr="00DD6A69">
        <w:tc>
          <w:tcPr>
            <w:tcW w:w="2546" w:type="dxa"/>
            <w:vAlign w:val="center"/>
          </w:tcPr>
          <w:p w14:paraId="337D0384" w14:textId="77777777" w:rsidR="00306990" w:rsidRDefault="00306990">
            <w:pPr>
              <w:spacing w:after="0" w:line="276" w:lineRule="auto"/>
              <w:jc w:val="center"/>
              <w:rPr>
                <w:sz w:val="18"/>
              </w:rPr>
            </w:pPr>
          </w:p>
          <w:p w14:paraId="4CF1124F" w14:textId="5A380DFA" w:rsidR="00306990" w:rsidRDefault="00306990">
            <w:pPr>
              <w:spacing w:after="0" w:line="276" w:lineRule="auto"/>
              <w:jc w:val="center"/>
              <w:rPr>
                <w:sz w:val="18"/>
              </w:rPr>
            </w:pPr>
            <w:r w:rsidRPr="008D4763">
              <w:rPr>
                <w:sz w:val="18"/>
              </w:rPr>
              <w:lastRenderedPageBreak/>
              <w:t>PCN’s Additional</w:t>
            </w:r>
            <w:r w:rsidRPr="00947FFD">
              <w:rPr>
                <w:sz w:val="18"/>
              </w:rPr>
              <w:t xml:space="preserve"> </w:t>
            </w:r>
            <w:r>
              <w:rPr>
                <w:sz w:val="18"/>
              </w:rPr>
              <w:t xml:space="preserve">Roles </w:t>
            </w:r>
            <w:r w:rsidRPr="00947FFD">
              <w:rPr>
                <w:sz w:val="18"/>
              </w:rPr>
              <w:t>Reimbursement Sum</w:t>
            </w:r>
          </w:p>
        </w:tc>
        <w:tc>
          <w:tcPr>
            <w:tcW w:w="426" w:type="dxa"/>
            <w:vAlign w:val="center"/>
          </w:tcPr>
          <w:p w14:paraId="57583D9C" w14:textId="77777777" w:rsidR="00306990" w:rsidRDefault="00306990">
            <w:pPr>
              <w:spacing w:after="0" w:line="276" w:lineRule="auto"/>
              <w:jc w:val="center"/>
              <w:rPr>
                <w:sz w:val="18"/>
              </w:rPr>
            </w:pPr>
            <w:r w:rsidRPr="008D4763">
              <w:rPr>
                <w:sz w:val="18"/>
              </w:rPr>
              <w:lastRenderedPageBreak/>
              <w:t>=</w:t>
            </w:r>
          </w:p>
        </w:tc>
        <w:tc>
          <w:tcPr>
            <w:tcW w:w="2840" w:type="dxa"/>
            <w:vAlign w:val="center"/>
          </w:tcPr>
          <w:p w14:paraId="6F406C80" w14:textId="77777777" w:rsidR="00306990" w:rsidRDefault="00306990">
            <w:pPr>
              <w:spacing w:after="0" w:line="276" w:lineRule="auto"/>
              <w:jc w:val="center"/>
              <w:rPr>
                <w:sz w:val="18"/>
              </w:rPr>
            </w:pPr>
            <w:r w:rsidRPr="000B086D">
              <w:rPr>
                <w:sz w:val="18"/>
              </w:rPr>
              <w:t>PCN’s weighted population share</w:t>
            </w:r>
          </w:p>
        </w:tc>
        <w:tc>
          <w:tcPr>
            <w:tcW w:w="439" w:type="dxa"/>
            <w:vAlign w:val="center"/>
          </w:tcPr>
          <w:p w14:paraId="158F5ABF" w14:textId="77777777" w:rsidR="00306990" w:rsidRDefault="00306990">
            <w:pPr>
              <w:spacing w:after="0" w:line="276" w:lineRule="auto"/>
              <w:jc w:val="center"/>
              <w:rPr>
                <w:sz w:val="18"/>
              </w:rPr>
            </w:pPr>
            <w:r w:rsidRPr="000B086D">
              <w:rPr>
                <w:sz w:val="18"/>
              </w:rPr>
              <w:t>X</w:t>
            </w:r>
          </w:p>
        </w:tc>
        <w:tc>
          <w:tcPr>
            <w:tcW w:w="2254" w:type="dxa"/>
            <w:vAlign w:val="center"/>
          </w:tcPr>
          <w:p w14:paraId="379908C2" w14:textId="77777777" w:rsidR="00306990" w:rsidRDefault="00306990">
            <w:pPr>
              <w:spacing w:after="0" w:line="276" w:lineRule="auto"/>
              <w:jc w:val="center"/>
              <w:rPr>
                <w:sz w:val="18"/>
              </w:rPr>
            </w:pPr>
            <w:r>
              <w:rPr>
                <w:sz w:val="18"/>
              </w:rPr>
              <w:t>T</w:t>
            </w:r>
            <w:r w:rsidRPr="000B086D">
              <w:rPr>
                <w:sz w:val="18"/>
              </w:rPr>
              <w:t xml:space="preserve">otal </w:t>
            </w:r>
            <w:r>
              <w:rPr>
                <w:sz w:val="18"/>
              </w:rPr>
              <w:t>N</w:t>
            </w:r>
            <w:r w:rsidRPr="000B086D">
              <w:rPr>
                <w:sz w:val="18"/>
              </w:rPr>
              <w:t xml:space="preserve">ational </w:t>
            </w:r>
            <w:r>
              <w:rPr>
                <w:sz w:val="18"/>
              </w:rPr>
              <w:t>Workforce funding</w:t>
            </w:r>
          </w:p>
        </w:tc>
      </w:tr>
    </w:tbl>
    <w:p w14:paraId="18662004" w14:textId="472E3578" w:rsidR="00306990" w:rsidRPr="00BE1C90" w:rsidRDefault="00306990" w:rsidP="00084AFF">
      <w:pPr>
        <w:pStyle w:val="h4numbered"/>
      </w:pPr>
      <w:r w:rsidRPr="00BE1C90">
        <w:t>Payments made in respect of an absent General Medical Practitioner under section 7.6.2(b) of the Network Contract DES Specification do not form part of the Additional Role</w:t>
      </w:r>
      <w:r w:rsidR="00BD50FE" w:rsidRPr="00BE1C90">
        <w:t>s</w:t>
      </w:r>
      <w:r w:rsidRPr="00BE1C90">
        <w:t xml:space="preserve"> Reimbursement Sum and will be paid by the Commissioner separately.</w:t>
      </w:r>
    </w:p>
    <w:p w14:paraId="54C1459B" w14:textId="4BF7FB54" w:rsidR="008F2758" w:rsidRPr="00F55944" w:rsidRDefault="008F2758" w:rsidP="00084AFF">
      <w:pPr>
        <w:pStyle w:val="h3numbered"/>
      </w:pPr>
      <w:bookmarkStart w:id="126" w:name="_Toc36557273"/>
      <w:bookmarkStart w:id="127" w:name="_Toc150156000"/>
      <w:bookmarkStart w:id="128" w:name="_Toc223511139"/>
      <w:bookmarkStart w:id="129" w:name="_Toc223511427"/>
      <w:r w:rsidRPr="00F55944">
        <w:rPr>
          <w:lang w:eastAsia="en-GB"/>
        </w:rPr>
        <w:t>Ready reckoner</w:t>
      </w:r>
      <w:bookmarkEnd w:id="126"/>
      <w:bookmarkEnd w:id="127"/>
      <w:bookmarkEnd w:id="128"/>
      <w:bookmarkEnd w:id="129"/>
    </w:p>
    <w:p w14:paraId="15981B69" w14:textId="5034F17F" w:rsidR="008F2758" w:rsidRPr="00935DE5" w:rsidRDefault="008F2758" w:rsidP="00084AFF">
      <w:pPr>
        <w:pStyle w:val="h4numbered"/>
      </w:pPr>
      <w:r w:rsidRPr="00935DE5">
        <w:rPr>
          <w:bCs/>
        </w:rPr>
        <w:t>A ready reckoner</w:t>
      </w:r>
      <w:r w:rsidR="00036465">
        <w:rPr>
          <w:rStyle w:val="FootnoteReference"/>
          <w:bCs/>
        </w:rPr>
        <w:footnoteReference w:id="10"/>
      </w:r>
      <w:r w:rsidRPr="00935DE5">
        <w:rPr>
          <w:bCs/>
        </w:rPr>
        <w:t xml:space="preserve"> is available to support PCNs to calculate their indicative Additional</w:t>
      </w:r>
      <w:r w:rsidRPr="00935DE5">
        <w:t xml:space="preserve"> Roles Reimbursement Sum</w:t>
      </w:r>
      <w:r w:rsidR="00B02480">
        <w:rPr>
          <w:b/>
        </w:rPr>
        <w:t xml:space="preserve"> </w:t>
      </w:r>
      <w:r w:rsidRPr="00935DE5">
        <w:t xml:space="preserve">based on their PCN Contractor Weighted Population. Table 1 set out the </w:t>
      </w:r>
      <w:r w:rsidRPr="00365F7F">
        <w:t xml:space="preserve">indicative Additional Roles Reimbursement Sum allocations for different PCN sizes in </w:t>
      </w:r>
      <w:r w:rsidRPr="00365F7F">
        <w:rPr>
          <w:rFonts w:hint="eastAsia"/>
        </w:rPr>
        <w:t>202</w:t>
      </w:r>
      <w:r w:rsidR="00821E35" w:rsidRPr="0019790E">
        <w:rPr>
          <w:highlight w:val="yellow"/>
        </w:rPr>
        <w:t>6</w:t>
      </w:r>
      <w:r w:rsidRPr="00365F7F">
        <w:rPr>
          <w:rFonts w:hint="eastAsia"/>
        </w:rPr>
        <w:t>/2</w:t>
      </w:r>
      <w:r w:rsidR="00821E35" w:rsidRPr="0019790E">
        <w:rPr>
          <w:highlight w:val="yellow"/>
        </w:rPr>
        <w:t>7</w:t>
      </w:r>
      <w:r w:rsidR="000A130B" w:rsidRPr="00365F7F">
        <w:t xml:space="preserve"> for</w:t>
      </w:r>
      <w:r w:rsidR="000A130B">
        <w:t xml:space="preserve"> the </w:t>
      </w:r>
      <w:r w:rsidR="00205337">
        <w:t xml:space="preserve">ARRS </w:t>
      </w:r>
      <w:r w:rsidR="00CA5954">
        <w:t>scheme</w:t>
      </w:r>
      <w:r w:rsidRPr="00C10EBD">
        <w:t>.</w:t>
      </w:r>
    </w:p>
    <w:p w14:paraId="134EFFED" w14:textId="4A867892" w:rsidR="008F2758" w:rsidRDefault="008F2758" w:rsidP="00084AFF">
      <w:pPr>
        <w:pStyle w:val="h4numbered"/>
      </w:pPr>
      <w:r w:rsidRPr="00C10EBD">
        <w:t xml:space="preserve">For </w:t>
      </w:r>
      <w:r w:rsidRPr="00365F7F">
        <w:rPr>
          <w:rFonts w:hint="eastAsia"/>
        </w:rPr>
        <w:t>202</w:t>
      </w:r>
      <w:r w:rsidR="00821E35" w:rsidRPr="00BE1C90">
        <w:rPr>
          <w:highlight w:val="yellow"/>
        </w:rPr>
        <w:t>6</w:t>
      </w:r>
      <w:r w:rsidRPr="00365F7F">
        <w:rPr>
          <w:rFonts w:hint="eastAsia"/>
        </w:rPr>
        <w:t>/2</w:t>
      </w:r>
      <w:r w:rsidR="00821E35" w:rsidRPr="00BE1C90">
        <w:rPr>
          <w:highlight w:val="yellow"/>
        </w:rPr>
        <w:t>7</w:t>
      </w:r>
      <w:r w:rsidRPr="00365F7F">
        <w:t xml:space="preserve"> the</w:t>
      </w:r>
      <w:r w:rsidRPr="00C10EBD">
        <w:t xml:space="preserve"> Additional Roles Reimbursement Sum will be calculated using </w:t>
      </w:r>
      <w:r w:rsidR="00AC6F79" w:rsidRPr="00F37C2A">
        <w:rPr>
          <w:highlight w:val="yellow"/>
        </w:rPr>
        <w:t>£</w:t>
      </w:r>
      <w:r w:rsidR="00917036" w:rsidRPr="00F37C2A">
        <w:rPr>
          <w:highlight w:val="yellow"/>
        </w:rPr>
        <w:t>27.</w:t>
      </w:r>
      <w:r w:rsidR="00C128FA" w:rsidRPr="00F37C2A">
        <w:rPr>
          <w:highlight w:val="yellow"/>
        </w:rPr>
        <w:t>668</w:t>
      </w:r>
      <w:r w:rsidR="00C128FA" w:rsidRPr="00AC6F79">
        <w:t xml:space="preserve"> </w:t>
      </w:r>
      <w:r w:rsidRPr="00C10EBD">
        <w:t xml:space="preserve">multiplied by the PCN Contractor Weighted </w:t>
      </w:r>
      <w:r w:rsidRPr="00365F7F">
        <w:t xml:space="preserve">Population as at 1 January </w:t>
      </w:r>
      <w:r w:rsidRPr="00365F7F">
        <w:rPr>
          <w:rFonts w:hint="eastAsia"/>
        </w:rPr>
        <w:t>202</w:t>
      </w:r>
      <w:r w:rsidR="00821E35" w:rsidRPr="00BE1C90">
        <w:rPr>
          <w:highlight w:val="yellow"/>
        </w:rPr>
        <w:t>6</w:t>
      </w:r>
      <w:r w:rsidRPr="00365F7F">
        <w:t xml:space="preserve">, calculated using the formula in section </w:t>
      </w:r>
      <w:r w:rsidRPr="00365F7F">
        <w:rPr>
          <w:b/>
        </w:rPr>
        <w:fldChar w:fldCharType="begin"/>
      </w:r>
      <w:r w:rsidRPr="00365F7F">
        <w:instrText xml:space="preserve"> REF _Ref35439783 \r \h  \* MERGEFORMAT </w:instrText>
      </w:r>
      <w:r w:rsidRPr="00365F7F">
        <w:rPr>
          <w:b/>
        </w:rPr>
      </w:r>
      <w:r w:rsidRPr="00365F7F">
        <w:rPr>
          <w:b/>
        </w:rPr>
        <w:fldChar w:fldCharType="separate"/>
      </w:r>
      <w:r w:rsidR="00BF21BB">
        <w:t>7.2</w:t>
      </w:r>
      <w:r w:rsidRPr="00365F7F">
        <w:rPr>
          <w:b/>
        </w:rPr>
        <w:fldChar w:fldCharType="end"/>
      </w:r>
      <w:r w:rsidRPr="00365F7F">
        <w:t xml:space="preserve"> and the January </w:t>
      </w:r>
      <w:r w:rsidRPr="00365F7F">
        <w:rPr>
          <w:rFonts w:hint="eastAsia"/>
        </w:rPr>
        <w:t>202</w:t>
      </w:r>
      <w:r w:rsidR="00821E35" w:rsidRPr="00BE1C90">
        <w:rPr>
          <w:highlight w:val="yellow"/>
        </w:rPr>
        <w:t>6</w:t>
      </w:r>
      <w:r w:rsidRPr="00365F7F">
        <w:t xml:space="preserve"> national</w:t>
      </w:r>
      <w:r w:rsidRPr="008D4763">
        <w:t xml:space="preserve"> population </w:t>
      </w:r>
      <w:r w:rsidRPr="00AB3943">
        <w:t xml:space="preserve">of </w:t>
      </w:r>
      <w:r w:rsidR="00D8158D">
        <w:t>c</w:t>
      </w:r>
      <w:r w:rsidRPr="00BE1C90">
        <w:t>.</w:t>
      </w:r>
    </w:p>
    <w:p w14:paraId="628F8EC0" w14:textId="1A216F5A" w:rsidR="008F2758" w:rsidRDefault="008F2758" w:rsidP="0035573B">
      <w:pPr>
        <w:pStyle w:val="Heading4"/>
        <w:keepNext w:val="0"/>
        <w:numPr>
          <w:ilvl w:val="3"/>
          <w:numId w:val="0"/>
        </w:numPr>
        <w:spacing w:line="276" w:lineRule="auto"/>
        <w:ind w:left="851"/>
        <w:rPr>
          <w:rFonts w:ascii="Arial" w:hAnsi="Arial"/>
          <w:b w:val="0"/>
          <w:sz w:val="24"/>
          <w:u w:val="single"/>
        </w:rPr>
      </w:pPr>
      <w:bookmarkStart w:id="130" w:name="_Hlk62221519"/>
      <w:r w:rsidRPr="00935DE5">
        <w:rPr>
          <w:rFonts w:ascii="Arial" w:hAnsi="Arial"/>
          <w:b w:val="0"/>
          <w:sz w:val="24"/>
          <w:u w:val="single"/>
        </w:rPr>
        <w:t>Table 1: Indicative Additional Roles Reimbursement Scheme Sum per PCN Contractor Weighted Population</w:t>
      </w:r>
      <w:r w:rsidR="00B63CF2">
        <w:rPr>
          <w:rFonts w:ascii="Arial" w:hAnsi="Arial"/>
          <w:b w:val="0"/>
          <w:sz w:val="24"/>
          <w:u w:val="single"/>
        </w:rPr>
        <w:t xml:space="preserve"> for </w:t>
      </w:r>
      <w:r w:rsidR="00384011">
        <w:rPr>
          <w:rFonts w:ascii="Arial" w:hAnsi="Arial"/>
          <w:b w:val="0"/>
          <w:sz w:val="24"/>
          <w:u w:val="single"/>
        </w:rPr>
        <w:t>202</w:t>
      </w:r>
      <w:r w:rsidR="00384011" w:rsidRPr="00481EF4">
        <w:rPr>
          <w:rFonts w:ascii="Arial" w:hAnsi="Arial"/>
          <w:b w:val="0"/>
          <w:sz w:val="24"/>
          <w:highlight w:val="yellow"/>
          <w:u w:val="single"/>
        </w:rPr>
        <w:t>6</w:t>
      </w:r>
      <w:r w:rsidR="00384011">
        <w:rPr>
          <w:rFonts w:ascii="Arial" w:hAnsi="Arial"/>
          <w:b w:val="0"/>
          <w:sz w:val="24"/>
          <w:u w:val="single"/>
        </w:rPr>
        <w:t>/2</w:t>
      </w:r>
      <w:r w:rsidR="00384011" w:rsidRPr="00481EF4">
        <w:rPr>
          <w:rFonts w:ascii="Arial" w:hAnsi="Arial"/>
          <w:b w:val="0"/>
          <w:sz w:val="24"/>
          <w:highlight w:val="yellow"/>
          <w:u w:val="single"/>
        </w:rPr>
        <w:t>7</w:t>
      </w:r>
    </w:p>
    <w:p w14:paraId="74D0FB8D" w14:textId="77777777" w:rsidR="00CD33FC" w:rsidRPr="00CD33FC" w:rsidRDefault="00CD33FC" w:rsidP="0035573B">
      <w:pPr>
        <w:ind w:left="851"/>
      </w:pPr>
    </w:p>
    <w:tbl>
      <w:tblPr>
        <w:tblStyle w:val="TableGrid"/>
        <w:tblW w:w="9072" w:type="dxa"/>
        <w:tblInd w:w="846" w:type="dxa"/>
        <w:tblLook w:val="04A0" w:firstRow="1" w:lastRow="0" w:firstColumn="1" w:lastColumn="0" w:noHBand="0" w:noVBand="1"/>
      </w:tblPr>
      <w:tblGrid>
        <w:gridCol w:w="5310"/>
        <w:gridCol w:w="3762"/>
      </w:tblGrid>
      <w:tr w:rsidR="00833EC9" w:rsidRPr="00E33E6F" w14:paraId="7F6A8BCE" w14:textId="77777777" w:rsidTr="0035573B">
        <w:trPr>
          <w:trHeight w:val="416"/>
        </w:trPr>
        <w:tc>
          <w:tcPr>
            <w:tcW w:w="5310" w:type="dxa"/>
          </w:tcPr>
          <w:p w14:paraId="6684B63E" w14:textId="77777777" w:rsidR="00833EC9" w:rsidRPr="00E33E6F" w:rsidRDefault="00833EC9" w:rsidP="00833EC9">
            <w:pPr>
              <w:pStyle w:val="NoSpacing"/>
              <w:rPr>
                <w:rFonts w:cs="Arial"/>
                <w:szCs w:val="24"/>
              </w:rPr>
            </w:pPr>
          </w:p>
        </w:tc>
        <w:tc>
          <w:tcPr>
            <w:tcW w:w="3762" w:type="dxa"/>
            <w:noWrap/>
          </w:tcPr>
          <w:p w14:paraId="0C504B6F" w14:textId="0FB99DD9" w:rsidR="00833EC9" w:rsidRPr="00833EC9" w:rsidRDefault="00384011" w:rsidP="00833EC9">
            <w:pPr>
              <w:pStyle w:val="NoSpacing"/>
              <w:jc w:val="right"/>
              <w:rPr>
                <w:rFonts w:cs="Arial"/>
                <w:szCs w:val="24"/>
                <w:highlight w:val="yellow"/>
              </w:rPr>
            </w:pPr>
            <w:r>
              <w:t>202</w:t>
            </w:r>
            <w:r w:rsidRPr="00CB3DD3">
              <w:rPr>
                <w:highlight w:val="yellow"/>
              </w:rPr>
              <w:t>6</w:t>
            </w:r>
            <w:r>
              <w:t>/2</w:t>
            </w:r>
            <w:r w:rsidRPr="00CB3DD3">
              <w:rPr>
                <w:highlight w:val="yellow"/>
              </w:rPr>
              <w:t>7</w:t>
            </w:r>
          </w:p>
        </w:tc>
      </w:tr>
      <w:tr w:rsidR="000528E7" w:rsidRPr="00E33E6F" w14:paraId="1640DE8B" w14:textId="77777777" w:rsidTr="0035573B">
        <w:trPr>
          <w:trHeight w:val="558"/>
        </w:trPr>
        <w:tc>
          <w:tcPr>
            <w:tcW w:w="5310" w:type="dxa"/>
            <w:hideMark/>
          </w:tcPr>
          <w:p w14:paraId="1E139065" w14:textId="77777777" w:rsidR="000528E7" w:rsidRPr="00E33E6F" w:rsidRDefault="000528E7" w:rsidP="000528E7">
            <w:pPr>
              <w:pStyle w:val="NoSpacing"/>
              <w:rPr>
                <w:rFonts w:cs="Arial"/>
                <w:szCs w:val="24"/>
              </w:rPr>
            </w:pPr>
            <w:bookmarkStart w:id="131" w:name="_Hlk223088041"/>
            <w:r w:rsidRPr="00E33E6F">
              <w:rPr>
                <w:rFonts w:cs="Arial"/>
                <w:szCs w:val="24"/>
              </w:rPr>
              <w:t>Total National Workforce funding</w:t>
            </w:r>
          </w:p>
        </w:tc>
        <w:tc>
          <w:tcPr>
            <w:tcW w:w="3762" w:type="dxa"/>
            <w:tcBorders>
              <w:top w:val="nil"/>
              <w:left w:val="nil"/>
              <w:bottom w:val="single" w:sz="8" w:space="0" w:color="auto"/>
              <w:right w:val="single" w:sz="8" w:space="0" w:color="auto"/>
            </w:tcBorders>
            <w:noWrap/>
            <w:vAlign w:val="center"/>
            <w:hideMark/>
          </w:tcPr>
          <w:p w14:paraId="6F973107" w14:textId="12393265" w:rsidR="000528E7" w:rsidRPr="003E2236" w:rsidRDefault="000528E7" w:rsidP="000528E7">
            <w:pPr>
              <w:pStyle w:val="NoSpacing"/>
              <w:jc w:val="right"/>
              <w:rPr>
                <w:rFonts w:cs="Arial"/>
                <w:szCs w:val="24"/>
                <w:highlight w:val="yellow"/>
              </w:rPr>
            </w:pPr>
            <w:r w:rsidRPr="003E2236">
              <w:rPr>
                <w:rFonts w:ascii="Arial" w:hAnsi="Arial" w:cs="Arial"/>
                <w:color w:val="000000"/>
                <w:highlight w:val="yellow"/>
              </w:rPr>
              <w:t>£1,76</w:t>
            </w:r>
            <w:r w:rsidR="00917036">
              <w:rPr>
                <w:rFonts w:ascii="Arial" w:hAnsi="Arial" w:cs="Arial"/>
                <w:color w:val="000000"/>
                <w:highlight w:val="yellow"/>
              </w:rPr>
              <w:t>7,716</w:t>
            </w:r>
            <w:r w:rsidR="00196CD3">
              <w:rPr>
                <w:rFonts w:ascii="Arial" w:hAnsi="Arial" w:cs="Arial"/>
                <w:color w:val="000000"/>
                <w:highlight w:val="yellow"/>
              </w:rPr>
              <w:t>,000</w:t>
            </w:r>
          </w:p>
        </w:tc>
      </w:tr>
      <w:bookmarkEnd w:id="131"/>
      <w:tr w:rsidR="000528E7" w:rsidRPr="00E33E6F" w14:paraId="1D562B33" w14:textId="77777777" w:rsidTr="0035573B">
        <w:trPr>
          <w:trHeight w:val="519"/>
        </w:trPr>
        <w:tc>
          <w:tcPr>
            <w:tcW w:w="5310" w:type="dxa"/>
            <w:hideMark/>
          </w:tcPr>
          <w:p w14:paraId="51A63DDB" w14:textId="77777777" w:rsidR="000528E7" w:rsidRPr="00E33E6F" w:rsidRDefault="000528E7" w:rsidP="000528E7">
            <w:pPr>
              <w:pStyle w:val="NoSpacing"/>
              <w:rPr>
                <w:rFonts w:cs="Arial"/>
                <w:szCs w:val="24"/>
              </w:rPr>
            </w:pPr>
            <w:r w:rsidRPr="00E33E6F">
              <w:rPr>
                <w:rFonts w:cs="Arial"/>
                <w:szCs w:val="24"/>
              </w:rPr>
              <w:t>PCN Contract</w:t>
            </w:r>
            <w:r>
              <w:rPr>
                <w:rFonts w:cs="Arial"/>
                <w:szCs w:val="24"/>
              </w:rPr>
              <w:t>or</w:t>
            </w:r>
            <w:r w:rsidRPr="00E33E6F">
              <w:rPr>
                <w:rFonts w:cs="Arial"/>
                <w:szCs w:val="24"/>
              </w:rPr>
              <w:t xml:space="preserve"> Weighted Population</w:t>
            </w:r>
          </w:p>
        </w:tc>
        <w:tc>
          <w:tcPr>
            <w:tcW w:w="3762" w:type="dxa"/>
            <w:tcBorders>
              <w:top w:val="nil"/>
              <w:left w:val="nil"/>
              <w:bottom w:val="single" w:sz="8" w:space="0" w:color="auto"/>
              <w:right w:val="single" w:sz="8" w:space="0" w:color="auto"/>
            </w:tcBorders>
            <w:noWrap/>
            <w:hideMark/>
          </w:tcPr>
          <w:p w14:paraId="719FDFB6" w14:textId="0A23E4E1" w:rsidR="000528E7" w:rsidRPr="003E2236" w:rsidRDefault="000528E7" w:rsidP="000528E7">
            <w:pPr>
              <w:pStyle w:val="NoSpacing"/>
              <w:jc w:val="right"/>
              <w:rPr>
                <w:rFonts w:cs="Arial"/>
                <w:szCs w:val="24"/>
                <w:highlight w:val="yellow"/>
              </w:rPr>
            </w:pPr>
            <w:r w:rsidRPr="00426588">
              <w:rPr>
                <w:color w:val="000000"/>
                <w:sz w:val="20"/>
                <w:szCs w:val="20"/>
              </w:rPr>
              <w:t> </w:t>
            </w:r>
          </w:p>
        </w:tc>
      </w:tr>
      <w:tr w:rsidR="000528E7" w:rsidRPr="00E33E6F" w14:paraId="592B3294" w14:textId="77777777" w:rsidTr="0035573B">
        <w:trPr>
          <w:trHeight w:val="521"/>
        </w:trPr>
        <w:tc>
          <w:tcPr>
            <w:tcW w:w="5310" w:type="dxa"/>
            <w:noWrap/>
            <w:hideMark/>
          </w:tcPr>
          <w:p w14:paraId="0DC41487" w14:textId="77777777" w:rsidR="000528E7" w:rsidRPr="00E33E6F" w:rsidRDefault="000528E7" w:rsidP="000528E7">
            <w:pPr>
              <w:pStyle w:val="NoSpacing"/>
              <w:rPr>
                <w:rFonts w:cs="Arial"/>
                <w:szCs w:val="24"/>
              </w:rPr>
            </w:pPr>
            <w:r w:rsidRPr="00E33E6F">
              <w:rPr>
                <w:rFonts w:cs="Arial"/>
                <w:szCs w:val="24"/>
              </w:rPr>
              <w:t>15,000</w:t>
            </w:r>
          </w:p>
        </w:tc>
        <w:tc>
          <w:tcPr>
            <w:tcW w:w="3762" w:type="dxa"/>
            <w:tcBorders>
              <w:top w:val="nil"/>
              <w:left w:val="nil"/>
              <w:bottom w:val="single" w:sz="8" w:space="0" w:color="auto"/>
              <w:right w:val="single" w:sz="8" w:space="0" w:color="auto"/>
            </w:tcBorders>
            <w:noWrap/>
            <w:vAlign w:val="center"/>
            <w:hideMark/>
          </w:tcPr>
          <w:p w14:paraId="36544015" w14:textId="374EFD78" w:rsidR="000528E7" w:rsidRPr="003E2236" w:rsidRDefault="000528E7" w:rsidP="000528E7">
            <w:pPr>
              <w:pStyle w:val="NoSpacing"/>
              <w:jc w:val="right"/>
              <w:rPr>
                <w:rFonts w:cs="Arial"/>
                <w:szCs w:val="24"/>
                <w:highlight w:val="yellow"/>
              </w:rPr>
            </w:pPr>
            <w:r w:rsidRPr="003E2236">
              <w:rPr>
                <w:rFonts w:ascii="Arial" w:hAnsi="Arial" w:cs="Arial"/>
                <w:color w:val="000000"/>
                <w:highlight w:val="yellow"/>
              </w:rPr>
              <w:t>£</w:t>
            </w:r>
            <w:r w:rsidR="00196CD3">
              <w:rPr>
                <w:rFonts w:ascii="Arial" w:hAnsi="Arial" w:cs="Arial"/>
                <w:color w:val="000000"/>
                <w:highlight w:val="yellow"/>
              </w:rPr>
              <w:t>415,02</w:t>
            </w:r>
            <w:r w:rsidR="00D62A6D">
              <w:rPr>
                <w:rFonts w:ascii="Arial" w:hAnsi="Arial" w:cs="Arial"/>
                <w:color w:val="000000"/>
                <w:highlight w:val="yellow"/>
              </w:rPr>
              <w:t>0</w:t>
            </w:r>
          </w:p>
        </w:tc>
      </w:tr>
      <w:tr w:rsidR="000528E7" w:rsidRPr="00E33E6F" w14:paraId="163D5612" w14:textId="77777777" w:rsidTr="0035573B">
        <w:trPr>
          <w:trHeight w:val="521"/>
        </w:trPr>
        <w:tc>
          <w:tcPr>
            <w:tcW w:w="5310" w:type="dxa"/>
            <w:noWrap/>
            <w:hideMark/>
          </w:tcPr>
          <w:p w14:paraId="69404682" w14:textId="77777777" w:rsidR="000528E7" w:rsidRPr="00E33E6F" w:rsidRDefault="000528E7" w:rsidP="000528E7">
            <w:pPr>
              <w:pStyle w:val="NoSpacing"/>
              <w:rPr>
                <w:rFonts w:cs="Arial"/>
                <w:szCs w:val="24"/>
              </w:rPr>
            </w:pPr>
            <w:r w:rsidRPr="00E33E6F">
              <w:rPr>
                <w:rFonts w:cs="Arial"/>
                <w:szCs w:val="24"/>
              </w:rPr>
              <w:t>20,000</w:t>
            </w:r>
          </w:p>
        </w:tc>
        <w:tc>
          <w:tcPr>
            <w:tcW w:w="3762" w:type="dxa"/>
            <w:tcBorders>
              <w:top w:val="nil"/>
              <w:left w:val="nil"/>
              <w:bottom w:val="single" w:sz="8" w:space="0" w:color="auto"/>
              <w:right w:val="single" w:sz="8" w:space="0" w:color="auto"/>
            </w:tcBorders>
            <w:noWrap/>
            <w:vAlign w:val="center"/>
            <w:hideMark/>
          </w:tcPr>
          <w:p w14:paraId="61DDD4E6" w14:textId="6C5EC7F2" w:rsidR="000528E7" w:rsidRPr="003E2236" w:rsidRDefault="000528E7" w:rsidP="000528E7">
            <w:pPr>
              <w:pStyle w:val="NoSpacing"/>
              <w:jc w:val="right"/>
              <w:rPr>
                <w:rFonts w:cs="Arial"/>
                <w:szCs w:val="24"/>
                <w:highlight w:val="yellow"/>
              </w:rPr>
            </w:pPr>
            <w:r w:rsidRPr="003E2236">
              <w:rPr>
                <w:rFonts w:ascii="Arial" w:hAnsi="Arial" w:cs="Arial"/>
                <w:color w:val="000000"/>
                <w:highlight w:val="yellow"/>
              </w:rPr>
              <w:t>£</w:t>
            </w:r>
            <w:r w:rsidR="00985667">
              <w:rPr>
                <w:rFonts w:ascii="Arial" w:hAnsi="Arial" w:cs="Arial"/>
                <w:color w:val="000000"/>
                <w:highlight w:val="yellow"/>
              </w:rPr>
              <w:t>553,3</w:t>
            </w:r>
            <w:r w:rsidR="00D62A6D">
              <w:rPr>
                <w:rFonts w:ascii="Arial" w:hAnsi="Arial" w:cs="Arial"/>
                <w:color w:val="000000"/>
                <w:highlight w:val="yellow"/>
              </w:rPr>
              <w:t>6</w:t>
            </w:r>
            <w:r w:rsidR="007D3335">
              <w:rPr>
                <w:rFonts w:ascii="Arial" w:hAnsi="Arial" w:cs="Arial"/>
                <w:color w:val="000000"/>
                <w:highlight w:val="yellow"/>
              </w:rPr>
              <w:t>0</w:t>
            </w:r>
          </w:p>
        </w:tc>
      </w:tr>
      <w:tr w:rsidR="000528E7" w:rsidRPr="00E33E6F" w14:paraId="6C04A065" w14:textId="77777777" w:rsidTr="0035573B">
        <w:trPr>
          <w:trHeight w:val="521"/>
        </w:trPr>
        <w:tc>
          <w:tcPr>
            <w:tcW w:w="5310" w:type="dxa"/>
            <w:noWrap/>
            <w:hideMark/>
          </w:tcPr>
          <w:p w14:paraId="4A1BB433" w14:textId="77777777" w:rsidR="000528E7" w:rsidRPr="00E33E6F" w:rsidRDefault="000528E7" w:rsidP="000528E7">
            <w:pPr>
              <w:pStyle w:val="NoSpacing"/>
              <w:rPr>
                <w:rFonts w:cs="Arial"/>
                <w:szCs w:val="24"/>
              </w:rPr>
            </w:pPr>
            <w:r w:rsidRPr="00E33E6F">
              <w:rPr>
                <w:rFonts w:cs="Arial"/>
                <w:szCs w:val="24"/>
              </w:rPr>
              <w:t>25,000</w:t>
            </w:r>
          </w:p>
        </w:tc>
        <w:tc>
          <w:tcPr>
            <w:tcW w:w="3762" w:type="dxa"/>
            <w:tcBorders>
              <w:top w:val="nil"/>
              <w:left w:val="nil"/>
              <w:bottom w:val="single" w:sz="8" w:space="0" w:color="auto"/>
              <w:right w:val="single" w:sz="8" w:space="0" w:color="auto"/>
            </w:tcBorders>
            <w:noWrap/>
            <w:vAlign w:val="center"/>
            <w:hideMark/>
          </w:tcPr>
          <w:p w14:paraId="23DCE331" w14:textId="0B298993" w:rsidR="000528E7" w:rsidRPr="003E2236" w:rsidRDefault="000528E7" w:rsidP="000528E7">
            <w:pPr>
              <w:pStyle w:val="NoSpacing"/>
              <w:jc w:val="right"/>
              <w:rPr>
                <w:rFonts w:cs="Arial"/>
                <w:szCs w:val="24"/>
                <w:highlight w:val="yellow"/>
              </w:rPr>
            </w:pPr>
            <w:r w:rsidRPr="003E2236">
              <w:rPr>
                <w:rFonts w:ascii="Arial" w:hAnsi="Arial" w:cs="Arial"/>
                <w:color w:val="000000"/>
                <w:highlight w:val="yellow"/>
              </w:rPr>
              <w:t>£</w:t>
            </w:r>
            <w:r w:rsidR="00985667">
              <w:rPr>
                <w:rFonts w:ascii="Arial" w:hAnsi="Arial" w:cs="Arial"/>
                <w:color w:val="000000"/>
                <w:highlight w:val="yellow"/>
              </w:rPr>
              <w:t>691,7</w:t>
            </w:r>
            <w:r w:rsidR="005975E3">
              <w:rPr>
                <w:rFonts w:ascii="Arial" w:hAnsi="Arial" w:cs="Arial"/>
                <w:color w:val="000000"/>
                <w:highlight w:val="yellow"/>
              </w:rPr>
              <w:t>00</w:t>
            </w:r>
          </w:p>
        </w:tc>
      </w:tr>
      <w:tr w:rsidR="000528E7" w:rsidRPr="00E33E6F" w14:paraId="5A66307F" w14:textId="77777777" w:rsidTr="0035573B">
        <w:trPr>
          <w:trHeight w:val="521"/>
        </w:trPr>
        <w:tc>
          <w:tcPr>
            <w:tcW w:w="5310" w:type="dxa"/>
            <w:noWrap/>
            <w:hideMark/>
          </w:tcPr>
          <w:p w14:paraId="088A3B7B" w14:textId="77777777" w:rsidR="000528E7" w:rsidRPr="00E33E6F" w:rsidRDefault="000528E7" w:rsidP="000528E7">
            <w:pPr>
              <w:pStyle w:val="NoSpacing"/>
              <w:rPr>
                <w:rFonts w:cs="Arial"/>
                <w:szCs w:val="24"/>
              </w:rPr>
            </w:pPr>
            <w:r w:rsidRPr="00E33E6F">
              <w:rPr>
                <w:rFonts w:cs="Arial"/>
                <w:szCs w:val="24"/>
              </w:rPr>
              <w:t>30,000</w:t>
            </w:r>
          </w:p>
        </w:tc>
        <w:tc>
          <w:tcPr>
            <w:tcW w:w="3762" w:type="dxa"/>
            <w:tcBorders>
              <w:top w:val="nil"/>
              <w:left w:val="nil"/>
              <w:bottom w:val="single" w:sz="8" w:space="0" w:color="auto"/>
              <w:right w:val="single" w:sz="8" w:space="0" w:color="auto"/>
            </w:tcBorders>
            <w:noWrap/>
            <w:vAlign w:val="center"/>
            <w:hideMark/>
          </w:tcPr>
          <w:p w14:paraId="3A1889AB" w14:textId="538F8D37" w:rsidR="000528E7" w:rsidRPr="003E2236" w:rsidRDefault="000528E7" w:rsidP="000528E7">
            <w:pPr>
              <w:pStyle w:val="NoSpacing"/>
              <w:jc w:val="right"/>
              <w:rPr>
                <w:rFonts w:cs="Arial"/>
                <w:szCs w:val="24"/>
                <w:highlight w:val="yellow"/>
              </w:rPr>
            </w:pPr>
            <w:r w:rsidRPr="003E2236">
              <w:rPr>
                <w:rFonts w:ascii="Arial" w:hAnsi="Arial" w:cs="Arial"/>
                <w:color w:val="000000"/>
                <w:highlight w:val="yellow"/>
              </w:rPr>
              <w:t>£</w:t>
            </w:r>
            <w:r w:rsidR="007D3335">
              <w:rPr>
                <w:rFonts w:ascii="Arial" w:hAnsi="Arial" w:cs="Arial"/>
                <w:color w:val="000000"/>
                <w:highlight w:val="yellow"/>
              </w:rPr>
              <w:t>830,0</w:t>
            </w:r>
            <w:r w:rsidR="005975E3">
              <w:rPr>
                <w:rFonts w:ascii="Arial" w:hAnsi="Arial" w:cs="Arial"/>
                <w:color w:val="000000"/>
                <w:highlight w:val="yellow"/>
              </w:rPr>
              <w:t>4</w:t>
            </w:r>
            <w:r w:rsidR="007D3335">
              <w:rPr>
                <w:rFonts w:ascii="Arial" w:hAnsi="Arial" w:cs="Arial"/>
                <w:color w:val="000000"/>
                <w:highlight w:val="yellow"/>
              </w:rPr>
              <w:t>0</w:t>
            </w:r>
          </w:p>
        </w:tc>
      </w:tr>
      <w:tr w:rsidR="000528E7" w:rsidRPr="00E33E6F" w14:paraId="6B962F45" w14:textId="77777777" w:rsidTr="0035573B">
        <w:trPr>
          <w:trHeight w:val="521"/>
        </w:trPr>
        <w:tc>
          <w:tcPr>
            <w:tcW w:w="5310" w:type="dxa"/>
            <w:noWrap/>
            <w:hideMark/>
          </w:tcPr>
          <w:p w14:paraId="1D5F6E00" w14:textId="77777777" w:rsidR="000528E7" w:rsidRPr="00E33E6F" w:rsidRDefault="000528E7" w:rsidP="000528E7">
            <w:pPr>
              <w:pStyle w:val="NoSpacing"/>
              <w:rPr>
                <w:rFonts w:cs="Arial"/>
                <w:szCs w:val="24"/>
              </w:rPr>
            </w:pPr>
            <w:r w:rsidRPr="00E33E6F">
              <w:rPr>
                <w:rFonts w:cs="Arial"/>
                <w:szCs w:val="24"/>
              </w:rPr>
              <w:t>40,000</w:t>
            </w:r>
          </w:p>
        </w:tc>
        <w:tc>
          <w:tcPr>
            <w:tcW w:w="3762" w:type="dxa"/>
            <w:tcBorders>
              <w:top w:val="nil"/>
              <w:left w:val="nil"/>
              <w:bottom w:val="single" w:sz="8" w:space="0" w:color="auto"/>
              <w:right w:val="single" w:sz="8" w:space="0" w:color="auto"/>
            </w:tcBorders>
            <w:noWrap/>
            <w:vAlign w:val="center"/>
            <w:hideMark/>
          </w:tcPr>
          <w:p w14:paraId="710BC51F" w14:textId="45295564" w:rsidR="000528E7" w:rsidRPr="003E2236" w:rsidRDefault="000528E7" w:rsidP="000528E7">
            <w:pPr>
              <w:pStyle w:val="NoSpacing"/>
              <w:jc w:val="right"/>
              <w:rPr>
                <w:rFonts w:cs="Arial"/>
                <w:szCs w:val="24"/>
                <w:highlight w:val="yellow"/>
              </w:rPr>
            </w:pPr>
            <w:r w:rsidRPr="003E2236">
              <w:rPr>
                <w:rFonts w:ascii="Arial" w:hAnsi="Arial" w:cs="Arial"/>
                <w:color w:val="000000"/>
                <w:highlight w:val="yellow"/>
              </w:rPr>
              <w:t>£</w:t>
            </w:r>
            <w:r w:rsidR="005E53D3">
              <w:rPr>
                <w:rFonts w:ascii="Arial" w:hAnsi="Arial" w:cs="Arial"/>
                <w:color w:val="000000"/>
                <w:highlight w:val="yellow"/>
              </w:rPr>
              <w:t>1,106,7</w:t>
            </w:r>
            <w:r w:rsidR="005975E3">
              <w:rPr>
                <w:rFonts w:ascii="Arial" w:hAnsi="Arial" w:cs="Arial"/>
                <w:color w:val="000000"/>
                <w:highlight w:val="yellow"/>
              </w:rPr>
              <w:t>20</w:t>
            </w:r>
          </w:p>
        </w:tc>
      </w:tr>
      <w:tr w:rsidR="000528E7" w:rsidRPr="00E33E6F" w14:paraId="74697A4B" w14:textId="77777777" w:rsidTr="0035573B">
        <w:trPr>
          <w:trHeight w:val="521"/>
        </w:trPr>
        <w:tc>
          <w:tcPr>
            <w:tcW w:w="5310" w:type="dxa"/>
            <w:noWrap/>
            <w:hideMark/>
          </w:tcPr>
          <w:p w14:paraId="7BA05164" w14:textId="77777777" w:rsidR="000528E7" w:rsidRPr="00E33E6F" w:rsidRDefault="000528E7" w:rsidP="000528E7">
            <w:pPr>
              <w:pStyle w:val="NoSpacing"/>
              <w:rPr>
                <w:rFonts w:cs="Arial"/>
                <w:szCs w:val="24"/>
              </w:rPr>
            </w:pPr>
            <w:r w:rsidRPr="00E33E6F">
              <w:rPr>
                <w:rFonts w:cs="Arial"/>
                <w:szCs w:val="24"/>
              </w:rPr>
              <w:t>50,000</w:t>
            </w:r>
          </w:p>
        </w:tc>
        <w:tc>
          <w:tcPr>
            <w:tcW w:w="3762" w:type="dxa"/>
            <w:tcBorders>
              <w:top w:val="nil"/>
              <w:left w:val="nil"/>
              <w:bottom w:val="single" w:sz="8" w:space="0" w:color="auto"/>
              <w:right w:val="single" w:sz="8" w:space="0" w:color="auto"/>
            </w:tcBorders>
            <w:noWrap/>
            <w:vAlign w:val="center"/>
            <w:hideMark/>
          </w:tcPr>
          <w:p w14:paraId="505F55C0" w14:textId="5DBDB212" w:rsidR="000528E7" w:rsidRPr="003E2236" w:rsidRDefault="000528E7" w:rsidP="000528E7">
            <w:pPr>
              <w:pStyle w:val="NoSpacing"/>
              <w:jc w:val="right"/>
              <w:rPr>
                <w:rFonts w:cs="Arial"/>
                <w:szCs w:val="24"/>
                <w:highlight w:val="yellow"/>
              </w:rPr>
            </w:pPr>
            <w:r w:rsidRPr="003E2236">
              <w:rPr>
                <w:rFonts w:ascii="Arial" w:hAnsi="Arial" w:cs="Arial"/>
                <w:color w:val="000000"/>
                <w:highlight w:val="yellow"/>
              </w:rPr>
              <w:t>£</w:t>
            </w:r>
            <w:r w:rsidR="005E53D3">
              <w:rPr>
                <w:rFonts w:ascii="Arial" w:hAnsi="Arial" w:cs="Arial"/>
                <w:color w:val="000000"/>
                <w:highlight w:val="yellow"/>
              </w:rPr>
              <w:t>1,383,4</w:t>
            </w:r>
            <w:r w:rsidR="005975E3">
              <w:rPr>
                <w:rFonts w:ascii="Arial" w:hAnsi="Arial" w:cs="Arial"/>
                <w:color w:val="000000"/>
                <w:highlight w:val="yellow"/>
              </w:rPr>
              <w:t>0</w:t>
            </w:r>
            <w:r w:rsidR="005E53D3">
              <w:rPr>
                <w:rFonts w:ascii="Arial" w:hAnsi="Arial" w:cs="Arial"/>
                <w:color w:val="000000"/>
                <w:highlight w:val="yellow"/>
              </w:rPr>
              <w:t>0</w:t>
            </w:r>
          </w:p>
        </w:tc>
      </w:tr>
      <w:tr w:rsidR="000528E7" w:rsidRPr="00E33E6F" w14:paraId="04232543" w14:textId="77777777" w:rsidTr="0035573B">
        <w:trPr>
          <w:trHeight w:val="521"/>
        </w:trPr>
        <w:tc>
          <w:tcPr>
            <w:tcW w:w="5310" w:type="dxa"/>
            <w:noWrap/>
            <w:hideMark/>
          </w:tcPr>
          <w:p w14:paraId="0D857D65" w14:textId="77777777" w:rsidR="000528E7" w:rsidRPr="00E33E6F" w:rsidRDefault="000528E7" w:rsidP="000528E7">
            <w:pPr>
              <w:pStyle w:val="NoSpacing"/>
              <w:rPr>
                <w:rFonts w:cs="Arial"/>
                <w:szCs w:val="24"/>
              </w:rPr>
            </w:pPr>
            <w:r w:rsidRPr="00E33E6F">
              <w:rPr>
                <w:rFonts w:cs="Arial"/>
                <w:szCs w:val="24"/>
              </w:rPr>
              <w:t>80,000</w:t>
            </w:r>
          </w:p>
        </w:tc>
        <w:tc>
          <w:tcPr>
            <w:tcW w:w="3762" w:type="dxa"/>
            <w:tcBorders>
              <w:top w:val="nil"/>
              <w:left w:val="nil"/>
              <w:bottom w:val="single" w:sz="8" w:space="0" w:color="auto"/>
              <w:right w:val="single" w:sz="8" w:space="0" w:color="auto"/>
            </w:tcBorders>
            <w:noWrap/>
            <w:vAlign w:val="center"/>
            <w:hideMark/>
          </w:tcPr>
          <w:p w14:paraId="55283FC4" w14:textId="51654716" w:rsidR="000528E7" w:rsidRPr="003E2236" w:rsidRDefault="000528E7" w:rsidP="000528E7">
            <w:pPr>
              <w:pStyle w:val="NoSpacing"/>
              <w:jc w:val="right"/>
              <w:rPr>
                <w:rFonts w:cs="Arial"/>
                <w:szCs w:val="24"/>
                <w:highlight w:val="yellow"/>
              </w:rPr>
            </w:pPr>
            <w:r w:rsidRPr="003E2236">
              <w:rPr>
                <w:rFonts w:ascii="Arial" w:hAnsi="Arial" w:cs="Arial"/>
                <w:color w:val="000000"/>
                <w:highlight w:val="yellow"/>
              </w:rPr>
              <w:t>£</w:t>
            </w:r>
            <w:r w:rsidR="007B773D">
              <w:rPr>
                <w:rFonts w:ascii="Arial" w:hAnsi="Arial" w:cs="Arial"/>
                <w:color w:val="000000"/>
                <w:highlight w:val="yellow"/>
              </w:rPr>
              <w:t>2,213,4</w:t>
            </w:r>
            <w:r w:rsidR="005A60EA">
              <w:rPr>
                <w:rFonts w:ascii="Arial" w:hAnsi="Arial" w:cs="Arial"/>
                <w:color w:val="000000"/>
                <w:highlight w:val="yellow"/>
              </w:rPr>
              <w:t>4</w:t>
            </w:r>
            <w:r w:rsidR="007B773D">
              <w:rPr>
                <w:rFonts w:ascii="Arial" w:hAnsi="Arial" w:cs="Arial"/>
                <w:color w:val="000000"/>
                <w:highlight w:val="yellow"/>
              </w:rPr>
              <w:t>0</w:t>
            </w:r>
          </w:p>
        </w:tc>
      </w:tr>
      <w:tr w:rsidR="000528E7" w:rsidRPr="00E33E6F" w14:paraId="0F80E8C2" w14:textId="77777777" w:rsidTr="0035573B">
        <w:trPr>
          <w:trHeight w:val="521"/>
        </w:trPr>
        <w:tc>
          <w:tcPr>
            <w:tcW w:w="5310" w:type="dxa"/>
            <w:noWrap/>
            <w:hideMark/>
          </w:tcPr>
          <w:p w14:paraId="535933C3" w14:textId="77777777" w:rsidR="000528E7" w:rsidRPr="00E33E6F" w:rsidRDefault="000528E7" w:rsidP="000528E7">
            <w:pPr>
              <w:pStyle w:val="NoSpacing"/>
              <w:rPr>
                <w:rFonts w:cs="Arial"/>
                <w:szCs w:val="24"/>
              </w:rPr>
            </w:pPr>
            <w:r w:rsidRPr="00E33E6F">
              <w:rPr>
                <w:rFonts w:cs="Arial"/>
                <w:szCs w:val="24"/>
              </w:rPr>
              <w:t>100,000</w:t>
            </w:r>
          </w:p>
        </w:tc>
        <w:tc>
          <w:tcPr>
            <w:tcW w:w="3762" w:type="dxa"/>
            <w:tcBorders>
              <w:top w:val="nil"/>
              <w:left w:val="nil"/>
              <w:bottom w:val="single" w:sz="8" w:space="0" w:color="auto"/>
              <w:right w:val="single" w:sz="8" w:space="0" w:color="auto"/>
            </w:tcBorders>
            <w:noWrap/>
            <w:vAlign w:val="center"/>
            <w:hideMark/>
          </w:tcPr>
          <w:p w14:paraId="20239110" w14:textId="3564FC12" w:rsidR="000528E7" w:rsidRPr="003E2236" w:rsidRDefault="000528E7" w:rsidP="000528E7">
            <w:pPr>
              <w:pStyle w:val="NoSpacing"/>
              <w:jc w:val="right"/>
              <w:rPr>
                <w:rFonts w:cs="Arial"/>
                <w:szCs w:val="24"/>
                <w:highlight w:val="yellow"/>
              </w:rPr>
            </w:pPr>
            <w:r w:rsidRPr="003E2236">
              <w:rPr>
                <w:rFonts w:ascii="Arial" w:hAnsi="Arial" w:cs="Arial"/>
                <w:color w:val="000000"/>
                <w:highlight w:val="yellow"/>
              </w:rPr>
              <w:t>£</w:t>
            </w:r>
            <w:r w:rsidR="007B773D">
              <w:rPr>
                <w:rFonts w:ascii="Arial" w:hAnsi="Arial" w:cs="Arial"/>
                <w:color w:val="000000"/>
                <w:highlight w:val="yellow"/>
              </w:rPr>
              <w:t>2,</w:t>
            </w:r>
            <w:r w:rsidR="00B86BB7">
              <w:rPr>
                <w:rFonts w:ascii="Arial" w:hAnsi="Arial" w:cs="Arial"/>
                <w:color w:val="000000"/>
                <w:highlight w:val="yellow"/>
              </w:rPr>
              <w:t>766,8</w:t>
            </w:r>
            <w:r w:rsidR="005A60EA">
              <w:rPr>
                <w:rFonts w:ascii="Arial" w:hAnsi="Arial" w:cs="Arial"/>
                <w:color w:val="000000"/>
                <w:highlight w:val="yellow"/>
              </w:rPr>
              <w:t>00</w:t>
            </w:r>
          </w:p>
        </w:tc>
      </w:tr>
      <w:tr w:rsidR="000528E7" w:rsidRPr="00E33E6F" w14:paraId="12B90852" w14:textId="77777777" w:rsidTr="0035573B">
        <w:trPr>
          <w:trHeight w:val="521"/>
        </w:trPr>
        <w:tc>
          <w:tcPr>
            <w:tcW w:w="5310" w:type="dxa"/>
            <w:noWrap/>
            <w:hideMark/>
          </w:tcPr>
          <w:p w14:paraId="5F6E1B10" w14:textId="77777777" w:rsidR="000528E7" w:rsidRPr="00E33E6F" w:rsidRDefault="000528E7" w:rsidP="000528E7">
            <w:pPr>
              <w:pStyle w:val="NoSpacing"/>
              <w:rPr>
                <w:rFonts w:cs="Arial"/>
                <w:szCs w:val="24"/>
              </w:rPr>
            </w:pPr>
            <w:r w:rsidRPr="00E33E6F">
              <w:rPr>
                <w:rFonts w:cs="Arial"/>
                <w:szCs w:val="24"/>
              </w:rPr>
              <w:lastRenderedPageBreak/>
              <w:t>150,000</w:t>
            </w:r>
          </w:p>
        </w:tc>
        <w:tc>
          <w:tcPr>
            <w:tcW w:w="3762" w:type="dxa"/>
            <w:tcBorders>
              <w:top w:val="nil"/>
              <w:left w:val="nil"/>
              <w:bottom w:val="single" w:sz="8" w:space="0" w:color="auto"/>
              <w:right w:val="single" w:sz="8" w:space="0" w:color="auto"/>
            </w:tcBorders>
            <w:noWrap/>
            <w:vAlign w:val="center"/>
            <w:hideMark/>
          </w:tcPr>
          <w:p w14:paraId="1E1124AF" w14:textId="7E2719A6" w:rsidR="000528E7" w:rsidRPr="003E2236" w:rsidRDefault="000528E7" w:rsidP="000528E7">
            <w:pPr>
              <w:pStyle w:val="NoSpacing"/>
              <w:jc w:val="right"/>
              <w:rPr>
                <w:rFonts w:cs="Arial"/>
                <w:szCs w:val="24"/>
                <w:highlight w:val="yellow"/>
              </w:rPr>
            </w:pPr>
            <w:r w:rsidRPr="003E2236">
              <w:rPr>
                <w:rFonts w:ascii="Arial" w:hAnsi="Arial" w:cs="Arial"/>
                <w:color w:val="000000"/>
                <w:highlight w:val="yellow"/>
              </w:rPr>
              <w:t>£</w:t>
            </w:r>
            <w:r w:rsidR="005A60EA">
              <w:rPr>
                <w:rFonts w:ascii="Arial" w:hAnsi="Arial" w:cs="Arial"/>
                <w:color w:val="000000"/>
                <w:highlight w:val="yellow"/>
              </w:rPr>
              <w:t>4,150,200</w:t>
            </w:r>
          </w:p>
        </w:tc>
      </w:tr>
    </w:tbl>
    <w:p w14:paraId="1D710FEB" w14:textId="77777777" w:rsidR="008F2758" w:rsidRDefault="008F2758" w:rsidP="00E36FE2">
      <w:pPr>
        <w:spacing w:after="0" w:line="276" w:lineRule="auto"/>
      </w:pPr>
    </w:p>
    <w:p w14:paraId="37FF3CEB" w14:textId="1493DFC9" w:rsidR="008F2758" w:rsidRPr="00F55944" w:rsidRDefault="008F2758" w:rsidP="00084AFF">
      <w:pPr>
        <w:pStyle w:val="h3numbered"/>
      </w:pPr>
      <w:bookmarkStart w:id="132" w:name="_Toc36557275"/>
      <w:bookmarkStart w:id="133" w:name="_Toc150156002"/>
      <w:bookmarkStart w:id="134" w:name="_Toc223511140"/>
      <w:bookmarkStart w:id="135" w:name="_Toc223511428"/>
      <w:bookmarkEnd w:id="130"/>
      <w:r w:rsidRPr="00F55944">
        <w:rPr>
          <w:bCs/>
          <w:lang w:eastAsia="en-GB"/>
        </w:rPr>
        <w:t>Principle</w:t>
      </w:r>
      <w:r w:rsidRPr="00F55944">
        <w:t xml:space="preserve"> of additionality and baselines</w:t>
      </w:r>
      <w:bookmarkEnd w:id="132"/>
      <w:bookmarkEnd w:id="133"/>
      <w:bookmarkEnd w:id="134"/>
      <w:bookmarkEnd w:id="135"/>
    </w:p>
    <w:p w14:paraId="55D0D7AA" w14:textId="22A73B58" w:rsidR="008F2758" w:rsidRPr="00935DE5" w:rsidRDefault="008F2758" w:rsidP="00084AFF">
      <w:pPr>
        <w:pStyle w:val="h4numbered"/>
      </w:pPr>
      <w:r w:rsidRPr="00935DE5">
        <w:rPr>
          <w:rFonts w:cs="Arial"/>
          <w:szCs w:val="24"/>
        </w:rPr>
        <w:t>To</w:t>
      </w:r>
      <w:r w:rsidRPr="00935DE5">
        <w:t xml:space="preserve"> receive the associated funding through the Additional Roles Reimbursement Scheme, a PC</w:t>
      </w:r>
      <w:r w:rsidR="00DA519F">
        <w:t xml:space="preserve">N must </w:t>
      </w:r>
      <w:r w:rsidRPr="00935DE5">
        <w:t>show that the staff delivering health services for whom reimbursement is being claimed are additional and comply with the “principle of additionality” as set out in sections 7.2 of the Network Contract DES Specification. The additionality rule serves both to protect pre-existing local investment in primary care (e.g. by commissioners), as well as to expand capacity. It is not possible for Core Network Practices or commissioners to stop funding staff identified in the baseline exercise on the grounds that these could instead be funded through PCN reimbursement.</w:t>
      </w:r>
    </w:p>
    <w:p w14:paraId="23127E5E" w14:textId="11A5427B" w:rsidR="008F2758" w:rsidRPr="0080630B" w:rsidRDefault="008F2758" w:rsidP="00084AFF">
      <w:pPr>
        <w:pStyle w:val="h4numbered"/>
      </w:pPr>
      <w:r w:rsidRPr="008900C0">
        <w:t xml:space="preserve">Core Network Practices and commissioners will be required to maintain existing funding for baseline staff levels measured as at 31 March 2019 against six of the reimbursable roles – clinical pharmacists, social prescribing link workers, first contact physiotherapists, physician </w:t>
      </w:r>
      <w:r w:rsidR="000B121D" w:rsidRPr="00ED3B86">
        <w:rPr>
          <w:highlight w:val="yellow"/>
        </w:rPr>
        <w:t xml:space="preserve">assistants (also known as </w:t>
      </w:r>
      <w:r w:rsidR="00ED3B86" w:rsidRPr="00ED3B86">
        <w:rPr>
          <w:highlight w:val="yellow"/>
        </w:rPr>
        <w:t xml:space="preserve">physicians </w:t>
      </w:r>
      <w:r w:rsidRPr="00BB47A8">
        <w:rPr>
          <w:highlight w:val="yellow"/>
        </w:rPr>
        <w:t>ass</w:t>
      </w:r>
      <w:r w:rsidR="00345972" w:rsidRPr="00BB47A8">
        <w:rPr>
          <w:highlight w:val="yellow"/>
        </w:rPr>
        <w:t>ociates</w:t>
      </w:r>
      <w:r w:rsidR="00ED3B86" w:rsidRPr="00BB47A8">
        <w:rPr>
          <w:highlight w:val="yellow"/>
        </w:rPr>
        <w:t>)</w:t>
      </w:r>
      <w:r w:rsidRPr="00BB47A8">
        <w:rPr>
          <w:highlight w:val="yellow"/>
        </w:rPr>
        <w:t>,</w:t>
      </w:r>
      <w:r w:rsidRPr="008900C0">
        <w:t xml:space="preserve"> pharmacy technicians, and paramedics. The </w:t>
      </w:r>
      <w:r w:rsidRPr="0080630B">
        <w:t>two baselines established during 2019 are as follows (further detail on how the baselines were established is available in the 2019/20 Additional Roles Reimbursement Scheme Guidance):</w:t>
      </w:r>
    </w:p>
    <w:p w14:paraId="203DD902" w14:textId="4D6C5F29" w:rsidR="00BE3FDE" w:rsidRPr="00BE3FDE" w:rsidRDefault="00BE3FDE" w:rsidP="000741C5">
      <w:pPr>
        <w:pStyle w:val="Heading4"/>
        <w:keepNext w:val="0"/>
        <w:numPr>
          <w:ilvl w:val="1"/>
          <w:numId w:val="12"/>
        </w:numPr>
        <w:spacing w:line="276" w:lineRule="auto"/>
        <w:ind w:left="2268" w:hanging="567"/>
        <w:rPr>
          <w:rFonts w:ascii="Arial" w:hAnsi="Arial"/>
          <w:b w:val="0"/>
          <w:bCs/>
          <w:sz w:val="24"/>
        </w:rPr>
      </w:pPr>
      <w:r>
        <w:rPr>
          <w:rFonts w:ascii="Arial" w:hAnsi="Arial"/>
          <w:b w:val="0"/>
          <w:bCs/>
          <w:sz w:val="24"/>
        </w:rPr>
        <w:t xml:space="preserve">A </w:t>
      </w:r>
      <w:r w:rsidRPr="0080630B">
        <w:rPr>
          <w:rFonts w:ascii="Arial" w:hAnsi="Arial"/>
          <w:b w:val="0"/>
          <w:sz w:val="24"/>
          <w:szCs w:val="24"/>
          <w:u w:val="single"/>
        </w:rPr>
        <w:t>PCN baseline</w:t>
      </w:r>
      <w:r w:rsidRPr="0080630B">
        <w:rPr>
          <w:rFonts w:ascii="Arial" w:hAnsi="Arial"/>
          <w:b w:val="0"/>
          <w:sz w:val="24"/>
          <w:szCs w:val="24"/>
        </w:rPr>
        <w:t xml:space="preserve"> declared by the Core Network Practices of the PCN and agreed</w:t>
      </w:r>
      <w:r w:rsidRPr="25B4D54A">
        <w:rPr>
          <w:rFonts w:ascii="Arial" w:hAnsi="Arial"/>
          <w:b w:val="0"/>
          <w:sz w:val="24"/>
          <w:szCs w:val="24"/>
        </w:rPr>
        <w:t xml:space="preserve"> with the commissioner. It is comprised of the actual whole time equivalent (WTE) staff across these six reimbursable roles and funded by general practice as at 31 March 2019. The PCN baseline will be fixed </w:t>
      </w:r>
      <w:r w:rsidRPr="0080630B">
        <w:rPr>
          <w:rFonts w:ascii="Arial" w:hAnsi="Arial"/>
          <w:b w:val="0"/>
          <w:sz w:val="24"/>
          <w:szCs w:val="24"/>
        </w:rPr>
        <w:t xml:space="preserve">until 31 </w:t>
      </w:r>
      <w:r w:rsidRPr="008900C0">
        <w:rPr>
          <w:rFonts w:ascii="Arial" w:hAnsi="Arial"/>
          <w:b w:val="0"/>
          <w:sz w:val="24"/>
          <w:szCs w:val="24"/>
        </w:rPr>
        <w:t>March 202</w:t>
      </w:r>
      <w:r w:rsidR="00C458B7" w:rsidRPr="00481EF4">
        <w:rPr>
          <w:rFonts w:ascii="Arial" w:hAnsi="Arial"/>
          <w:b w:val="0"/>
          <w:sz w:val="24"/>
          <w:szCs w:val="24"/>
          <w:highlight w:val="yellow"/>
        </w:rPr>
        <w:t>7</w:t>
      </w:r>
    </w:p>
    <w:p w14:paraId="1E4E44AA" w14:textId="06020628" w:rsidR="00521C4B" w:rsidRPr="00521C4B" w:rsidRDefault="008F2758" w:rsidP="000741C5">
      <w:pPr>
        <w:pStyle w:val="Heading4"/>
        <w:keepNext w:val="0"/>
        <w:numPr>
          <w:ilvl w:val="1"/>
          <w:numId w:val="12"/>
        </w:numPr>
        <w:spacing w:line="276" w:lineRule="auto"/>
        <w:ind w:left="2268" w:hanging="567"/>
        <w:rPr>
          <w:rFonts w:ascii="Arial" w:hAnsi="Arial"/>
          <w:b w:val="0"/>
          <w:bCs/>
          <w:sz w:val="24"/>
        </w:rPr>
      </w:pPr>
      <w:r w:rsidRPr="00935DE5">
        <w:rPr>
          <w:rFonts w:ascii="Arial" w:hAnsi="Arial"/>
          <w:b w:val="0"/>
          <w:sz w:val="24"/>
        </w:rPr>
        <w:t xml:space="preserve">A </w:t>
      </w:r>
      <w:r w:rsidRPr="004D0E51">
        <w:rPr>
          <w:sz w:val="24"/>
          <w:szCs w:val="18"/>
          <w:u w:val="single"/>
        </w:rPr>
        <w:t>Clinical Commissioning Group (CCG) baseline</w:t>
      </w:r>
      <w:r w:rsidRPr="00935DE5">
        <w:rPr>
          <w:rFonts w:ascii="Arial" w:hAnsi="Arial"/>
          <w:b w:val="0"/>
          <w:sz w:val="24"/>
        </w:rPr>
        <w:t xml:space="preserve"> declared by the CCG. It is comprised of the WTE patient facing or first contact time of staff across the six reimbursable roles deployed to support general practice or primary medical care services - either in a specific practice or in the wider community - funded</w:t>
      </w:r>
      <w:r w:rsidRPr="00935DE5">
        <w:rPr>
          <w:rFonts w:ascii="Arial" w:hAnsi="Arial"/>
          <w:b w:val="0"/>
          <w:sz w:val="24"/>
          <w:vertAlign w:val="superscript"/>
        </w:rPr>
        <w:footnoteReference w:id="11"/>
      </w:r>
      <w:r w:rsidRPr="00F41A09">
        <w:rPr>
          <w:vertAlign w:val="superscript"/>
        </w:rPr>
        <w:t xml:space="preserve"> </w:t>
      </w:r>
      <w:r w:rsidRPr="00935DE5">
        <w:rPr>
          <w:rFonts w:ascii="Arial" w:hAnsi="Arial"/>
          <w:b w:val="0"/>
          <w:sz w:val="24"/>
        </w:rPr>
        <w:t>by the CCG as at 31 March 2019 (regardless of whether funded due to direct CCG employment or through a contract). Any admin, travel, triage or other time directly related to patient care is included in the WTE. The commissioner is required to maintain funding for these baseline posts and will be subject to audit. Commissioners will be obliged to continue to fund baseline posts and will be subject to audit. CCG baseline posts will have no bearing on PCN additionality claims.</w:t>
      </w:r>
    </w:p>
    <w:p w14:paraId="66CE0086" w14:textId="0C68749C" w:rsidR="008F2758" w:rsidRPr="00935DE5" w:rsidRDefault="008F2758" w:rsidP="00DD6A69">
      <w:pPr>
        <w:pStyle w:val="Heading4"/>
        <w:keepNext w:val="0"/>
        <w:spacing w:line="276" w:lineRule="auto"/>
        <w:ind w:left="1701"/>
        <w:rPr>
          <w:rFonts w:ascii="Arial" w:hAnsi="Arial"/>
          <w:b w:val="0"/>
          <w:bCs/>
          <w:sz w:val="24"/>
        </w:rPr>
      </w:pPr>
      <w:r w:rsidRPr="00935DE5">
        <w:rPr>
          <w:rFonts w:ascii="Arial" w:hAnsi="Arial"/>
          <w:b w:val="0"/>
          <w:sz w:val="24"/>
        </w:rPr>
        <w:lastRenderedPageBreak/>
        <w:t>These baselines will be monitored at a national level</w:t>
      </w:r>
      <w:r w:rsidRPr="00935DE5">
        <w:rPr>
          <w:rFonts w:ascii="Arial" w:hAnsi="Arial"/>
          <w:b w:val="0"/>
          <w:bCs/>
          <w:sz w:val="24"/>
        </w:rPr>
        <w:t>.</w:t>
      </w:r>
    </w:p>
    <w:p w14:paraId="2ABB4CDD" w14:textId="77777777" w:rsidR="008F2758" w:rsidRPr="00935DE5" w:rsidRDefault="008F2758" w:rsidP="00084AFF">
      <w:pPr>
        <w:pStyle w:val="h4numbered"/>
        <w:rPr>
          <w:bCs/>
        </w:rPr>
      </w:pPr>
      <w:r w:rsidRPr="00935DE5">
        <w:t>The purpose of the baseline is to provide a fixed reference point against which additionality claims should be assessed. Thus, changes to baseline numbers will not be permitted. However, in the rare circumstances that it becomes apparent at a later date that the baseline was incorrect, the PCN Clinical Director and ICB Accountable Officer should agree and sign a new declaration confirming that the revised baseline reflects a true position. The changes to the baseline should be reflected, where appropriate, in the next quarterly NWRS and commissioner six-monthly returns.</w:t>
      </w:r>
    </w:p>
    <w:p w14:paraId="54C26CAD" w14:textId="331A94E2" w:rsidR="008F2758" w:rsidRPr="00935DE5" w:rsidRDefault="008F2758" w:rsidP="00084AFF">
      <w:pPr>
        <w:pStyle w:val="h4numbered"/>
      </w:pPr>
      <w:r w:rsidRPr="00935DE5">
        <w:t xml:space="preserve">The PCN and ICB baselines are fixed until the </w:t>
      </w:r>
      <w:r w:rsidRPr="0080630B">
        <w:t xml:space="preserve">end of </w:t>
      </w:r>
      <w:r w:rsidR="00384011">
        <w:rPr>
          <w:rFonts w:hint="eastAsia"/>
        </w:rPr>
        <w:t>202</w:t>
      </w:r>
      <w:r w:rsidR="00384011" w:rsidRPr="00481EF4">
        <w:rPr>
          <w:rFonts w:hint="eastAsia"/>
          <w:highlight w:val="yellow"/>
        </w:rPr>
        <w:t>6</w:t>
      </w:r>
      <w:r w:rsidR="00384011">
        <w:rPr>
          <w:rFonts w:hint="eastAsia"/>
        </w:rPr>
        <w:t>/2</w:t>
      </w:r>
      <w:r w:rsidR="00384011" w:rsidRPr="00481EF4">
        <w:rPr>
          <w:rFonts w:hint="eastAsia"/>
          <w:highlight w:val="yellow"/>
        </w:rPr>
        <w:t>7</w:t>
      </w:r>
      <w:r w:rsidRPr="0080630B">
        <w:t>. PCN</w:t>
      </w:r>
      <w:r w:rsidRPr="00935DE5">
        <w:t xml:space="preserve"> reimbursement claims under the Additional Roles Reimbursement Scheme will be assessed against the PCN baseline only.</w:t>
      </w:r>
    </w:p>
    <w:p w14:paraId="3C28E822" w14:textId="2D0CEDEA" w:rsidR="008F2758" w:rsidRPr="008F28C2" w:rsidRDefault="008F2758" w:rsidP="00084AFF">
      <w:pPr>
        <w:pStyle w:val="h4numbered"/>
        <w:rPr>
          <w:rFonts w:cs="Arial"/>
        </w:rPr>
      </w:pPr>
      <w:r w:rsidRPr="00935DE5">
        <w:t xml:space="preserve">Practices are required to maintain the declared PCN baseline in order to meet the additionality rules under the Network Contract DES Additional Roles Reimbursement Scheme. Reimbursement claims under the Scheme will be assessed against the PCN baseline only. It should generally be assessed for individual workforce groups, rather than the total number of staff in the PCN baseline in all six roles covered by the baseline. However, with agreement from the commissioner, a PCN will be able to substitute between clinical pharmacists, first contact physiotherapists, physician </w:t>
      </w:r>
      <w:r w:rsidR="00DC6B9E" w:rsidRPr="00A23620">
        <w:rPr>
          <w:highlight w:val="yellow"/>
        </w:rPr>
        <w:t xml:space="preserve">assistants (also known as physician </w:t>
      </w:r>
      <w:r w:rsidR="00345972" w:rsidRPr="00A23620">
        <w:rPr>
          <w:highlight w:val="yellow"/>
        </w:rPr>
        <w:t>associates</w:t>
      </w:r>
      <w:r w:rsidR="00BB47A8" w:rsidRPr="00A23620">
        <w:rPr>
          <w:highlight w:val="yellow"/>
        </w:rPr>
        <w:t>)</w:t>
      </w:r>
      <w:r w:rsidRPr="00935DE5">
        <w:t xml:space="preserve"> and paramedics within the practice-funded PCN baseline posts as outlined in section 7.2.4 of the Network Contract DES Specification.</w:t>
      </w:r>
    </w:p>
    <w:p w14:paraId="085E3746" w14:textId="77777777" w:rsidR="008F2758" w:rsidRPr="00935DE5" w:rsidRDefault="008F2758" w:rsidP="00084AFF">
      <w:pPr>
        <w:pStyle w:val="h4numbered"/>
      </w:pPr>
      <w:r w:rsidRPr="00935DE5">
        <w:rPr>
          <w:rFonts w:cs="Arial"/>
          <w:szCs w:val="24"/>
        </w:rPr>
        <w:t>For the purposes of the Additional Roles Reimbursement Scheme claims, WTE</w:t>
      </w:r>
      <w:r w:rsidRPr="00935DE5">
        <w:t xml:space="preserve"> is defined as 37.5 hours in line with Agenda for Change (AfC) Terms and Conditions, although this may vary for non-AfC posts. Where AfC does not apply, PCNs should calculate the relevant WTE according to the normal full-time hours for that role in the employing organisation with reimbursement being made on a pro-rata basis accordingly.</w:t>
      </w:r>
    </w:p>
    <w:p w14:paraId="0B9B489D" w14:textId="48AE217F" w:rsidR="008F2758" w:rsidRPr="00935DE5" w:rsidRDefault="008F2758" w:rsidP="00084AFF">
      <w:pPr>
        <w:pStyle w:val="h4numbered"/>
      </w:pPr>
      <w:r w:rsidRPr="00935DE5">
        <w:t xml:space="preserve">A </w:t>
      </w:r>
      <w:r w:rsidRPr="0080630B">
        <w:t xml:space="preserve">PCN baseline will not be established for </w:t>
      </w:r>
      <w:r w:rsidR="00BA39ED" w:rsidRPr="0080630B">
        <w:rPr>
          <w:rFonts w:hint="eastAsia"/>
        </w:rPr>
        <w:t>general medical practitioners</w:t>
      </w:r>
      <w:r w:rsidR="00BA39ED" w:rsidRPr="0080630B">
        <w:t xml:space="preserve">, </w:t>
      </w:r>
      <w:r w:rsidRPr="0080630B">
        <w:t xml:space="preserve">health and wellbeing coaches, care coordinators, dietitians, podiatrists, occupational therapists, nursing associates, </w:t>
      </w:r>
      <w:r w:rsidR="0024630C" w:rsidRPr="0080630B">
        <w:t>student</w:t>
      </w:r>
      <w:r w:rsidR="00003319" w:rsidRPr="0080630B">
        <w:t xml:space="preserve"> </w:t>
      </w:r>
      <w:r w:rsidRPr="0080630B">
        <w:t>nursing associates</w:t>
      </w:r>
      <w:r w:rsidR="0024630C" w:rsidRPr="0080630B">
        <w:t xml:space="preserve"> (previously </w:t>
      </w:r>
      <w:r w:rsidR="00D27316" w:rsidRPr="0080630B">
        <w:t>train</w:t>
      </w:r>
      <w:r w:rsidR="008F1B0A" w:rsidRPr="0080630B">
        <w:t>ee</w:t>
      </w:r>
      <w:r w:rsidR="00D27316" w:rsidRPr="0080630B">
        <w:t xml:space="preserve"> nursing associates)</w:t>
      </w:r>
      <w:r w:rsidRPr="0080630B">
        <w:t>, mental health practitioners (MHPs)</w:t>
      </w:r>
      <w:r w:rsidR="00AD0453" w:rsidRPr="0080630B">
        <w:t>,</w:t>
      </w:r>
      <w:r w:rsidRPr="0080630B">
        <w:t xml:space="preserve"> advanced practitioners</w:t>
      </w:r>
      <w:r w:rsidR="00E21EF6" w:rsidRPr="0080630B">
        <w:t xml:space="preserve"> (including advanced practitioner nurses)</w:t>
      </w:r>
      <w:r w:rsidRPr="0080630B">
        <w:t>, general practice assistants, digital and transformation leads</w:t>
      </w:r>
      <w:r w:rsidR="00E63C14" w:rsidRPr="0080630B">
        <w:t>, apprentice</w:t>
      </w:r>
      <w:r w:rsidRPr="0080630B">
        <w:t xml:space="preserve"> physician </w:t>
      </w:r>
      <w:r w:rsidR="00345972" w:rsidRPr="00EB3EBE">
        <w:rPr>
          <w:highlight w:val="yellow"/>
        </w:rPr>
        <w:t>ass</w:t>
      </w:r>
      <w:r w:rsidR="00AF269C" w:rsidRPr="00EB3EBE">
        <w:rPr>
          <w:highlight w:val="yellow"/>
        </w:rPr>
        <w:t>istants</w:t>
      </w:r>
      <w:r w:rsidRPr="00EB3EBE">
        <w:t>,</w:t>
      </w:r>
      <w:r w:rsidRPr="0080630B">
        <w:t xml:space="preserve"> enhanced </w:t>
      </w:r>
      <w:r w:rsidR="00521C4B" w:rsidRPr="0080630B">
        <w:t xml:space="preserve">practice </w:t>
      </w:r>
      <w:r w:rsidRPr="0080630B">
        <w:t xml:space="preserve">nurses, </w:t>
      </w:r>
      <w:r w:rsidR="00BB49FC" w:rsidRPr="0080630B">
        <w:rPr>
          <w:rFonts w:hint="eastAsia"/>
        </w:rPr>
        <w:t>new to general practice nurses, experienced general practice nurses, consultant nurses primary care</w:t>
      </w:r>
      <w:r w:rsidR="00D735A9" w:rsidRPr="0080630B">
        <w:t>, healthcare support worker</w:t>
      </w:r>
      <w:r w:rsidR="00E85AFE" w:rsidRPr="0080630B">
        <w:t>s</w:t>
      </w:r>
      <w:r w:rsidR="00BC75F1">
        <w:t xml:space="preserve">, </w:t>
      </w:r>
      <w:r w:rsidR="00AC2CB4" w:rsidRPr="0080630B">
        <w:t xml:space="preserve"> </w:t>
      </w:r>
      <w:r w:rsidRPr="0080630B">
        <w:t>other direct patient care staff</w:t>
      </w:r>
      <w:r w:rsidR="00B020A5" w:rsidRPr="0080630B">
        <w:t xml:space="preserve"> </w:t>
      </w:r>
      <w:r w:rsidR="00BC75F1">
        <w:t xml:space="preserve">or </w:t>
      </w:r>
      <w:r w:rsidR="00BC75F1" w:rsidRPr="00BE1C90">
        <w:rPr>
          <w:highlight w:val="yellow"/>
        </w:rPr>
        <w:t xml:space="preserve">other </w:t>
      </w:r>
      <w:r w:rsidR="00114FBC" w:rsidRPr="00BE1C90">
        <w:rPr>
          <w:highlight w:val="yellow"/>
        </w:rPr>
        <w:t>non-</w:t>
      </w:r>
      <w:r w:rsidR="00BC75F1" w:rsidRPr="00BE1C90">
        <w:rPr>
          <w:highlight w:val="yellow"/>
        </w:rPr>
        <w:t>direct patient care staff</w:t>
      </w:r>
      <w:r w:rsidR="00BC75F1" w:rsidRPr="0080630B">
        <w:t xml:space="preserve">  </w:t>
      </w:r>
      <w:r w:rsidR="00B020A5" w:rsidRPr="0080630B">
        <w:t>(excluding those set out in paragraph 7.4.2)</w:t>
      </w:r>
      <w:r w:rsidRPr="0080630B">
        <w:t xml:space="preserve">. While the PCN baseline will not include these roles, the additionality principles will still apply. A PCN claiming reimbursement in respect of these roles does so on the basis that it is for additional staff engaged or employed </w:t>
      </w:r>
      <w:r w:rsidRPr="0080630B">
        <w:rPr>
          <w:iCs/>
        </w:rPr>
        <w:t>since</w:t>
      </w:r>
      <w:r w:rsidRPr="0080630B">
        <w:t xml:space="preserve"> 31 </w:t>
      </w:r>
      <w:r w:rsidRPr="0080630B">
        <w:lastRenderedPageBreak/>
        <w:t>March 2019, and that the reimbursement is not being used to subsidise practice-funded roles that existed as at 31 March 2019.</w:t>
      </w:r>
    </w:p>
    <w:p w14:paraId="52CAB84F" w14:textId="7A488444" w:rsidR="008F2758" w:rsidRPr="00935DE5" w:rsidRDefault="008F2758" w:rsidP="00084AFF">
      <w:pPr>
        <w:pStyle w:val="h4numbered"/>
      </w:pPr>
      <w:r w:rsidRPr="00935DE5">
        <w:t xml:space="preserve">Local agreements for the provision of MHPs (Adult and/or Child and Young Person MHPs) to a PCN </w:t>
      </w:r>
      <w:r w:rsidR="00AC2CB4">
        <w:t>must</w:t>
      </w:r>
      <w:r w:rsidR="00DE7084">
        <w:t xml:space="preserve"> </w:t>
      </w:r>
      <w:r w:rsidRPr="00935DE5">
        <w:t>be additional over and above any:</w:t>
      </w:r>
    </w:p>
    <w:p w14:paraId="460D9F04" w14:textId="77777777" w:rsidR="008F2758" w:rsidRPr="00935DE5" w:rsidRDefault="008F2758" w:rsidP="000741C5">
      <w:pPr>
        <w:pStyle w:val="Heading4"/>
        <w:keepNext w:val="0"/>
        <w:numPr>
          <w:ilvl w:val="1"/>
          <w:numId w:val="29"/>
        </w:numPr>
        <w:spacing w:line="276" w:lineRule="auto"/>
        <w:ind w:left="2268" w:hanging="567"/>
        <w:rPr>
          <w:rFonts w:ascii="Arial" w:hAnsi="Arial"/>
          <w:b w:val="0"/>
          <w:sz w:val="24"/>
        </w:rPr>
      </w:pPr>
      <w:r w:rsidRPr="00935DE5">
        <w:rPr>
          <w:rFonts w:ascii="Arial" w:hAnsi="Arial"/>
          <w:b w:val="0"/>
          <w:sz w:val="24"/>
        </w:rPr>
        <w:t>MHPs already employed by the secondary care provider of community mental health services to work as a member of, whether full-time or part-time, including on a rotational basis, a general practice or PCN’s core multi-disciplinary team as at 31 January 2021; and</w:t>
      </w:r>
    </w:p>
    <w:p w14:paraId="139A4103" w14:textId="77777777" w:rsidR="008F2758" w:rsidRPr="00935DE5" w:rsidRDefault="008F2758" w:rsidP="000741C5">
      <w:pPr>
        <w:pStyle w:val="Heading4"/>
        <w:keepNext w:val="0"/>
        <w:numPr>
          <w:ilvl w:val="1"/>
          <w:numId w:val="29"/>
        </w:numPr>
        <w:spacing w:line="276" w:lineRule="auto"/>
        <w:ind w:left="2268" w:hanging="567"/>
        <w:rPr>
          <w:rFonts w:ascii="Arial" w:hAnsi="Arial"/>
          <w:b w:val="0"/>
          <w:sz w:val="24"/>
        </w:rPr>
      </w:pPr>
      <w:r w:rsidRPr="00935DE5">
        <w:rPr>
          <w:rFonts w:ascii="Arial" w:hAnsi="Arial" w:cs="Arial"/>
          <w:b w:val="0"/>
          <w:color w:val="202124"/>
          <w:sz w:val="24"/>
          <w:shd w:val="clear" w:color="auto" w:fill="FFFFFF"/>
        </w:rPr>
        <w:t>Improving Access to Psychological Therapies </w:t>
      </w:r>
      <w:r w:rsidRPr="00935DE5">
        <w:rPr>
          <w:rFonts w:ascii="Arial" w:hAnsi="Arial"/>
          <w:b w:val="0"/>
          <w:sz w:val="24"/>
        </w:rPr>
        <w:t>(IAPT) / Talking Therapies Practitioners already employed by the secondary care provider of community mental health services and working co-located within the relevant general practice as at 1 January 2021.</w:t>
      </w:r>
    </w:p>
    <w:p w14:paraId="2648B321" w14:textId="66BBE9FB" w:rsidR="008F2758" w:rsidRPr="00935DE5" w:rsidRDefault="008F2758" w:rsidP="00084AFF">
      <w:pPr>
        <w:pStyle w:val="h4numbered"/>
      </w:pPr>
      <w:r w:rsidRPr="00935DE5">
        <w:t>As set out in section</w:t>
      </w:r>
      <w:r w:rsidRPr="00935DE5">
        <w:rPr>
          <w:bCs/>
        </w:rPr>
        <w:t xml:space="preserve"> </w:t>
      </w:r>
      <w:r w:rsidRPr="00935DE5">
        <w:rPr>
          <w:b/>
        </w:rPr>
        <w:fldChar w:fldCharType="begin"/>
      </w:r>
      <w:r w:rsidRPr="00935DE5">
        <w:rPr>
          <w:bCs/>
        </w:rPr>
        <w:instrText xml:space="preserve"> REF _Ref34925298 \n \h </w:instrText>
      </w:r>
      <w:r w:rsidR="00935DE5">
        <w:instrText xml:space="preserve"> \* MERGEFORMAT </w:instrText>
      </w:r>
      <w:r w:rsidRPr="00935DE5">
        <w:rPr>
          <w:b/>
        </w:rPr>
      </w:r>
      <w:r w:rsidRPr="00935DE5">
        <w:rPr>
          <w:b/>
        </w:rPr>
        <w:fldChar w:fldCharType="separate"/>
      </w:r>
      <w:r w:rsidR="00BF21BB">
        <w:rPr>
          <w:bCs/>
        </w:rPr>
        <w:t>7.5.1</w:t>
      </w:r>
      <w:r w:rsidRPr="00935DE5">
        <w:rPr>
          <w:b/>
        </w:rPr>
        <w:fldChar w:fldCharType="end"/>
      </w:r>
      <w:r w:rsidRPr="00935DE5">
        <w:t xml:space="preserve"> below, any clinical pharmacists who transferred to the PCN by either 31 March 2020 or transferred between 1 April 2021 to 30 September 2021, are exempt from the PCN baseline providing the post was included in the PCN baseline established on 31 March 2019. Similarly, as set out in section </w:t>
      </w:r>
      <w:r w:rsidRPr="00935DE5">
        <w:rPr>
          <w:b/>
        </w:rPr>
        <w:fldChar w:fldCharType="begin"/>
      </w:r>
      <w:r w:rsidRPr="00935DE5">
        <w:instrText xml:space="preserve"> REF _Ref66359300 \n \h  \* MERGEFORMAT </w:instrText>
      </w:r>
      <w:r w:rsidRPr="00935DE5">
        <w:rPr>
          <w:b/>
        </w:rPr>
      </w:r>
      <w:r w:rsidRPr="00935DE5">
        <w:rPr>
          <w:b/>
        </w:rPr>
        <w:fldChar w:fldCharType="separate"/>
      </w:r>
      <w:r w:rsidR="00BF21BB">
        <w:t>7.5.2</w:t>
      </w:r>
      <w:r w:rsidRPr="00935DE5">
        <w:rPr>
          <w:b/>
        </w:rPr>
        <w:fldChar w:fldCharType="end"/>
      </w:r>
      <w:r w:rsidRPr="00935DE5">
        <w:t xml:space="preserve"> any pharmacists (clinical pharmacists and pharmacy technicians) employed under the </w:t>
      </w:r>
      <w:r w:rsidRPr="00935DE5">
        <w:rPr>
          <w:iCs/>
        </w:rPr>
        <w:t>Medicines Optimisation in Care Homes (MOCH) Scheme</w:t>
      </w:r>
      <w:r w:rsidRPr="00935DE5">
        <w:t xml:space="preserve"> who were included in the PCN baseline established on 31 March 2019 and who transferred by 30 September</w:t>
      </w:r>
      <w:r w:rsidRPr="00935DE5">
        <w:rPr>
          <w:iCs/>
        </w:rPr>
        <w:t xml:space="preserve"> </w:t>
      </w:r>
      <w:r w:rsidRPr="00935DE5">
        <w:t>2021 are exempt from the additionality rules.</w:t>
      </w:r>
    </w:p>
    <w:p w14:paraId="57CB1CB2" w14:textId="20FADF73" w:rsidR="008F2758" w:rsidRPr="00935DE5" w:rsidRDefault="008F2758" w:rsidP="00084AFF">
      <w:pPr>
        <w:pStyle w:val="h4numbered"/>
      </w:pPr>
      <w:r w:rsidRPr="00935DE5">
        <w:t xml:space="preserve">Baseline posts occupied by fixed term appointed staff can be considered to be ‘filled’ only if they are part of a long-term arrangement, which </w:t>
      </w:r>
      <w:r w:rsidR="00DE7084">
        <w:t xml:space="preserve">must </w:t>
      </w:r>
      <w:r w:rsidRPr="00935DE5">
        <w:t xml:space="preserve">be in place for a minimum of six months or more. Equally, PCNs will only be eligible to claim reimbursement for additional posts to be occupied by staff on fixed-term contracts, if these are for a minimum period of six months or more, unless the purpose is to provide temporary cover (e.g. sickness or parental leave) for an individual employed through the Additional Roles Reimbursement </w:t>
      </w:r>
      <w:r w:rsidRPr="008D4763">
        <w:t>Scheme</w:t>
      </w:r>
      <w:r w:rsidR="0058424B" w:rsidRPr="008D4763">
        <w:t xml:space="preserve"> </w:t>
      </w:r>
      <w:r w:rsidR="0052097A" w:rsidRPr="009E4CB6">
        <w:rPr>
          <w:rFonts w:hint="eastAsia"/>
        </w:rPr>
        <w:t>or they are a General Medical Practitioner employed or engaged in a permanent role for less than six months</w:t>
      </w:r>
      <w:r w:rsidRPr="00935DE5">
        <w:t>. In these circumstances, PCNs will be able to claim up to the maximum reimbursement amount per WTE as set out in the Network Contract DES Specification for actual salary plus employer on-costs (NI and pension), pro-rata for the period of the contract of employment and relevant WTE.</w:t>
      </w:r>
    </w:p>
    <w:p w14:paraId="2AC316FE" w14:textId="77777777" w:rsidR="00BA39ED" w:rsidRDefault="008F2758" w:rsidP="00084AFF">
      <w:pPr>
        <w:pStyle w:val="h4numbered"/>
      </w:pPr>
      <w:r w:rsidRPr="00935DE5">
        <w:t>The Additional Roles Reimbursement Scheme cannot distinguish between staff with different job descriptions e.g. a MSK physiotherapist is the same as a non-MSK physiotherapist for the purposes of the baseline and additionality, so long as both roles have an element of patient-facing or first contact care time in specific practices or in the wider neighbourhood or community.</w:t>
      </w:r>
    </w:p>
    <w:p w14:paraId="66A98FE0" w14:textId="435CC572" w:rsidR="00C6542F" w:rsidRPr="0080630B" w:rsidRDefault="00BA39ED" w:rsidP="00084AFF">
      <w:pPr>
        <w:pStyle w:val="h4numbered"/>
      </w:pPr>
      <w:r w:rsidRPr="009E4CB6">
        <w:rPr>
          <w:rFonts w:hint="eastAsia"/>
        </w:rPr>
        <w:lastRenderedPageBreak/>
        <w:t xml:space="preserve">The Additional Role Reimbursement Scheme does not apply to General Medical Practitioners who </w:t>
      </w:r>
      <w:r w:rsidR="00603A72" w:rsidRPr="00A23620">
        <w:rPr>
          <w:highlight w:val="yellow"/>
        </w:rPr>
        <w:t>have been</w:t>
      </w:r>
      <w:r w:rsidR="00345690">
        <w:t xml:space="preserve"> </w:t>
      </w:r>
      <w:r w:rsidR="00595AD4">
        <w:t>s</w:t>
      </w:r>
      <w:r w:rsidR="006B224F" w:rsidRPr="009E4CB6">
        <w:rPr>
          <w:rFonts w:hint="eastAsia"/>
        </w:rPr>
        <w:t xml:space="preserve">ubstantively employed </w:t>
      </w:r>
      <w:r w:rsidR="0052097A" w:rsidRPr="009E4CB6">
        <w:rPr>
          <w:rFonts w:hint="eastAsia"/>
        </w:rPr>
        <w:t xml:space="preserve">as a General Medical Practitioner </w:t>
      </w:r>
      <w:r w:rsidR="006B224F" w:rsidRPr="009E4CB6">
        <w:rPr>
          <w:rFonts w:hint="eastAsia"/>
        </w:rPr>
        <w:t xml:space="preserve">in </w:t>
      </w:r>
      <w:r w:rsidR="00603A72" w:rsidRPr="00A23620">
        <w:rPr>
          <w:highlight w:val="yellow"/>
        </w:rPr>
        <w:t>any of the Core Network Practices of the PCN in the previous 12 months</w:t>
      </w:r>
      <w:r w:rsidR="00E70CA1" w:rsidRPr="009E4CB6">
        <w:rPr>
          <w:rFonts w:hint="eastAsia"/>
        </w:rPr>
        <w:t>.</w:t>
      </w:r>
      <w:r w:rsidR="00443493" w:rsidRPr="009E4CB6">
        <w:rPr>
          <w:rFonts w:hint="eastAsia"/>
        </w:rPr>
        <w:t xml:space="preserve"> This is in order to ensure that practices will not be able to move existing general medical practitioners (funded from practice cont</w:t>
      </w:r>
      <w:r w:rsidR="00BE54F6" w:rsidRPr="009E4CB6">
        <w:rPr>
          <w:rFonts w:hint="eastAsia"/>
        </w:rPr>
        <w:t>r</w:t>
      </w:r>
      <w:r w:rsidR="00443493" w:rsidRPr="009E4CB6">
        <w:rPr>
          <w:rFonts w:hint="eastAsia"/>
        </w:rPr>
        <w:t>act funding) into the Additional Role Reimbursement Scheme, upholding the principles of additionality.</w:t>
      </w:r>
      <w:r w:rsidR="00603A72">
        <w:t xml:space="preserve"> </w:t>
      </w:r>
      <w:r w:rsidR="00603A72" w:rsidRPr="00A23620">
        <w:rPr>
          <w:highlight w:val="yellow"/>
        </w:rPr>
        <w:t>Where a General Medical Practitioner was employed or engaged to provide temporary cover (e.g. to cover maternity or sickness leave) within one or more Core Network Practices of the PCN within the previous 12 months, then this will not be considered being substantively employed</w:t>
      </w:r>
      <w:r w:rsidR="00D7498D" w:rsidRPr="00A23620">
        <w:rPr>
          <w:highlight w:val="yellow"/>
        </w:rPr>
        <w:t>.</w:t>
      </w:r>
      <w:r w:rsidR="00443493" w:rsidRPr="009E4CB6">
        <w:rPr>
          <w:rFonts w:hint="eastAsia"/>
        </w:rPr>
        <w:t xml:space="preserve"> </w:t>
      </w:r>
      <w:r w:rsidR="00787E6A" w:rsidRPr="009E4CB6">
        <w:rPr>
          <w:rFonts w:hint="eastAsia"/>
        </w:rPr>
        <w:t xml:space="preserve">Commissioners will have </w:t>
      </w:r>
      <w:r w:rsidR="00F01C3A" w:rsidRPr="009E4CB6">
        <w:rPr>
          <w:rFonts w:hint="eastAsia"/>
        </w:rPr>
        <w:t xml:space="preserve">local </w:t>
      </w:r>
      <w:r w:rsidR="00787E6A" w:rsidRPr="009E4CB6">
        <w:rPr>
          <w:rFonts w:hint="eastAsia"/>
        </w:rPr>
        <w:t xml:space="preserve">discretion </w:t>
      </w:r>
      <w:r w:rsidR="00F01C3A" w:rsidRPr="009E4CB6">
        <w:rPr>
          <w:rFonts w:hint="eastAsia"/>
        </w:rPr>
        <w:t xml:space="preserve">to determine if </w:t>
      </w:r>
      <w:r w:rsidR="00BC51B6" w:rsidRPr="009E4CB6">
        <w:rPr>
          <w:rFonts w:hint="eastAsia"/>
        </w:rPr>
        <w:t xml:space="preserve">a General Medical Practitioner </w:t>
      </w:r>
      <w:r w:rsidR="00F01C3A" w:rsidRPr="009E4CB6">
        <w:rPr>
          <w:rFonts w:hint="eastAsia"/>
        </w:rPr>
        <w:t xml:space="preserve">has </w:t>
      </w:r>
      <w:r w:rsidR="0052097A" w:rsidRPr="009E4CB6">
        <w:rPr>
          <w:rFonts w:hint="eastAsia"/>
        </w:rPr>
        <w:t xml:space="preserve">or has not </w:t>
      </w:r>
      <w:r w:rsidR="00F01C3A" w:rsidRPr="009E4CB6">
        <w:rPr>
          <w:rFonts w:hint="eastAsia"/>
        </w:rPr>
        <w:t xml:space="preserve">been substantively employed </w:t>
      </w:r>
      <w:r w:rsidR="00D7498D" w:rsidRPr="00A23620">
        <w:rPr>
          <w:highlight w:val="yellow"/>
        </w:rPr>
        <w:t>by any of the Core Network Practices within the previous 12 months.</w:t>
      </w:r>
      <w:r w:rsidR="00D7498D">
        <w:t xml:space="preserve"> </w:t>
      </w:r>
      <w:r w:rsidR="004129A5" w:rsidRPr="004129A5">
        <w:rPr>
          <w:highlight w:val="yellow"/>
        </w:rPr>
        <w:t>Where the PCN has been claiming for General Medical Practitioners that complied with the claiming requirements for General Medical Practitioners set out in the previous year's Network Contract DES Specification, and the relevant General Medical Practitioner continues to be employed, the PCN can continue to claim in respect of that General Medical Practitioner.</w:t>
      </w:r>
    </w:p>
    <w:p w14:paraId="62F227CF" w14:textId="4C966265" w:rsidR="00C6542F" w:rsidRPr="0080630B" w:rsidRDefault="00834E9F" w:rsidP="00084AFF">
      <w:pPr>
        <w:pStyle w:val="h4numbered"/>
      </w:pPr>
      <w:r w:rsidRPr="0080630B">
        <w:t>The Additional Roles Reimbursement Scheme does not apply to either new to general practice nurses or experienced general practice nurses who have held a post in the PCN</w:t>
      </w:r>
      <w:r w:rsidR="00467E72" w:rsidRPr="0080630B">
        <w:t xml:space="preserve"> </w:t>
      </w:r>
      <w:r w:rsidR="00220067" w:rsidRPr="0080630B">
        <w:t>or any practice within the PCN</w:t>
      </w:r>
      <w:r w:rsidR="00F236DD" w:rsidRPr="0080630B">
        <w:t>, within the past 12 months</w:t>
      </w:r>
      <w:r w:rsidR="00220067" w:rsidRPr="0080630B">
        <w:t>, unless the nurse is being recruited to a specialist or more senior nursing role</w:t>
      </w:r>
      <w:r w:rsidR="00F236DD" w:rsidRPr="0080630B">
        <w:t xml:space="preserve">.  </w:t>
      </w:r>
      <w:r w:rsidRPr="0080630B">
        <w:t xml:space="preserve"> </w:t>
      </w:r>
    </w:p>
    <w:p w14:paraId="70CD8EAE" w14:textId="77777777" w:rsidR="008F2758" w:rsidRPr="00F55944" w:rsidRDefault="008F2758" w:rsidP="00DD6A69">
      <w:pPr>
        <w:pStyle w:val="Heading5"/>
        <w:keepNext w:val="0"/>
        <w:keepLines w:val="0"/>
        <w:spacing w:line="276" w:lineRule="auto"/>
        <w:ind w:left="851"/>
        <w:rPr>
          <w:rFonts w:hint="eastAsia"/>
        </w:rPr>
      </w:pPr>
      <w:bookmarkStart w:id="136" w:name="_Toc36557276"/>
      <w:bookmarkStart w:id="137" w:name="_Toc150156003"/>
      <w:r w:rsidRPr="0080630B">
        <w:t>Changes to PCN baselines and staffing levels</w:t>
      </w:r>
      <w:bookmarkEnd w:id="136"/>
      <w:bookmarkEnd w:id="137"/>
    </w:p>
    <w:p w14:paraId="07A3788E" w14:textId="5DB912DC" w:rsidR="008F2758" w:rsidRPr="00935DE5" w:rsidRDefault="008F2758" w:rsidP="00084AFF">
      <w:pPr>
        <w:pStyle w:val="h4numbered"/>
      </w:pPr>
      <w:r w:rsidRPr="00935DE5">
        <w:t>It is expected that PCN staffing levels will change from time to time. PCNs will be required to notify commissioners at the earliest opportunity of any changes to staffing levels, which may affect the PCN’s reimbursement entitlement. The mandatory online claim portal includes a section to notify commissioners of any changes</w:t>
      </w:r>
      <w:r w:rsidR="00B910D8">
        <w:t xml:space="preserve"> </w:t>
      </w:r>
      <w:r w:rsidR="00B910D8" w:rsidRPr="00BE1C90">
        <w:rPr>
          <w:highlight w:val="yellow"/>
        </w:rPr>
        <w:t>(</w:t>
      </w:r>
      <w:hyperlink r:id="rId14" w:history="1">
        <w:r w:rsidR="00B910D8" w:rsidRPr="00BE1C90">
          <w:rPr>
            <w:rStyle w:val="Hyperlink"/>
            <w:rFonts w:ascii="Arial" w:hAnsi="Arial"/>
            <w:highlight w:val="yellow"/>
          </w:rPr>
          <w:t>ARRS PCN claims portal - PCNs and Practices Support Hub - Futures</w:t>
        </w:r>
      </w:hyperlink>
      <w:r w:rsidR="0031736C" w:rsidRPr="00BE1C90">
        <w:rPr>
          <w:highlight w:val="yellow"/>
        </w:rPr>
        <w:t>).</w:t>
      </w:r>
    </w:p>
    <w:p w14:paraId="398EF37E" w14:textId="77777777" w:rsidR="008F2758" w:rsidRPr="00935DE5" w:rsidRDefault="008F2758" w:rsidP="00084AFF">
      <w:pPr>
        <w:pStyle w:val="h4numbered"/>
      </w:pPr>
      <w:r w:rsidRPr="00935DE5">
        <w:t>The PCN should notify the commissioner that a member of staff who is in the PCN baseline or for which the PCN is claiming reimbursement will cease or has ceased to work for the PCN or (for PCN baseline roles) a Core Network Practice. Where possible, the PCN should notify the commissioner in advance of the member of staff’s last day of employment (or the last day of the sub-contract where applicable) but no later than the last day of the calendar month in which the member of staff ceased to be employed</w:t>
      </w:r>
      <w:r w:rsidRPr="00935DE5">
        <w:rPr>
          <w:szCs w:val="24"/>
        </w:rPr>
        <w:t>/engaged</w:t>
      </w:r>
      <w:r w:rsidRPr="00935DE5">
        <w:t>.</w:t>
      </w:r>
    </w:p>
    <w:p w14:paraId="3EF35120" w14:textId="56A2DD8E" w:rsidR="008F2758" w:rsidRPr="004C594F" w:rsidRDefault="008F2758" w:rsidP="00084AFF">
      <w:pPr>
        <w:pStyle w:val="h4numbered"/>
        <w:rPr>
          <w:b/>
        </w:rPr>
      </w:pPr>
      <w:r w:rsidRPr="00935DE5">
        <w:t xml:space="preserve">Where a vacancy arises in a Core Network Practices’ PCN baseline WTE, the PCN </w:t>
      </w:r>
      <w:r w:rsidR="00DE3E83">
        <w:t xml:space="preserve">must </w:t>
      </w:r>
      <w:r w:rsidRPr="00935DE5">
        <w:t xml:space="preserve">apply an equivalent WTE reduction in their workforce funding under the Network Contract DES Additional Roles Reimbursement Scheme. </w:t>
      </w:r>
      <w:r w:rsidRPr="00935DE5">
        <w:lastRenderedPageBreak/>
        <w:t xml:space="preserve">This reduction will be applied from three months (a three-month grace period) after the date at which the vacancy arose and which resulted in the PCN baseline reduction. For example, if one WTE post becomes vacant in a PCN’s baseline and is not recruited to within three months, the PCN </w:t>
      </w:r>
      <w:r w:rsidR="00DE3E83">
        <w:t>must</w:t>
      </w:r>
      <w:r w:rsidRPr="00935DE5">
        <w:t xml:space="preserve"> deduct one WTE from its reimbursement claim until such time as the PCN baseline vacancy is filled, in order to maintain the principle of reimbursement for additional workforce. Sections 7.2.3 and 10 of the Network Contract DES Specification provide further information.</w:t>
      </w:r>
    </w:p>
    <w:p w14:paraId="177C11DE" w14:textId="77777777" w:rsidR="008F2758" w:rsidRPr="00F55944" w:rsidRDefault="008F2758" w:rsidP="00DD6A69">
      <w:pPr>
        <w:pStyle w:val="h3numbered"/>
        <w:keepNext/>
        <w:keepLines/>
        <w:rPr>
          <w:lang w:eastAsia="en-GB"/>
        </w:rPr>
      </w:pPr>
      <w:bookmarkStart w:id="138" w:name="_Toc36557277"/>
      <w:bookmarkStart w:id="139" w:name="_Toc150156004"/>
      <w:bookmarkStart w:id="140" w:name="_Toc223511141"/>
      <w:bookmarkStart w:id="141" w:name="_Toc223511429"/>
      <w:r w:rsidRPr="00F55944">
        <w:rPr>
          <w:lang w:eastAsia="en-GB"/>
        </w:rPr>
        <w:t>Transfer of clinical pharmacists and pharmacy technicians</w:t>
      </w:r>
      <w:bookmarkEnd w:id="138"/>
      <w:bookmarkEnd w:id="139"/>
      <w:bookmarkEnd w:id="140"/>
      <w:bookmarkEnd w:id="141"/>
    </w:p>
    <w:p w14:paraId="07769830" w14:textId="77777777" w:rsidR="008F2758" w:rsidRPr="00DD6A69" w:rsidRDefault="008F2758" w:rsidP="00DD6A69">
      <w:pPr>
        <w:pStyle w:val="Heading4"/>
        <w:keepNext w:val="0"/>
        <w:spacing w:line="276" w:lineRule="auto"/>
        <w:ind w:left="851"/>
        <w:rPr>
          <w:rFonts w:hint="eastAsia"/>
          <w:sz w:val="24"/>
          <w:szCs w:val="18"/>
        </w:rPr>
      </w:pPr>
      <w:bookmarkStart w:id="142" w:name="_Toc36557278"/>
      <w:bookmarkStart w:id="143" w:name="_Toc150156005"/>
      <w:r w:rsidRPr="00DD6A69">
        <w:rPr>
          <w:sz w:val="24"/>
          <w:szCs w:val="18"/>
        </w:rPr>
        <w:t>Transfer of clinical pharmacists from the Clinical Pharmacist in General Practice Scheme</w:t>
      </w:r>
      <w:bookmarkEnd w:id="142"/>
      <w:bookmarkEnd w:id="143"/>
    </w:p>
    <w:p w14:paraId="356687E6" w14:textId="77777777" w:rsidR="008F2758" w:rsidRPr="0015259B" w:rsidRDefault="008F2758" w:rsidP="00084AFF">
      <w:pPr>
        <w:pStyle w:val="h4numbered"/>
      </w:pPr>
      <w:bookmarkStart w:id="144" w:name="_Ref34925298"/>
      <w:r w:rsidRPr="0015259B">
        <w:t>Any clinical pharmacists who were in post as at 31 March 2019 under the Clinical Pharmacist in General Practice Scheme were required to transfer to the PCN by 31 March 2020 in order to be eligible for funding through the Additional Roles Reimbursement Scheme and to be exempt from the PCN baseline. A further opportunity was also then made available between 1 April 2021 and 30 September 2021 for any clinical pharmacists still employed under this scheme on 31 March 2021 to transfer and be eligible for funding through the Additional Roles Reimbursement Scheme. Practices are responsible for fully funding any clinical pharmacist posts which have not transferred after the tapering of the Clinical Pharmacist in General Practice Scheme funding.</w:t>
      </w:r>
      <w:bookmarkEnd w:id="144"/>
    </w:p>
    <w:p w14:paraId="59216480" w14:textId="77777777" w:rsidR="008F2758" w:rsidRPr="00DD6A69" w:rsidRDefault="008F2758" w:rsidP="00DD6A69">
      <w:pPr>
        <w:pStyle w:val="Heading4"/>
        <w:keepNext w:val="0"/>
        <w:spacing w:line="276" w:lineRule="auto"/>
        <w:ind w:left="851"/>
        <w:rPr>
          <w:rFonts w:hint="eastAsia"/>
          <w:sz w:val="24"/>
          <w:szCs w:val="18"/>
        </w:rPr>
      </w:pPr>
      <w:bookmarkStart w:id="145" w:name="_Toc36557279"/>
      <w:bookmarkStart w:id="146" w:name="_Toc150156006"/>
      <w:r w:rsidRPr="00DD6A69">
        <w:rPr>
          <w:sz w:val="24"/>
          <w:szCs w:val="18"/>
        </w:rPr>
        <w:t>Transfer of pharmacists from the Medicines Optimisation in Care Homes Scheme</w:t>
      </w:r>
      <w:bookmarkEnd w:id="145"/>
      <w:bookmarkEnd w:id="146"/>
    </w:p>
    <w:p w14:paraId="776AEB15" w14:textId="5040CA62" w:rsidR="008F2758" w:rsidRPr="00ED24B8" w:rsidRDefault="008F2758" w:rsidP="00084AFF">
      <w:pPr>
        <w:pStyle w:val="h4numbered"/>
      </w:pPr>
      <w:bookmarkStart w:id="147" w:name="_Ref34767222"/>
      <w:bookmarkStart w:id="148" w:name="_Ref66359300"/>
      <w:r w:rsidRPr="00ED24B8">
        <w:t xml:space="preserve">For all pharmacists (clinical pharmacists and pharmacy technicians) employed under the Medicines Optimisation in Care Homes (MOCH) Scheme, transfer to the PCN </w:t>
      </w:r>
      <w:r w:rsidR="00DE3E83">
        <w:t>must</w:t>
      </w:r>
      <w:r w:rsidRPr="00ED24B8">
        <w:t xml:space="preserve"> have taken place by no later than 31 March 2021.</w:t>
      </w:r>
      <w:bookmarkEnd w:id="147"/>
      <w:r w:rsidRPr="00ED24B8">
        <w:t xml:space="preserve"> A further opportunity was made available between 1 April 2021 and 30 September 2021 for any MOCH pharmacists still employed under this scheme on 31 March 2021 to transfer and be eligible for funding through the Additional Roles Reimbursement Scheme.</w:t>
      </w:r>
      <w:bookmarkEnd w:id="148"/>
    </w:p>
    <w:p w14:paraId="5A814D93" w14:textId="2A522BBB" w:rsidR="008F2758" w:rsidRDefault="008F2758" w:rsidP="00084AFF">
      <w:pPr>
        <w:pStyle w:val="h4numbered"/>
      </w:pPr>
      <w:bookmarkStart w:id="149" w:name="_Ref34767227"/>
      <w:r w:rsidRPr="00ED24B8">
        <w:t>Where MOCH pharmacists do not transfer, commissioners are required to align the priorities of the CCG commissioned MOCH team to that of the Enhanced Health in Care Homes service requirements outlined in section 8.3 the Network Contract DES Specification.</w:t>
      </w:r>
      <w:bookmarkEnd w:id="149"/>
      <w:r w:rsidR="00217F40">
        <w:t xml:space="preserve"> This will include:</w:t>
      </w:r>
    </w:p>
    <w:p w14:paraId="67E0923E" w14:textId="77777777" w:rsidR="00217F40" w:rsidRPr="00F57D65" w:rsidRDefault="00217F40" w:rsidP="000741C5">
      <w:pPr>
        <w:pStyle w:val="Heading4"/>
        <w:keepNext w:val="0"/>
        <w:numPr>
          <w:ilvl w:val="1"/>
          <w:numId w:val="46"/>
        </w:numPr>
        <w:spacing w:line="276" w:lineRule="auto"/>
        <w:ind w:left="2268" w:hanging="567"/>
        <w:rPr>
          <w:rFonts w:ascii="Arial" w:hAnsi="Arial"/>
          <w:b w:val="0"/>
          <w:sz w:val="24"/>
        </w:rPr>
      </w:pPr>
      <w:r w:rsidRPr="00F57D65">
        <w:rPr>
          <w:rFonts w:ascii="Arial" w:hAnsi="Arial"/>
          <w:b w:val="0"/>
          <w:sz w:val="24"/>
        </w:rPr>
        <w:t>supporting care homes with local policies and procedures, training, vaccinations and provide support for any challenges the home may have, including:</w:t>
      </w:r>
    </w:p>
    <w:p w14:paraId="2D574F8F" w14:textId="750A9142" w:rsidR="00217F40" w:rsidRPr="00F57D65" w:rsidRDefault="00217F40" w:rsidP="000741C5">
      <w:pPr>
        <w:pStyle w:val="Heading4"/>
        <w:keepNext w:val="0"/>
        <w:numPr>
          <w:ilvl w:val="0"/>
          <w:numId w:val="52"/>
        </w:numPr>
        <w:spacing w:line="276" w:lineRule="auto"/>
        <w:ind w:left="2694" w:hanging="426"/>
        <w:rPr>
          <w:rFonts w:ascii="Arial" w:hAnsi="Arial"/>
          <w:b w:val="0"/>
          <w:sz w:val="24"/>
        </w:rPr>
      </w:pPr>
      <w:r w:rsidRPr="00F57D65">
        <w:rPr>
          <w:rFonts w:ascii="Arial" w:hAnsi="Arial"/>
          <w:b w:val="0"/>
          <w:sz w:val="24"/>
        </w:rPr>
        <w:t>ordering and storage of medicines to reduce waste</w:t>
      </w:r>
      <w:r w:rsidR="007D4D02">
        <w:rPr>
          <w:rFonts w:ascii="Arial" w:hAnsi="Arial"/>
          <w:b w:val="0"/>
          <w:sz w:val="24"/>
        </w:rPr>
        <w:t>;</w:t>
      </w:r>
    </w:p>
    <w:p w14:paraId="705E2A3D" w14:textId="35E0A5FC" w:rsidR="007D4D02" w:rsidRDefault="00217F40" w:rsidP="000741C5">
      <w:pPr>
        <w:pStyle w:val="Heading4"/>
        <w:keepNext w:val="0"/>
        <w:numPr>
          <w:ilvl w:val="0"/>
          <w:numId w:val="52"/>
        </w:numPr>
        <w:spacing w:line="276" w:lineRule="auto"/>
        <w:ind w:left="2694" w:hanging="426"/>
        <w:rPr>
          <w:rFonts w:ascii="Arial" w:hAnsi="Arial"/>
          <w:b w:val="0"/>
          <w:sz w:val="24"/>
        </w:rPr>
      </w:pPr>
      <w:r w:rsidRPr="007D4D02">
        <w:rPr>
          <w:rFonts w:ascii="Arial" w:hAnsi="Arial"/>
          <w:b w:val="0"/>
          <w:sz w:val="24"/>
        </w:rPr>
        <w:lastRenderedPageBreak/>
        <w:t>supporting care planning and comprehensive geriatric assessments (CGA) structured medication reviews</w:t>
      </w:r>
      <w:r w:rsidR="007D4D02">
        <w:rPr>
          <w:rFonts w:ascii="Arial" w:hAnsi="Arial"/>
          <w:b w:val="0"/>
          <w:sz w:val="24"/>
        </w:rPr>
        <w:t>;</w:t>
      </w:r>
    </w:p>
    <w:p w14:paraId="40501395" w14:textId="30184269" w:rsidR="007D4D02" w:rsidRDefault="00217F40" w:rsidP="000741C5">
      <w:pPr>
        <w:pStyle w:val="Heading4"/>
        <w:keepNext w:val="0"/>
        <w:numPr>
          <w:ilvl w:val="0"/>
          <w:numId w:val="52"/>
        </w:numPr>
        <w:spacing w:line="276" w:lineRule="auto"/>
        <w:ind w:left="2694" w:hanging="426"/>
        <w:rPr>
          <w:rFonts w:ascii="Arial" w:hAnsi="Arial"/>
          <w:b w:val="0"/>
          <w:sz w:val="24"/>
        </w:rPr>
      </w:pPr>
      <w:r w:rsidRPr="007D4D02">
        <w:rPr>
          <w:rFonts w:ascii="Arial" w:hAnsi="Arial"/>
          <w:b w:val="0"/>
          <w:sz w:val="24"/>
        </w:rPr>
        <w:t>link-in to community services, acute trusts and mental health services</w:t>
      </w:r>
      <w:r w:rsidR="007D4D02">
        <w:rPr>
          <w:rFonts w:ascii="Arial" w:hAnsi="Arial"/>
          <w:b w:val="0"/>
          <w:sz w:val="24"/>
        </w:rPr>
        <w:t>;</w:t>
      </w:r>
    </w:p>
    <w:p w14:paraId="324282AB" w14:textId="797A07AC" w:rsidR="007D4D02" w:rsidRDefault="00217F40" w:rsidP="000741C5">
      <w:pPr>
        <w:pStyle w:val="Heading4"/>
        <w:keepNext w:val="0"/>
        <w:numPr>
          <w:ilvl w:val="0"/>
          <w:numId w:val="52"/>
        </w:numPr>
        <w:spacing w:line="276" w:lineRule="auto"/>
        <w:ind w:left="2694" w:hanging="426"/>
        <w:rPr>
          <w:rFonts w:ascii="Arial" w:hAnsi="Arial"/>
          <w:b w:val="0"/>
          <w:sz w:val="24"/>
        </w:rPr>
      </w:pPr>
      <w:r w:rsidRPr="009E4CB6">
        <w:rPr>
          <w:rFonts w:ascii="Arial" w:hAnsi="Arial" w:hint="eastAsia"/>
          <w:b w:val="0"/>
          <w:sz w:val="24"/>
        </w:rPr>
        <w:t>supporting weekly care home rounds, working with the MDT</w:t>
      </w:r>
      <w:r w:rsidR="007D4D02">
        <w:rPr>
          <w:rFonts w:ascii="Arial" w:hAnsi="Arial"/>
          <w:b w:val="0"/>
          <w:sz w:val="24"/>
        </w:rPr>
        <w:t xml:space="preserve">; and </w:t>
      </w:r>
    </w:p>
    <w:p w14:paraId="7D20B514" w14:textId="2B95F0C5" w:rsidR="007D4D02" w:rsidRDefault="007D4D02" w:rsidP="000741C5">
      <w:pPr>
        <w:pStyle w:val="Heading4"/>
        <w:keepNext w:val="0"/>
        <w:numPr>
          <w:ilvl w:val="0"/>
          <w:numId w:val="52"/>
        </w:numPr>
        <w:spacing w:line="276" w:lineRule="auto"/>
        <w:ind w:left="2694" w:hanging="426"/>
        <w:rPr>
          <w:rFonts w:ascii="Arial" w:hAnsi="Arial"/>
          <w:b w:val="0"/>
          <w:sz w:val="24"/>
        </w:rPr>
      </w:pPr>
      <w:r w:rsidRPr="007D4D02">
        <w:rPr>
          <w:rFonts w:ascii="Arial" w:hAnsi="Arial"/>
          <w:b w:val="0"/>
          <w:sz w:val="24"/>
        </w:rPr>
        <w:t>working with the wider MDT (including external organisations) to support the delivery of Enhanced Health in Care Homes.</w:t>
      </w:r>
    </w:p>
    <w:p w14:paraId="2123B90B" w14:textId="77777777" w:rsidR="008F2758" w:rsidRPr="00F55944" w:rsidRDefault="008F2758" w:rsidP="00084AFF">
      <w:pPr>
        <w:pStyle w:val="h3numbered"/>
        <w:rPr>
          <w:lang w:eastAsia="en-GB"/>
        </w:rPr>
      </w:pPr>
      <w:bookmarkStart w:id="150" w:name="_Toc36557280"/>
      <w:bookmarkStart w:id="151" w:name="_Toc150156007"/>
      <w:bookmarkStart w:id="152" w:name="_Toc161994195"/>
      <w:bookmarkStart w:id="153" w:name="_Toc223511142"/>
      <w:bookmarkStart w:id="154" w:name="_Toc223511430"/>
      <w:r w:rsidRPr="00F55944">
        <w:rPr>
          <w:lang w:eastAsia="en-GB"/>
        </w:rPr>
        <w:t>Additional Roles Reimbursement Scheme claims process</w:t>
      </w:r>
      <w:bookmarkEnd w:id="150"/>
      <w:bookmarkEnd w:id="151"/>
      <w:bookmarkEnd w:id="152"/>
      <w:bookmarkEnd w:id="153"/>
      <w:bookmarkEnd w:id="154"/>
    </w:p>
    <w:p w14:paraId="00FDB227" w14:textId="77777777" w:rsidR="008F2758" w:rsidRPr="00F84B81" w:rsidRDefault="008F2758" w:rsidP="00084AFF">
      <w:pPr>
        <w:pStyle w:val="h4numbered"/>
      </w:pPr>
      <w:r w:rsidRPr="00F84B81">
        <w:t>Commissioners should ensure that any staff for which reimbursement is being claimed meet the requirements set out in section 10 of the Network Contract DES Specification.</w:t>
      </w:r>
    </w:p>
    <w:p w14:paraId="1294D2D3" w14:textId="62C58F71" w:rsidR="008F2758" w:rsidRPr="00F84B81" w:rsidRDefault="008F2758" w:rsidP="00084AFF">
      <w:pPr>
        <w:pStyle w:val="h4numbered"/>
      </w:pPr>
      <w:r w:rsidRPr="00F84B81">
        <w:t xml:space="preserve">PCNs </w:t>
      </w:r>
      <w:r w:rsidR="00F32935">
        <w:t>must</w:t>
      </w:r>
      <w:r w:rsidRPr="00F84B81">
        <w:t xml:space="preserve"> use the mandatory online claim portal for all workforce reimbursement claims under the Additional Roles Reimbursement Scheme, in accordance with sections 10.1, 10.2 and 10.5 of the Network Contract DES Specification. </w:t>
      </w:r>
      <w:r w:rsidR="00603A72" w:rsidRPr="00603A72">
        <w:rPr>
          <w:highlight w:val="yellow"/>
        </w:rPr>
        <w:t>PCNs must ensure that any claims for workforce include on the online portal a person's registration number where that person is subject to professional regulation and the relevant regulatory body has issued such a number.</w:t>
      </w:r>
      <w:r w:rsidRPr="00F84B81">
        <w:t xml:space="preserve"> may ask PCNs for further evidence to support new workforce reimbursement claims, which may include:</w:t>
      </w:r>
    </w:p>
    <w:p w14:paraId="34C8623D" w14:textId="77777777" w:rsidR="008F2758" w:rsidRPr="00F84B81" w:rsidRDefault="008F2758" w:rsidP="000741C5">
      <w:pPr>
        <w:pStyle w:val="Heading4"/>
        <w:keepNext w:val="0"/>
        <w:numPr>
          <w:ilvl w:val="1"/>
          <w:numId w:val="13"/>
        </w:numPr>
        <w:spacing w:line="276" w:lineRule="auto"/>
        <w:ind w:left="2268" w:hanging="567"/>
        <w:rPr>
          <w:rFonts w:ascii="Arial" w:hAnsi="Arial"/>
          <w:b w:val="0"/>
          <w:sz w:val="24"/>
        </w:rPr>
      </w:pPr>
      <w:r w:rsidRPr="00F84B81">
        <w:rPr>
          <w:rFonts w:ascii="Arial" w:hAnsi="Arial"/>
          <w:b w:val="0"/>
          <w:sz w:val="24"/>
        </w:rPr>
        <w:t>A signed contract of employment (can remove personal information where appropriate) clearly setting out the salary.</w:t>
      </w:r>
    </w:p>
    <w:p w14:paraId="066D99F3" w14:textId="77777777" w:rsidR="008F2758" w:rsidRPr="00F84B81" w:rsidRDefault="008F2758" w:rsidP="000741C5">
      <w:pPr>
        <w:pStyle w:val="Heading4"/>
        <w:keepNext w:val="0"/>
        <w:numPr>
          <w:ilvl w:val="1"/>
          <w:numId w:val="13"/>
        </w:numPr>
        <w:spacing w:line="276" w:lineRule="auto"/>
        <w:ind w:left="2268" w:hanging="567"/>
        <w:rPr>
          <w:rFonts w:ascii="Arial" w:hAnsi="Arial"/>
          <w:b w:val="0"/>
          <w:sz w:val="24"/>
        </w:rPr>
      </w:pPr>
      <w:r w:rsidRPr="00F84B81">
        <w:rPr>
          <w:rFonts w:ascii="Arial" w:hAnsi="Arial"/>
          <w:b w:val="0"/>
          <w:sz w:val="24"/>
        </w:rPr>
        <w:t>A contract/agreement with a provider for the provision of services.</w:t>
      </w:r>
    </w:p>
    <w:p w14:paraId="35B7C64F" w14:textId="77777777" w:rsidR="008F2758" w:rsidRPr="0080630B" w:rsidRDefault="008F2758" w:rsidP="000741C5">
      <w:pPr>
        <w:pStyle w:val="Heading4"/>
        <w:keepNext w:val="0"/>
        <w:numPr>
          <w:ilvl w:val="1"/>
          <w:numId w:val="13"/>
        </w:numPr>
        <w:spacing w:line="276" w:lineRule="auto"/>
        <w:ind w:left="2268" w:hanging="567"/>
        <w:rPr>
          <w:rFonts w:ascii="Arial" w:hAnsi="Arial"/>
          <w:b w:val="0"/>
          <w:sz w:val="24"/>
        </w:rPr>
      </w:pPr>
      <w:r w:rsidRPr="0080630B">
        <w:rPr>
          <w:rFonts w:ascii="Arial" w:hAnsi="Arial"/>
          <w:b w:val="0"/>
          <w:sz w:val="24"/>
        </w:rPr>
        <w:t>A copy of a Network Agreement – if used as the basis for sub-contracting for services/staff.</w:t>
      </w:r>
    </w:p>
    <w:p w14:paraId="76D47892" w14:textId="260A9562" w:rsidR="008F2758" w:rsidRPr="00F84B81" w:rsidRDefault="008F2758" w:rsidP="00084AFF">
      <w:pPr>
        <w:pStyle w:val="h4numbered"/>
      </w:pPr>
      <w:r w:rsidRPr="0080630B">
        <w:t xml:space="preserve">In </w:t>
      </w:r>
      <w:r w:rsidR="00B9736E">
        <w:t xml:space="preserve">the </w:t>
      </w:r>
      <w:r w:rsidR="00B9736E" w:rsidRPr="0080630B">
        <w:t>event the practice(s) within the PCN decide to engage the services of staff reimbursable under the Additional Roles Reimbursement Scheme via a sub-contracting arrangement, the PCN will need to agree with the sub-contractor the relevant costs of the service while bearing in mind the scheme rules. The rules are that reimbursement</w:t>
      </w:r>
      <w:r w:rsidR="00B9736E" w:rsidRPr="00F84B81">
        <w:t xml:space="preserve"> can only be claimed for 100 per cent, or 50 per cent for mental health practitioners, of actual salary plus employer on-costs (NI and pension) up to the maximum amount for the relevant role, as outlined in the Network Contract DES Specification and within the PCNs overall Additional Roles Reimbursement Sum</w:t>
      </w:r>
      <w:r w:rsidR="00B9736E" w:rsidRPr="00B9736E">
        <w:rPr>
          <w:b/>
        </w:rPr>
        <w:t>.</w:t>
      </w:r>
    </w:p>
    <w:p w14:paraId="3B80E9F7" w14:textId="38B2604A" w:rsidR="00B9736E" w:rsidRDefault="00B9736E" w:rsidP="00084AFF">
      <w:pPr>
        <w:pStyle w:val="h4numbered"/>
      </w:pPr>
      <w:r>
        <w:t xml:space="preserve">For </w:t>
      </w:r>
      <w:r w:rsidRPr="00F84B81">
        <w:t>social prescribing link workers engaged via a sub-contract to an organisation outside the PCN, and not directly employed, the reimbursement claim may include a</w:t>
      </w:r>
      <w:r>
        <w:t xml:space="preserve"> </w:t>
      </w:r>
      <w:r w:rsidRPr="00F84B81">
        <w:t xml:space="preserve">contribution towards the additional costs charged by a </w:t>
      </w:r>
      <w:r w:rsidRPr="00F84B81">
        <w:lastRenderedPageBreak/>
        <w:t xml:space="preserve">sub-contractor for the delivery of social prescribing services. See section </w:t>
      </w:r>
      <w:r w:rsidRPr="00F84B81">
        <w:rPr>
          <w:b/>
        </w:rPr>
        <w:fldChar w:fldCharType="begin"/>
      </w:r>
      <w:r w:rsidRPr="00F84B81">
        <w:instrText xml:space="preserve"> REF _Ref35437583 \n \h </w:instrText>
      </w:r>
      <w:r>
        <w:instrText xml:space="preserve"> \* MERGEFORMAT </w:instrText>
      </w:r>
      <w:r w:rsidRPr="00F84B81">
        <w:rPr>
          <w:b/>
        </w:rPr>
      </w:r>
      <w:r w:rsidRPr="00F84B81">
        <w:rPr>
          <w:b/>
        </w:rPr>
        <w:fldChar w:fldCharType="separate"/>
      </w:r>
      <w:r w:rsidR="00BF21BB">
        <w:t>10.1.8</w:t>
      </w:r>
      <w:r w:rsidRPr="00F84B81">
        <w:rPr>
          <w:b/>
        </w:rPr>
        <w:fldChar w:fldCharType="end"/>
      </w:r>
      <w:r w:rsidRPr="00F84B81">
        <w:t xml:space="preserve"> below for details.</w:t>
      </w:r>
    </w:p>
    <w:p w14:paraId="526D357B" w14:textId="6924954F" w:rsidR="008F2758" w:rsidRPr="00F84B81" w:rsidRDefault="008F2758" w:rsidP="00084AFF">
      <w:pPr>
        <w:pStyle w:val="h4numbered"/>
      </w:pPr>
      <w:r w:rsidRPr="00F84B81">
        <w:t>Commissioners should ensure that local processes are as straightforward as possible, with clear deadlines for submission of claims, and claims should be processed in a timely manner.</w:t>
      </w:r>
    </w:p>
    <w:p w14:paraId="7E7ABAEC" w14:textId="0D8D3CC0" w:rsidR="008F2758" w:rsidRPr="00F84B81" w:rsidRDefault="008F2758" w:rsidP="00084AFF">
      <w:pPr>
        <w:pStyle w:val="h4numbered"/>
      </w:pPr>
      <w:r w:rsidRPr="00F84B81">
        <w:t xml:space="preserve">Reimbursement claims will be subject to validation and any suspicion that deliberate attempts have been </w:t>
      </w:r>
      <w:r w:rsidRPr="00DE1803">
        <w:t>made</w:t>
      </w:r>
      <w:r w:rsidRPr="00F84B81">
        <w:t xml:space="preserve"> to subvert the additionality principles or to claim costs above and </w:t>
      </w:r>
      <w:r w:rsidRPr="00F84B81">
        <w:rPr>
          <w:bCs/>
        </w:rPr>
        <w:t>beyond</w:t>
      </w:r>
      <w:r w:rsidRPr="00F84B81">
        <w:t xml:space="preserve"> those allowable, will result in a referral for investigation as potential fraud</w:t>
      </w:r>
      <w:r w:rsidRPr="00F84B81">
        <w:rPr>
          <w:bCs/>
        </w:rPr>
        <w:t xml:space="preserve">. </w:t>
      </w:r>
      <w:r w:rsidRPr="00F84B81">
        <w:t xml:space="preserve">PCNs may be asked as part of the validation process to re-confirm the position regarding the number of filled baseline posts at the point a </w:t>
      </w:r>
      <w:r w:rsidRPr="00F84B81">
        <w:rPr>
          <w:rFonts w:cs="Arial"/>
          <w:szCs w:val="24"/>
        </w:rPr>
        <w:t>reimbursement</w:t>
      </w:r>
      <w:r w:rsidRPr="00F84B81">
        <w:t xml:space="preserve"> claim is made. They may also be asked to provide copies of sub-</w:t>
      </w:r>
      <w:r w:rsidR="004C594F" w:rsidRPr="004827DA">
        <w:rPr>
          <w:bCs/>
        </w:rPr>
        <w:t>c</w:t>
      </w:r>
      <w:r w:rsidRPr="00F84B81">
        <w:t>ontracting or Service Level Agreements where they are claiming for staff employed or supplied by a third party.</w:t>
      </w:r>
    </w:p>
    <w:p w14:paraId="5B3B64F8" w14:textId="77777777" w:rsidR="008F2758" w:rsidRPr="00F84B81" w:rsidRDefault="008F2758" w:rsidP="00084AFF">
      <w:pPr>
        <w:pStyle w:val="h4numbered"/>
      </w:pPr>
      <w:r w:rsidRPr="00F84B81">
        <w:t>Reimbursement will apply up to the Additional Roles Reimbursement Scheme cap and applies to actual salary plus employer on-costs (NI and pension) only, not to additional hours or recruitment and retention premia agreed in addition.</w:t>
      </w:r>
    </w:p>
    <w:p w14:paraId="7F1DDF2C" w14:textId="77777777" w:rsidR="008F2758" w:rsidRDefault="008F2758" w:rsidP="00084AFF">
      <w:pPr>
        <w:pStyle w:val="h4numbered"/>
      </w:pPr>
      <w:r w:rsidRPr="00F84B81">
        <w:t>Commissioners may claim back reimbursement monies where it becomes apparent that a PCN was not eligible to claim reimbursement under the Network Contract DES e.g. because it failed to declare a vacant baseline post.</w:t>
      </w:r>
    </w:p>
    <w:p w14:paraId="5E96B672" w14:textId="549876AF" w:rsidR="00A33DEC" w:rsidRPr="00BE1C90" w:rsidRDefault="0039257D" w:rsidP="00084AFF">
      <w:pPr>
        <w:pStyle w:val="h4numbered"/>
      </w:pPr>
      <w:r w:rsidRPr="00BE1C90">
        <w:t xml:space="preserve">ARRS funding is now included within ICB Primary Medical Care </w:t>
      </w:r>
      <w:r w:rsidR="0080630B" w:rsidRPr="00BE1C90">
        <w:t>Allocations,</w:t>
      </w:r>
      <w:r w:rsidRPr="00BE1C90">
        <w:t xml:space="preserve"> and the firm advice remains that ICBs should not transfer ARRS underspends against entitlements from one PCN to another to avoid the risk of ICB overspends in future years.</w:t>
      </w:r>
    </w:p>
    <w:p w14:paraId="065F5207" w14:textId="7EE4FAAE" w:rsidR="008F2758" w:rsidRPr="00F55944" w:rsidRDefault="0035573B" w:rsidP="00084AFF">
      <w:pPr>
        <w:pStyle w:val="h2numbered"/>
      </w:pPr>
      <w:bookmarkStart w:id="155" w:name="_Toc36557281"/>
      <w:bookmarkStart w:id="156" w:name="_Toc150156008"/>
      <w:r>
        <w:rPr>
          <w:rFonts w:eastAsiaTheme="minorHAnsi"/>
        </w:rPr>
        <w:tab/>
      </w:r>
      <w:bookmarkStart w:id="157" w:name="_Toc223511143"/>
      <w:bookmarkStart w:id="158" w:name="_Toc223511431"/>
      <w:r w:rsidR="008F2758" w:rsidRPr="007A7B63">
        <w:rPr>
          <w:rFonts w:eastAsiaTheme="minorHAnsi"/>
        </w:rPr>
        <w:t>Additional Roles Reimbursement Scheme Workforce</w:t>
      </w:r>
      <w:bookmarkEnd w:id="155"/>
      <w:bookmarkEnd w:id="156"/>
      <w:bookmarkEnd w:id="157"/>
      <w:bookmarkEnd w:id="158"/>
    </w:p>
    <w:p w14:paraId="11DA7B7C" w14:textId="77777777" w:rsidR="008F2758" w:rsidRPr="00F55944" w:rsidRDefault="008F2758" w:rsidP="00084AFF">
      <w:pPr>
        <w:pStyle w:val="h3numbered"/>
      </w:pPr>
      <w:bookmarkStart w:id="159" w:name="_Toc36557282"/>
      <w:bookmarkStart w:id="160" w:name="_Toc150156009"/>
      <w:bookmarkStart w:id="161" w:name="_Toc223511144"/>
      <w:bookmarkStart w:id="162" w:name="_Toc223511432"/>
      <w:r w:rsidRPr="00F55944">
        <w:t>Additional Roles</w:t>
      </w:r>
      <w:bookmarkEnd w:id="159"/>
      <w:bookmarkEnd w:id="160"/>
      <w:bookmarkEnd w:id="161"/>
      <w:bookmarkEnd w:id="162"/>
    </w:p>
    <w:p w14:paraId="33AF5D03" w14:textId="1B2BED91" w:rsidR="008F2758" w:rsidRPr="007A7B63" w:rsidRDefault="008F2758" w:rsidP="00084AFF">
      <w:pPr>
        <w:pStyle w:val="h4numbered"/>
      </w:pPr>
      <w:r w:rsidRPr="007A7B63">
        <w:t xml:space="preserve">A PCN may employ or engage any one or more of the reimbursable roles in accordance with the details set out in section 7 and section 10 of the Network Contract DES Specification. Annex B of the Network Contract DES Specification </w:t>
      </w:r>
      <w:r w:rsidRPr="0080630B">
        <w:t xml:space="preserve">sets out the minimum role requirements for each of the reimbursable roles from April </w:t>
      </w:r>
      <w:r w:rsidR="00384011">
        <w:rPr>
          <w:rFonts w:hint="eastAsia"/>
        </w:rPr>
        <w:t>202</w:t>
      </w:r>
      <w:r w:rsidR="00384011" w:rsidRPr="00211478">
        <w:rPr>
          <w:rFonts w:hint="eastAsia"/>
          <w:highlight w:val="yellow"/>
        </w:rPr>
        <w:t>6</w:t>
      </w:r>
      <w:r w:rsidR="00384011">
        <w:rPr>
          <w:rFonts w:hint="eastAsia"/>
        </w:rPr>
        <w:t xml:space="preserve"> </w:t>
      </w:r>
      <w:r w:rsidRPr="0080630B">
        <w:rPr>
          <w:rFonts w:hint="eastAsia"/>
        </w:rPr>
        <w:t>a</w:t>
      </w:r>
      <w:r w:rsidRPr="0080630B">
        <w:t>nd</w:t>
      </w:r>
      <w:r w:rsidRPr="007A7B63">
        <w:t xml:space="preserve"> the associated requirements placed on PCNs.</w:t>
      </w:r>
    </w:p>
    <w:p w14:paraId="5683CA32" w14:textId="77777777" w:rsidR="008F2758" w:rsidRPr="007A7B63" w:rsidRDefault="008F2758" w:rsidP="00084AFF">
      <w:pPr>
        <w:pStyle w:val="h4numbered"/>
      </w:pPr>
      <w:r w:rsidRPr="007A7B63">
        <w:t>This section provides additional information to support that included in the Network Contract DES and supporting materials available.</w:t>
      </w:r>
    </w:p>
    <w:p w14:paraId="652DF4C4" w14:textId="77777777" w:rsidR="008F2758" w:rsidRPr="00F55944" w:rsidRDefault="008F2758" w:rsidP="00084AFF">
      <w:pPr>
        <w:pStyle w:val="h3numbered"/>
        <w:rPr>
          <w:lang w:eastAsia="en-GB"/>
        </w:rPr>
      </w:pPr>
      <w:bookmarkStart w:id="163" w:name="_Toc26957665"/>
      <w:bookmarkStart w:id="164" w:name="_Toc36557283"/>
      <w:bookmarkStart w:id="165" w:name="_Toc150156010"/>
      <w:bookmarkStart w:id="166" w:name="_Toc223511145"/>
      <w:bookmarkStart w:id="167" w:name="_Toc223511433"/>
      <w:r w:rsidRPr="00F55944">
        <w:t>Role</w:t>
      </w:r>
      <w:r w:rsidRPr="00F55944">
        <w:rPr>
          <w:lang w:eastAsia="en-GB"/>
        </w:rPr>
        <w:t xml:space="preserve"> descriptions and terms and conditions</w:t>
      </w:r>
      <w:bookmarkEnd w:id="163"/>
      <w:bookmarkEnd w:id="164"/>
      <w:bookmarkEnd w:id="165"/>
      <w:bookmarkEnd w:id="166"/>
      <w:bookmarkEnd w:id="167"/>
    </w:p>
    <w:p w14:paraId="2D46A4CB" w14:textId="450A32D3" w:rsidR="008F2758" w:rsidRDefault="008F2758" w:rsidP="00084AFF">
      <w:pPr>
        <w:pStyle w:val="h4numbered"/>
      </w:pPr>
      <w:r w:rsidRPr="005A5D4D">
        <w:lastRenderedPageBreak/>
        <w:t xml:space="preserve">Employers of </w:t>
      </w:r>
      <w:r w:rsidRPr="008D4763">
        <w:t xml:space="preserve">staff </w:t>
      </w:r>
      <w:r w:rsidR="008B046E" w:rsidRPr="009E4CB6">
        <w:rPr>
          <w:rFonts w:hint="eastAsia"/>
        </w:rPr>
        <w:t>(other than General Medical Practitioners)</w:t>
      </w:r>
      <w:r w:rsidR="008B046E">
        <w:t xml:space="preserve"> </w:t>
      </w:r>
      <w:r w:rsidRPr="005A5D4D">
        <w:t>recruited under the Additional Roles Reimbursement Scheme will determine what terms and conditions, including salary, they offer new staff and may consider using Agenda for Change bands as a guideline. In doing so, they should take a fair approach with regards to remuneration relative to other staff already working within and across the PCN GP member practices.</w:t>
      </w:r>
    </w:p>
    <w:p w14:paraId="715732B1" w14:textId="3406A208" w:rsidR="008F2758" w:rsidRPr="005A5D4D" w:rsidRDefault="008F2758" w:rsidP="00084AFF">
      <w:pPr>
        <w:pStyle w:val="h4numbered"/>
      </w:pPr>
      <w:r w:rsidRPr="005A5D4D">
        <w:t xml:space="preserve">Employers will decide the job </w:t>
      </w:r>
      <w:r w:rsidRPr="008D4763">
        <w:t>descriptions</w:t>
      </w:r>
      <w:r w:rsidR="0052097A" w:rsidRPr="009E4CB6">
        <w:rPr>
          <w:rFonts w:hint="eastAsia"/>
        </w:rPr>
        <w:t>/job plans</w:t>
      </w:r>
      <w:r w:rsidRPr="008D4763">
        <w:t xml:space="preserve"> of their own staff, ensuring they incorporate the minimum role requirements outlined Annex</w:t>
      </w:r>
      <w:r w:rsidRPr="005A5D4D">
        <w:t xml:space="preserve"> B of the </w:t>
      </w:r>
      <w:r w:rsidRPr="00F91FC7">
        <w:t>Network Contract DES Specification</w:t>
      </w:r>
      <w:r w:rsidRPr="005A5D4D">
        <w:t xml:space="preserve"> and bearing in mind the abilities for the roles to support delivery of network services.</w:t>
      </w:r>
    </w:p>
    <w:p w14:paraId="0280AE06" w14:textId="671B806F" w:rsidR="008F2758" w:rsidRPr="005A5D4D" w:rsidRDefault="008F2758" w:rsidP="00084AFF">
      <w:pPr>
        <w:pStyle w:val="h4numbered"/>
      </w:pPr>
      <w:r w:rsidRPr="005A5D4D">
        <w:t>Decisions to amend terms and conditions of employment for existing staff is a matter for the employer following due process</w:t>
      </w:r>
      <w:r w:rsidR="0052097A">
        <w:t>.</w:t>
      </w:r>
    </w:p>
    <w:p w14:paraId="1C03C233" w14:textId="11DD5507" w:rsidR="008F2758" w:rsidRPr="005A5D4D" w:rsidRDefault="008F2758" w:rsidP="00084AFF">
      <w:pPr>
        <w:pStyle w:val="h4numbered"/>
      </w:pPr>
      <w:r w:rsidRPr="005A5D4D">
        <w:t xml:space="preserve">PCNs are able to employ staff </w:t>
      </w:r>
      <w:r w:rsidR="00E16A0D" w:rsidRPr="005A5D4D">
        <w:t>directly or</w:t>
      </w:r>
      <w:r w:rsidRPr="005A5D4D">
        <w:t xml:space="preserve"> engage them via a contract of service with a </w:t>
      </w:r>
      <w:r w:rsidR="00E16A0D" w:rsidRPr="005A5D4D">
        <w:t>third-party</w:t>
      </w:r>
      <w:r w:rsidRPr="005A5D4D">
        <w:t xml:space="preserve"> organisation. Where staff are engaged via third parties, these services may operate over a larger footprint than the PCN and may include the ‘pooling’ of funding from multiple PCNs. For example, two PCNs may each choose to commission a digital and transformation service from a </w:t>
      </w:r>
      <w:r w:rsidR="00E16A0D" w:rsidRPr="005A5D4D">
        <w:t>third-party</w:t>
      </w:r>
      <w:r w:rsidRPr="005A5D4D">
        <w:t xml:space="preserve"> provider by contributing funding for one FTE. This funding could cover staff working at different bands. The team then employed by the provider may then deliver services for each PCN.   </w:t>
      </w:r>
    </w:p>
    <w:p w14:paraId="7BFE6764" w14:textId="77777777" w:rsidR="008F2758" w:rsidRPr="00F55944" w:rsidRDefault="008F2758" w:rsidP="00084AFF">
      <w:pPr>
        <w:pStyle w:val="h3numbered"/>
        <w:rPr>
          <w:lang w:eastAsia="en-GB"/>
        </w:rPr>
      </w:pPr>
      <w:bookmarkStart w:id="168" w:name="_Toc36557284"/>
      <w:bookmarkStart w:id="169" w:name="_Toc150156011"/>
      <w:bookmarkStart w:id="170" w:name="_Toc223511146"/>
      <w:bookmarkStart w:id="171" w:name="_Toc223511434"/>
      <w:r w:rsidRPr="00F55944">
        <w:t>Clinical</w:t>
      </w:r>
      <w:r w:rsidRPr="00F55944">
        <w:rPr>
          <w:lang w:eastAsia="en-GB"/>
        </w:rPr>
        <w:t xml:space="preserve"> pharmacists</w:t>
      </w:r>
      <w:bookmarkEnd w:id="168"/>
      <w:bookmarkEnd w:id="169"/>
      <w:bookmarkEnd w:id="170"/>
      <w:bookmarkEnd w:id="171"/>
    </w:p>
    <w:p w14:paraId="20AEA777" w14:textId="77777777" w:rsidR="008F2758" w:rsidRPr="005A5D4D" w:rsidRDefault="008F2758" w:rsidP="00084AFF">
      <w:pPr>
        <w:pStyle w:val="h4numbered"/>
      </w:pPr>
      <w:r w:rsidRPr="005A5D4D">
        <w:t>A minimum of 0.5 WTE should apply to the clinical pharmacists employed via the Network Contract DES only if the clinical pharmacist is still enrolled on an approved 18-month training pathway or equivalent. This is to ensure the clinical pharmacist is able to access timely national training and can deliver continuity of care whilst working across multiple providers within the PCN.</w:t>
      </w:r>
    </w:p>
    <w:p w14:paraId="360E5C8C" w14:textId="77777777" w:rsidR="008F2758" w:rsidRPr="005A5D4D" w:rsidRDefault="008F2758" w:rsidP="00084AFF">
      <w:pPr>
        <w:pStyle w:val="h4numbered"/>
      </w:pPr>
      <w:bookmarkStart w:id="172" w:name="_Hlk62658450"/>
      <w:r w:rsidRPr="005A5D4D">
        <w:t xml:space="preserve">Clinical pharmacists being employed through the Network Contract DES funding will either be enrolled in or have qualified from an accredited training pathway that equips the </w:t>
      </w:r>
      <w:r w:rsidRPr="00DE1803">
        <w:t>pharmacist</w:t>
      </w:r>
      <w:r w:rsidRPr="005A5D4D">
        <w:t xml:space="preserve"> to be able to practise and prescribe safely and effectively in a primary care setting currently, the Clinical Pharmacist training pathway</w:t>
      </w:r>
      <w:r w:rsidRPr="005A5D4D">
        <w:rPr>
          <w:vertAlign w:val="superscript"/>
        </w:rPr>
        <w:footnoteReference w:id="12"/>
      </w:r>
      <w:r w:rsidRPr="005A5D4D">
        <w:rPr>
          <w:vertAlign w:val="superscript"/>
        </w:rPr>
        <w:t>,</w:t>
      </w:r>
      <w:r w:rsidRPr="005A5D4D">
        <w:rPr>
          <w:vertAlign w:val="superscript"/>
        </w:rPr>
        <w:footnoteReference w:id="13"/>
      </w:r>
      <w:r w:rsidRPr="005A5D4D">
        <w:t>) and in order to deliver the key responsibilities of the role. NHS England will be arranging a funding mechanism to allow all clinical pharmacists to access and complete an approved training pathway that equips the pharmacist to achieve this.</w:t>
      </w:r>
    </w:p>
    <w:bookmarkEnd w:id="172"/>
    <w:p w14:paraId="2C8EB405" w14:textId="77777777" w:rsidR="008F2758" w:rsidRPr="005A5D4D" w:rsidRDefault="008F2758" w:rsidP="00084AFF">
      <w:pPr>
        <w:pStyle w:val="h4numbered"/>
      </w:pPr>
      <w:r w:rsidRPr="005A5D4D">
        <w:lastRenderedPageBreak/>
        <w:t>Upon completing the training pathway, the clinical pharmacist receives a ‘Statement of Assessment and Progression’ which details the learning undertaken and confirms the assessments they have passed. This documentation is available in both hardcopy and electronic format. In addition to this, evidence of training need for any current or future employer can be access through the protected section of the website of the learning provider, which captures the learning of the Clinical Pharmacists participating in their training.</w:t>
      </w:r>
    </w:p>
    <w:p w14:paraId="11BCC142" w14:textId="77777777" w:rsidR="008F2758" w:rsidRPr="005A5D4D" w:rsidRDefault="008F2758" w:rsidP="00084AFF">
      <w:pPr>
        <w:pStyle w:val="h4numbered"/>
      </w:pPr>
      <w:r w:rsidRPr="005A5D4D">
        <w:t>This training requirement can be met with pre-existing qualifications / experience on the basis that it meets the learning objectives of the current approved training pathway funded by NHS England. The training will be modular and clinical pharmacists are only required to undertake the training they need to complete the portfolio requirements. This accreditation of prior learning should be undertaken by the supervising senior clinical / advanced practice pharmacist and Clinical Director for the PCN.</w:t>
      </w:r>
    </w:p>
    <w:p w14:paraId="123CE586" w14:textId="7A64C49D" w:rsidR="008F2758" w:rsidRPr="0035573B" w:rsidRDefault="008F2758" w:rsidP="0035573B">
      <w:pPr>
        <w:pStyle w:val="Heading4"/>
        <w:keepNext w:val="0"/>
        <w:spacing w:line="276" w:lineRule="auto"/>
        <w:ind w:left="851"/>
        <w:rPr>
          <w:rFonts w:hint="eastAsia"/>
          <w:sz w:val="24"/>
          <w:szCs w:val="18"/>
        </w:rPr>
      </w:pPr>
      <w:bookmarkStart w:id="173" w:name="_Toc36557285"/>
      <w:bookmarkStart w:id="174" w:name="_Toc150156012"/>
      <w:r w:rsidRPr="0035573B">
        <w:rPr>
          <w:sz w:val="24"/>
          <w:szCs w:val="18"/>
        </w:rPr>
        <w:t xml:space="preserve">Supervision of </w:t>
      </w:r>
      <w:r w:rsidR="00410860" w:rsidRPr="0035573B">
        <w:rPr>
          <w:sz w:val="24"/>
          <w:szCs w:val="18"/>
        </w:rPr>
        <w:t>c</w:t>
      </w:r>
      <w:r w:rsidRPr="0035573B">
        <w:rPr>
          <w:sz w:val="24"/>
          <w:szCs w:val="18"/>
        </w:rPr>
        <w:t xml:space="preserve">linical </w:t>
      </w:r>
      <w:r w:rsidR="00410860" w:rsidRPr="0035573B">
        <w:rPr>
          <w:sz w:val="24"/>
          <w:szCs w:val="18"/>
        </w:rPr>
        <w:t>p</w:t>
      </w:r>
      <w:r w:rsidRPr="0035573B">
        <w:rPr>
          <w:sz w:val="24"/>
          <w:szCs w:val="18"/>
        </w:rPr>
        <w:t>harmacist</w:t>
      </w:r>
      <w:bookmarkEnd w:id="173"/>
      <w:bookmarkEnd w:id="174"/>
      <w:r w:rsidR="00410860" w:rsidRPr="0035573B">
        <w:rPr>
          <w:sz w:val="24"/>
          <w:szCs w:val="18"/>
        </w:rPr>
        <w:t>s</w:t>
      </w:r>
    </w:p>
    <w:p w14:paraId="77B42C5F" w14:textId="2CAEB05C" w:rsidR="008F2758" w:rsidRPr="001F641B" w:rsidRDefault="008F2758" w:rsidP="00084AFF">
      <w:pPr>
        <w:pStyle w:val="h4numbered"/>
      </w:pPr>
      <w:r w:rsidRPr="001F641B">
        <w:t xml:space="preserve">All clinical pharmacists will be part of a professional clinical network and will always be clinically supervised by a senior clinical / advanced practice pharmacist and GP clinical supervisor. The following supervision </w:t>
      </w:r>
      <w:r w:rsidR="007A03C2">
        <w:t>must</w:t>
      </w:r>
      <w:r w:rsidRPr="001F641B">
        <w:t xml:space="preserve"> be in place for senior clinical / advanced practice pharmacists and clinical pharmacists:</w:t>
      </w:r>
    </w:p>
    <w:p w14:paraId="503E8063" w14:textId="77777777" w:rsidR="008F2758" w:rsidRPr="001F641B" w:rsidRDefault="008F2758" w:rsidP="000741C5">
      <w:pPr>
        <w:pStyle w:val="Heading4"/>
        <w:keepNext w:val="0"/>
        <w:numPr>
          <w:ilvl w:val="1"/>
          <w:numId w:val="15"/>
        </w:numPr>
        <w:spacing w:line="276" w:lineRule="auto"/>
        <w:ind w:left="2268" w:hanging="567"/>
        <w:rPr>
          <w:rFonts w:ascii="Arial" w:hAnsi="Arial"/>
          <w:b w:val="0"/>
          <w:sz w:val="24"/>
          <w:lang w:eastAsia="en-GB"/>
        </w:rPr>
      </w:pPr>
      <w:r w:rsidRPr="001F641B">
        <w:rPr>
          <w:rFonts w:ascii="Arial" w:hAnsi="Arial"/>
          <w:b w:val="0"/>
          <w:sz w:val="24"/>
          <w:lang w:eastAsia="en-GB"/>
        </w:rPr>
        <w:t>Each clinical pharmacist will receive a minimum of one supervision session per month by a senior clinical / advanced practice pharmacist</w:t>
      </w:r>
      <w:r w:rsidRPr="001F641B">
        <w:rPr>
          <w:rFonts w:ascii="Arial" w:hAnsi="Arial"/>
          <w:b w:val="0"/>
          <w:sz w:val="24"/>
          <w:vertAlign w:val="superscript"/>
          <w:lang w:eastAsia="en-GB"/>
        </w:rPr>
        <w:footnoteReference w:id="14"/>
      </w:r>
      <w:r w:rsidRPr="001F641B">
        <w:rPr>
          <w:rFonts w:ascii="Arial" w:hAnsi="Arial"/>
          <w:b w:val="0"/>
          <w:sz w:val="24"/>
          <w:lang w:eastAsia="en-GB"/>
        </w:rPr>
        <w:t>;</w:t>
      </w:r>
    </w:p>
    <w:p w14:paraId="08D03713" w14:textId="77777777" w:rsidR="008F2758" w:rsidRPr="001F641B" w:rsidRDefault="008F2758" w:rsidP="000741C5">
      <w:pPr>
        <w:pStyle w:val="Heading4"/>
        <w:keepNext w:val="0"/>
        <w:numPr>
          <w:ilvl w:val="1"/>
          <w:numId w:val="15"/>
        </w:numPr>
        <w:spacing w:line="276" w:lineRule="auto"/>
        <w:ind w:left="2268" w:hanging="567"/>
        <w:rPr>
          <w:rFonts w:ascii="Arial" w:hAnsi="Arial"/>
          <w:b w:val="0"/>
          <w:sz w:val="24"/>
          <w:lang w:eastAsia="en-GB"/>
        </w:rPr>
      </w:pPr>
      <w:r w:rsidRPr="001F641B">
        <w:rPr>
          <w:rFonts w:ascii="Arial" w:hAnsi="Arial"/>
          <w:b w:val="0"/>
          <w:sz w:val="24"/>
          <w:lang w:eastAsia="en-GB"/>
        </w:rPr>
        <w:t>The senior clinical / advanced practice pharmacist will receive a minimum of one supervision session every three months by a GP clinical supervisor; and</w:t>
      </w:r>
    </w:p>
    <w:p w14:paraId="36DD96F7" w14:textId="77777777" w:rsidR="008F2758" w:rsidRPr="001F641B" w:rsidRDefault="008F2758" w:rsidP="000741C5">
      <w:pPr>
        <w:pStyle w:val="Heading4"/>
        <w:keepNext w:val="0"/>
        <w:numPr>
          <w:ilvl w:val="1"/>
          <w:numId w:val="15"/>
        </w:numPr>
        <w:spacing w:line="276" w:lineRule="auto"/>
        <w:ind w:left="2268" w:hanging="567"/>
        <w:rPr>
          <w:rFonts w:ascii="Arial" w:hAnsi="Arial"/>
          <w:b w:val="0"/>
          <w:sz w:val="24"/>
          <w:lang w:eastAsia="en-GB"/>
        </w:rPr>
      </w:pPr>
      <w:r w:rsidRPr="001F641B">
        <w:rPr>
          <w:rFonts w:ascii="Arial" w:hAnsi="Arial"/>
          <w:b w:val="0"/>
          <w:sz w:val="24"/>
          <w:lang w:eastAsia="en-GB"/>
        </w:rPr>
        <w:t>All clinical / advanced practice pharmacists will have access to an assigned GP clinical supervisor for support and development.</w:t>
      </w:r>
    </w:p>
    <w:p w14:paraId="764B7E4A" w14:textId="6C2D0431" w:rsidR="008F2758" w:rsidRPr="001F641B" w:rsidRDefault="008F2758" w:rsidP="00084AFF">
      <w:pPr>
        <w:pStyle w:val="h4numbered"/>
      </w:pPr>
      <w:r w:rsidRPr="001F641B">
        <w:t xml:space="preserve">The ratio of senior / advanced practice to junior clinical pharmacists should be up to one to five, and in all cases appropriate peer support and supervision </w:t>
      </w:r>
      <w:r w:rsidR="007A03C2">
        <w:t>must</w:t>
      </w:r>
      <w:r w:rsidRPr="001F641B">
        <w:t xml:space="preserve"> be in place.</w:t>
      </w:r>
    </w:p>
    <w:p w14:paraId="23F9B897" w14:textId="77777777" w:rsidR="008F2758" w:rsidRPr="001F641B" w:rsidRDefault="008F2758" w:rsidP="00084AFF">
      <w:pPr>
        <w:pStyle w:val="h4numbered"/>
      </w:pPr>
      <w:r w:rsidRPr="001F641B">
        <w:t>Flexible and innovative approaches to the formation of clinical networks can be adopted and promoted to enhance collaboration/integration across healthcare interfaces.</w:t>
      </w:r>
    </w:p>
    <w:p w14:paraId="1947EAF1" w14:textId="77777777" w:rsidR="008F2758" w:rsidRPr="0035573B" w:rsidRDefault="008F2758" w:rsidP="0035573B">
      <w:pPr>
        <w:pStyle w:val="Heading4"/>
        <w:keepNext w:val="0"/>
        <w:spacing w:line="276" w:lineRule="auto"/>
        <w:ind w:left="851"/>
        <w:rPr>
          <w:rFonts w:hint="eastAsia"/>
          <w:sz w:val="24"/>
          <w:szCs w:val="18"/>
        </w:rPr>
      </w:pPr>
      <w:r w:rsidRPr="0035573B">
        <w:rPr>
          <w:sz w:val="24"/>
          <w:szCs w:val="18"/>
        </w:rPr>
        <w:lastRenderedPageBreak/>
        <w:t>Sub-contracted remote clinical pharmacy services under the ARRS clinical pharmacist role</w:t>
      </w:r>
    </w:p>
    <w:p w14:paraId="59A72D0F" w14:textId="46B1AD52" w:rsidR="008F2758" w:rsidRPr="009E4CB6" w:rsidRDefault="008F2758" w:rsidP="00084AFF">
      <w:pPr>
        <w:pStyle w:val="h4numbered"/>
        <w:rPr>
          <w:color w:val="auto"/>
        </w:rPr>
      </w:pPr>
      <w:r w:rsidRPr="00A42B22">
        <w:t xml:space="preserve">A PCN wishing to use an agency or alternative provider to access clinical pharmacy services under the ARRS, needs to ensure that the role outline set out in Annex B of the Network Contract DES Specification is being delivered and that the clinical pharmacists </w:t>
      </w:r>
      <w:r w:rsidRPr="00B6321F">
        <w:t>meet</w:t>
      </w:r>
      <w:r w:rsidRPr="00A42B22">
        <w:t xml:space="preserve"> the qualification requirements. </w:t>
      </w:r>
    </w:p>
    <w:p w14:paraId="7D7882D8" w14:textId="2EA1F3D2" w:rsidR="008F2758" w:rsidRPr="00786310" w:rsidRDefault="008F2758" w:rsidP="00084AFF">
      <w:pPr>
        <w:pStyle w:val="h4numbered"/>
      </w:pPr>
      <w:r w:rsidRPr="00193AF0">
        <w:t xml:space="preserve">Whether the employment or service arrangement includes remote delivery or not, all aspects of the role outline </w:t>
      </w:r>
      <w:r w:rsidR="007A03C2" w:rsidRPr="00193AF0">
        <w:t>must</w:t>
      </w:r>
      <w:r w:rsidRPr="00193AF0">
        <w:t xml:space="preserve"> be delivered by the role or under the service arrangement to be eligible for reimbursement through the ARRS. This would include (but not be limited to): </w:t>
      </w:r>
    </w:p>
    <w:p w14:paraId="134095FA" w14:textId="77777777" w:rsidR="008F2758" w:rsidRPr="00B56B18" w:rsidRDefault="008F2758" w:rsidP="000741C5">
      <w:pPr>
        <w:pStyle w:val="Default"/>
        <w:numPr>
          <w:ilvl w:val="0"/>
          <w:numId w:val="30"/>
        </w:numPr>
        <w:spacing w:before="240" w:after="155" w:line="276" w:lineRule="auto"/>
        <w:ind w:left="2268" w:hanging="567"/>
        <w:rPr>
          <w:color w:val="auto"/>
        </w:rPr>
      </w:pPr>
      <w:r w:rsidRPr="00B56B18">
        <w:rPr>
          <w:color w:val="auto"/>
        </w:rPr>
        <w:t>working as part of a PCN multidisciplinary team in a patient facing role to clinically assess and treat patients</w:t>
      </w:r>
      <w:r>
        <w:rPr>
          <w:color w:val="auto"/>
        </w:rPr>
        <w:t>;</w:t>
      </w:r>
      <w:r w:rsidRPr="00B56B18">
        <w:rPr>
          <w:color w:val="auto"/>
        </w:rPr>
        <w:t xml:space="preserve"> </w:t>
      </w:r>
    </w:p>
    <w:p w14:paraId="2FC654E3" w14:textId="77777777" w:rsidR="008F2758" w:rsidRPr="00B56B18" w:rsidRDefault="008F2758" w:rsidP="000741C5">
      <w:pPr>
        <w:pStyle w:val="Default"/>
        <w:numPr>
          <w:ilvl w:val="0"/>
          <w:numId w:val="30"/>
        </w:numPr>
        <w:spacing w:after="155" w:line="276" w:lineRule="auto"/>
        <w:ind w:left="2268" w:hanging="567"/>
        <w:rPr>
          <w:color w:val="auto"/>
        </w:rPr>
      </w:pPr>
      <w:r w:rsidRPr="00B56B18">
        <w:rPr>
          <w:color w:val="auto"/>
        </w:rPr>
        <w:t>developing relationships and working closely with other pharmacy professionals across PCNs and the wider health and social care system</w:t>
      </w:r>
      <w:r>
        <w:rPr>
          <w:color w:val="auto"/>
        </w:rPr>
        <w:t>;</w:t>
      </w:r>
    </w:p>
    <w:p w14:paraId="66B363BA" w14:textId="77777777" w:rsidR="008F2758" w:rsidRPr="00B56B18" w:rsidRDefault="008F2758" w:rsidP="000741C5">
      <w:pPr>
        <w:pStyle w:val="Default"/>
        <w:numPr>
          <w:ilvl w:val="0"/>
          <w:numId w:val="30"/>
        </w:numPr>
        <w:spacing w:after="155" w:line="276" w:lineRule="auto"/>
        <w:ind w:left="2268" w:hanging="567"/>
        <w:rPr>
          <w:color w:val="auto"/>
        </w:rPr>
      </w:pPr>
      <w:r w:rsidRPr="00B56B18">
        <w:rPr>
          <w:color w:val="auto"/>
        </w:rPr>
        <w:t>maintaining a leadership role in supporting further integration of general practice within the wider healthcare teams</w:t>
      </w:r>
      <w:r>
        <w:rPr>
          <w:color w:val="auto"/>
        </w:rPr>
        <w:t>; and</w:t>
      </w:r>
      <w:r w:rsidRPr="00B56B18">
        <w:rPr>
          <w:color w:val="auto"/>
        </w:rPr>
        <w:t xml:space="preserve">  </w:t>
      </w:r>
    </w:p>
    <w:p w14:paraId="75AC2E09" w14:textId="7A7DC746" w:rsidR="008F2758" w:rsidRPr="00786310" w:rsidRDefault="008F2758" w:rsidP="000741C5">
      <w:pPr>
        <w:pStyle w:val="Default"/>
        <w:numPr>
          <w:ilvl w:val="0"/>
          <w:numId w:val="30"/>
        </w:numPr>
        <w:spacing w:after="155" w:line="276" w:lineRule="auto"/>
        <w:ind w:left="2268" w:hanging="567"/>
        <w:rPr>
          <w:color w:val="auto"/>
        </w:rPr>
      </w:pPr>
      <w:r w:rsidRPr="00786310">
        <w:rPr>
          <w:color w:val="auto"/>
        </w:rPr>
        <w:t xml:space="preserve">be responsible for the care management of patients with chronic diseases and offering continuity of service. </w:t>
      </w:r>
    </w:p>
    <w:p w14:paraId="696F0AF9" w14:textId="764B3939" w:rsidR="008F2758" w:rsidRPr="00A35755" w:rsidRDefault="008F2758" w:rsidP="00084AFF">
      <w:pPr>
        <w:pStyle w:val="h4numbered"/>
      </w:pPr>
      <w:r w:rsidRPr="4D34B28C">
        <w:t xml:space="preserve">A consistent approach to the clinical pharmacist(s) working with the PCN through a service agreement would be expected, with clinical pharmacist(s) working with the PCN’s existing MDT to ensure they can consistently support and complement the existing workforce. For example, service provision by a different individual every shift would not fulfil the requirements listed above. The Network Contract DES requires clinical pharmacists employed or engaged through the Additional Roles Reimbursement Scheme to be for a minimum of 0.5 WTE whilst enrolled on an approved 18 month training pathway or equivalent. </w:t>
      </w:r>
    </w:p>
    <w:p w14:paraId="2C3D164F" w14:textId="1934C4A8" w:rsidR="008F2758" w:rsidRPr="00C34D1F" w:rsidRDefault="008F2758" w:rsidP="00084AFF">
      <w:pPr>
        <w:pStyle w:val="h4numbered"/>
      </w:pPr>
      <w:r w:rsidRPr="4D34B28C">
        <w:t xml:space="preserve">Additionally, whether or not an arrangement is through direct employment or service arrangement, it must be intended for a minimum of six months. Therefore, a ‘pay as you go’ arrangement would not be eligible for reimbursement. </w:t>
      </w:r>
    </w:p>
    <w:p w14:paraId="5C73758B" w14:textId="0DB3ADD8" w:rsidR="008F2758" w:rsidRPr="00003C0C" w:rsidRDefault="00FA6416" w:rsidP="00084AFF">
      <w:pPr>
        <w:pStyle w:val="h4numbered"/>
      </w:pPr>
      <w:r>
        <w:t>T</w:t>
      </w:r>
      <w:r w:rsidR="008F2758" w:rsidRPr="4D34B28C">
        <w:t xml:space="preserve">he commissioner and PCN must therefore be assured that all requirements of the Network Contract DES are being met in full for a remote service arrangement to be eligible for reimbursement. Commissioners should make an assessment on an individual basis as to whether the service is delivering the full Network Contract DES requirements, rather than the employment </w:t>
      </w:r>
      <w:r w:rsidR="008F2758" w:rsidRPr="4D34B28C">
        <w:lastRenderedPageBreak/>
        <w:t>model. Where the requirements of the Network Contract DES are not met, commissioners can withhold the ARRS payments for the relevant role.</w:t>
      </w:r>
    </w:p>
    <w:p w14:paraId="6F7CE2A9" w14:textId="48E52094" w:rsidR="008F2758" w:rsidRDefault="008F2758" w:rsidP="00084AFF">
      <w:pPr>
        <w:pStyle w:val="h3numbered"/>
      </w:pPr>
      <w:bookmarkStart w:id="175" w:name="_Toc223511147"/>
      <w:bookmarkStart w:id="176" w:name="_Toc223511435"/>
      <w:bookmarkStart w:id="177" w:name="_Toc36557287"/>
      <w:bookmarkStart w:id="178" w:name="_Toc150156014"/>
      <w:r w:rsidRPr="00EE318B">
        <w:t>Other direct patient care roles</w:t>
      </w:r>
      <w:r>
        <w:t xml:space="preserve"> </w:t>
      </w:r>
      <w:r w:rsidR="006C5411" w:rsidRPr="004F6542">
        <w:rPr>
          <w:highlight w:val="yellow"/>
        </w:rPr>
        <w:t xml:space="preserve">and other </w:t>
      </w:r>
      <w:r w:rsidR="004F6542" w:rsidRPr="004F6542">
        <w:rPr>
          <w:highlight w:val="yellow"/>
        </w:rPr>
        <w:t>non-direct patient care roles</w:t>
      </w:r>
      <w:bookmarkEnd w:id="175"/>
      <w:bookmarkEnd w:id="176"/>
    </w:p>
    <w:p w14:paraId="1BA67D0A" w14:textId="5E4DBC63" w:rsidR="00B6321F" w:rsidRPr="009E4CB6" w:rsidRDefault="008F2758" w:rsidP="00084AFF">
      <w:pPr>
        <w:pStyle w:val="h4numbered"/>
        <w:rPr>
          <w:b/>
          <w:szCs w:val="24"/>
        </w:rPr>
      </w:pPr>
      <w:r w:rsidRPr="004D0E51">
        <w:rPr>
          <w:rFonts w:hint="eastAsia"/>
        </w:rPr>
        <w:t>From within the allocated Additional Roles Reimbursement Sum, a PCN may recruit other direct patient care, non-nurse, and non- doctor MDT roles</w:t>
      </w:r>
      <w:r w:rsidR="000834AC">
        <w:t>.</w:t>
      </w:r>
      <w:r w:rsidR="004F6542">
        <w:t xml:space="preserve"> </w:t>
      </w:r>
      <w:r w:rsidR="000834AC" w:rsidRPr="00C8452B">
        <w:rPr>
          <w:color w:val="auto"/>
          <w:highlight w:val="yellow"/>
        </w:rPr>
        <w:t>A PCN may also recruit</w:t>
      </w:r>
      <w:r w:rsidR="000834AC" w:rsidRPr="00C8452B">
        <w:rPr>
          <w:color w:val="FF0000"/>
          <w:highlight w:val="yellow"/>
        </w:rPr>
        <w:t xml:space="preserve"> </w:t>
      </w:r>
      <w:r w:rsidR="004F6542" w:rsidRPr="00C8452B">
        <w:rPr>
          <w:highlight w:val="yellow"/>
        </w:rPr>
        <w:t>other non-direct patient care roles</w:t>
      </w:r>
      <w:r w:rsidRPr="00C8452B">
        <w:rPr>
          <w:rFonts w:hint="eastAsia"/>
        </w:rPr>
        <w:t xml:space="preserve"> </w:t>
      </w:r>
      <w:r w:rsidR="00A070B0" w:rsidRPr="00C8452B">
        <w:t>if</w:t>
      </w:r>
      <w:r w:rsidRPr="004D0E51">
        <w:rPr>
          <w:rFonts w:hint="eastAsia"/>
        </w:rPr>
        <w:t xml:space="preserve"> agreed with the Commissioner.</w:t>
      </w:r>
      <w:r w:rsidR="00AC7711" w:rsidRPr="004D0E51">
        <w:rPr>
          <w:szCs w:val="24"/>
        </w:rPr>
        <w:t xml:space="preserve"> </w:t>
      </w:r>
      <w:r w:rsidR="63451931" w:rsidRPr="004D0E51">
        <w:rPr>
          <w:szCs w:val="24"/>
        </w:rPr>
        <w:t>The Network Contract describes the responsibilities of commissioners in considering these roles, and the type of assurances they may seek from PCNs in doing</w:t>
      </w:r>
      <w:r w:rsidR="0F3A6D59" w:rsidRPr="004D0E51">
        <w:rPr>
          <w:szCs w:val="24"/>
        </w:rPr>
        <w:t xml:space="preserve"> so</w:t>
      </w:r>
      <w:r w:rsidR="001C482B" w:rsidRPr="004D0E51">
        <w:rPr>
          <w:szCs w:val="24"/>
        </w:rPr>
        <w:t xml:space="preserve">. </w:t>
      </w:r>
      <w:r w:rsidRPr="004D0E51">
        <w:rPr>
          <w:szCs w:val="24"/>
        </w:rPr>
        <w:t>Other considerations that support the recruitment of new roles:</w:t>
      </w:r>
      <w:r w:rsidR="00C46F39" w:rsidRPr="004D0E51">
        <w:rPr>
          <w:szCs w:val="24"/>
        </w:rPr>
        <w:t xml:space="preserve">  </w:t>
      </w:r>
    </w:p>
    <w:p w14:paraId="4D74FCAE" w14:textId="050D7F6F" w:rsidR="00794E32" w:rsidRDefault="004839AA" w:rsidP="000741C5">
      <w:pPr>
        <w:pStyle w:val="Heading4"/>
        <w:keepNext w:val="0"/>
        <w:numPr>
          <w:ilvl w:val="1"/>
          <w:numId w:val="44"/>
        </w:numPr>
        <w:spacing w:line="276" w:lineRule="auto"/>
        <w:ind w:left="2268" w:hanging="567"/>
        <w:rPr>
          <w:rFonts w:ascii="Arial" w:hAnsi="Arial"/>
          <w:b w:val="0"/>
          <w:sz w:val="24"/>
          <w:lang w:eastAsia="en-GB"/>
        </w:rPr>
      </w:pPr>
      <w:r w:rsidRPr="000C2210">
        <w:rPr>
          <w:rFonts w:ascii="Arial" w:hAnsi="Arial"/>
          <w:b w:val="0"/>
          <w:sz w:val="24"/>
          <w:lang w:eastAsia="en-GB"/>
        </w:rPr>
        <w:t xml:space="preserve">The </w:t>
      </w:r>
      <w:r w:rsidR="008F2758" w:rsidRPr="000C2210">
        <w:rPr>
          <w:rFonts w:ascii="Arial" w:hAnsi="Arial"/>
          <w:b w:val="0"/>
          <w:sz w:val="24"/>
          <w:lang w:eastAsia="en-GB"/>
        </w:rPr>
        <w:t xml:space="preserve">NWRS </w:t>
      </w:r>
      <w:r w:rsidR="00E000CA" w:rsidRPr="00E000CA">
        <w:rPr>
          <w:rFonts w:ascii="Arial" w:hAnsi="Arial"/>
          <w:b w:val="0"/>
          <w:sz w:val="24"/>
          <w:highlight w:val="yellow"/>
          <w:lang w:eastAsia="en-GB"/>
        </w:rPr>
        <w:t>is frequently updated</w:t>
      </w:r>
      <w:r w:rsidR="6B6DAC84" w:rsidRPr="000C2210">
        <w:rPr>
          <w:rFonts w:ascii="Arial" w:hAnsi="Arial"/>
          <w:b w:val="0"/>
          <w:sz w:val="24"/>
          <w:lang w:eastAsia="en-GB"/>
        </w:rPr>
        <w:t xml:space="preserve"> to reflect roles </w:t>
      </w:r>
      <w:r w:rsidR="3E772477" w:rsidRPr="000C2210">
        <w:rPr>
          <w:rFonts w:ascii="Arial" w:hAnsi="Arial"/>
          <w:b w:val="0"/>
          <w:sz w:val="24"/>
          <w:lang w:eastAsia="en-GB"/>
        </w:rPr>
        <w:t>that PCNs</w:t>
      </w:r>
      <w:r w:rsidR="00066D05" w:rsidRPr="000C2210">
        <w:rPr>
          <w:rFonts w:ascii="Arial" w:hAnsi="Arial"/>
          <w:b w:val="0"/>
          <w:sz w:val="24"/>
          <w:lang w:eastAsia="en-GB"/>
        </w:rPr>
        <w:t xml:space="preserve"> have told us they</w:t>
      </w:r>
      <w:r w:rsidR="3E772477" w:rsidRPr="000C2210">
        <w:rPr>
          <w:rFonts w:ascii="Arial" w:hAnsi="Arial"/>
          <w:b w:val="0"/>
          <w:sz w:val="24"/>
          <w:lang w:eastAsia="en-GB"/>
        </w:rPr>
        <w:t xml:space="preserve"> may want to recruit</w:t>
      </w:r>
      <w:r w:rsidR="00313EF2" w:rsidRPr="000C2210">
        <w:rPr>
          <w:rFonts w:ascii="Arial" w:hAnsi="Arial"/>
          <w:b w:val="0"/>
          <w:sz w:val="24"/>
          <w:lang w:eastAsia="en-GB"/>
        </w:rPr>
        <w:t>.</w:t>
      </w:r>
      <w:r w:rsidR="3E772477" w:rsidRPr="000C2210" w:rsidDel="00066D05">
        <w:rPr>
          <w:rFonts w:ascii="Arial" w:hAnsi="Arial"/>
          <w:b w:val="0"/>
          <w:sz w:val="24"/>
          <w:lang w:eastAsia="en-GB"/>
        </w:rPr>
        <w:t xml:space="preserve"> </w:t>
      </w:r>
      <w:r w:rsidR="00B72060" w:rsidRPr="00427906">
        <w:rPr>
          <w:rFonts w:ascii="Arial" w:hAnsi="Arial"/>
          <w:b w:val="0"/>
          <w:sz w:val="24"/>
          <w:highlight w:val="yellow"/>
          <w:lang w:eastAsia="en-GB"/>
        </w:rPr>
        <w:t>For ot</w:t>
      </w:r>
      <w:r w:rsidR="00794E32" w:rsidRPr="00427906">
        <w:rPr>
          <w:rFonts w:ascii="Arial" w:hAnsi="Arial"/>
          <w:b w:val="0"/>
          <w:sz w:val="24"/>
          <w:highlight w:val="yellow"/>
          <w:lang w:eastAsia="en-GB"/>
        </w:rPr>
        <w:t xml:space="preserve">her </w:t>
      </w:r>
      <w:r w:rsidR="005038D1" w:rsidRPr="00427906">
        <w:rPr>
          <w:rFonts w:ascii="Arial" w:hAnsi="Arial"/>
          <w:b w:val="0"/>
          <w:sz w:val="24"/>
          <w:highlight w:val="yellow"/>
          <w:lang w:eastAsia="en-GB"/>
        </w:rPr>
        <w:t>direct patient ca</w:t>
      </w:r>
      <w:r w:rsidR="00E900E2">
        <w:rPr>
          <w:rFonts w:ascii="Arial" w:hAnsi="Arial"/>
          <w:b w:val="0"/>
          <w:sz w:val="24"/>
          <w:highlight w:val="yellow"/>
          <w:lang w:eastAsia="en-GB"/>
        </w:rPr>
        <w:t>r</w:t>
      </w:r>
      <w:r w:rsidR="005038D1" w:rsidRPr="00427906">
        <w:rPr>
          <w:rFonts w:ascii="Arial" w:hAnsi="Arial"/>
          <w:b w:val="0"/>
          <w:sz w:val="24"/>
          <w:highlight w:val="yellow"/>
          <w:lang w:eastAsia="en-GB"/>
        </w:rPr>
        <w:t xml:space="preserve">e, </w:t>
      </w:r>
      <w:proofErr w:type="spellStart"/>
      <w:r w:rsidR="005038D1" w:rsidRPr="00427906">
        <w:rPr>
          <w:rFonts w:ascii="Arial" w:hAnsi="Arial"/>
          <w:b w:val="0"/>
          <w:sz w:val="24"/>
          <w:highlight w:val="yellow"/>
          <w:lang w:eastAsia="en-GB"/>
        </w:rPr>
        <w:t>non nurse</w:t>
      </w:r>
      <w:proofErr w:type="spellEnd"/>
      <w:r w:rsidR="005038D1" w:rsidRPr="00427906">
        <w:rPr>
          <w:rFonts w:ascii="Arial" w:hAnsi="Arial"/>
          <w:b w:val="0"/>
          <w:sz w:val="24"/>
          <w:highlight w:val="yellow"/>
          <w:lang w:eastAsia="en-GB"/>
        </w:rPr>
        <w:t xml:space="preserve">, and </w:t>
      </w:r>
      <w:proofErr w:type="spellStart"/>
      <w:r w:rsidR="005038D1" w:rsidRPr="00427906">
        <w:rPr>
          <w:rFonts w:ascii="Arial" w:hAnsi="Arial"/>
          <w:b w:val="0"/>
          <w:sz w:val="24"/>
          <w:highlight w:val="yellow"/>
          <w:lang w:eastAsia="en-GB"/>
        </w:rPr>
        <w:t>non doctor</w:t>
      </w:r>
      <w:proofErr w:type="spellEnd"/>
      <w:r w:rsidR="005038D1" w:rsidRPr="00427906">
        <w:rPr>
          <w:rFonts w:ascii="Arial" w:hAnsi="Arial"/>
          <w:b w:val="0"/>
          <w:sz w:val="24"/>
          <w:highlight w:val="yellow"/>
          <w:lang w:eastAsia="en-GB"/>
        </w:rPr>
        <w:t xml:space="preserve"> MTD roles</w:t>
      </w:r>
      <w:r w:rsidR="00794E32">
        <w:rPr>
          <w:rFonts w:ascii="Arial" w:hAnsi="Arial"/>
          <w:b w:val="0"/>
          <w:bCs/>
          <w:sz w:val="24"/>
          <w:lang w:eastAsia="en-GB"/>
        </w:rPr>
        <w:t>, t</w:t>
      </w:r>
      <w:r w:rsidR="00066D05" w:rsidRPr="000C2210">
        <w:rPr>
          <w:rFonts w:ascii="Arial" w:hAnsi="Arial"/>
          <w:b w:val="0"/>
          <w:sz w:val="24"/>
          <w:lang w:eastAsia="en-GB"/>
        </w:rPr>
        <w:t>he</w:t>
      </w:r>
      <w:r w:rsidR="00187FD8" w:rsidRPr="000C2210">
        <w:rPr>
          <w:rFonts w:ascii="Arial" w:hAnsi="Arial"/>
          <w:b w:val="0"/>
          <w:sz w:val="24"/>
          <w:lang w:eastAsia="en-GB"/>
        </w:rPr>
        <w:t xml:space="preserve"> </w:t>
      </w:r>
      <w:r w:rsidR="3E772477" w:rsidRPr="000C2210">
        <w:rPr>
          <w:rFonts w:ascii="Arial" w:hAnsi="Arial"/>
          <w:b w:val="0"/>
          <w:sz w:val="24"/>
          <w:lang w:eastAsia="en-GB"/>
        </w:rPr>
        <w:t xml:space="preserve">general `DPC other` </w:t>
      </w:r>
      <w:r w:rsidR="00066D05" w:rsidRPr="000C2210">
        <w:rPr>
          <w:rFonts w:ascii="Arial" w:hAnsi="Arial"/>
          <w:b w:val="0"/>
          <w:sz w:val="24"/>
          <w:lang w:eastAsia="en-GB"/>
        </w:rPr>
        <w:t>code</w:t>
      </w:r>
      <w:r w:rsidR="004B6ACB" w:rsidRPr="000C2210">
        <w:rPr>
          <w:rFonts w:ascii="Arial" w:hAnsi="Arial"/>
          <w:b w:val="0"/>
          <w:sz w:val="24"/>
          <w:lang w:eastAsia="en-GB"/>
        </w:rPr>
        <w:t xml:space="preserve"> </w:t>
      </w:r>
      <w:r w:rsidR="00066D05" w:rsidRPr="000C2210">
        <w:rPr>
          <w:rFonts w:ascii="Arial" w:hAnsi="Arial"/>
          <w:b w:val="0"/>
          <w:sz w:val="24"/>
          <w:lang w:eastAsia="en-GB"/>
        </w:rPr>
        <w:t>should be used</w:t>
      </w:r>
      <w:r w:rsidR="3E772477" w:rsidRPr="000C2210">
        <w:rPr>
          <w:rFonts w:ascii="Arial" w:hAnsi="Arial"/>
          <w:b w:val="0"/>
          <w:sz w:val="24"/>
          <w:lang w:eastAsia="en-GB"/>
        </w:rPr>
        <w:t xml:space="preserve"> if there is no </w:t>
      </w:r>
      <w:r w:rsidR="00616CDC" w:rsidRPr="000C2210">
        <w:rPr>
          <w:rFonts w:ascii="Arial" w:hAnsi="Arial"/>
          <w:b w:val="0"/>
          <w:sz w:val="24"/>
          <w:lang w:eastAsia="en-GB"/>
        </w:rPr>
        <w:t xml:space="preserve">relevant </w:t>
      </w:r>
      <w:r w:rsidR="390388DF" w:rsidRPr="000C2210">
        <w:rPr>
          <w:rFonts w:ascii="Arial" w:hAnsi="Arial"/>
          <w:b w:val="0"/>
          <w:sz w:val="24"/>
          <w:lang w:eastAsia="en-GB"/>
        </w:rPr>
        <w:t>role available in NWRS. Where `DPC other` is to be used</w:t>
      </w:r>
      <w:r w:rsidR="5CDD44EB" w:rsidRPr="000C2210">
        <w:rPr>
          <w:rFonts w:ascii="Arial" w:hAnsi="Arial"/>
          <w:b w:val="0"/>
          <w:sz w:val="24"/>
          <w:lang w:eastAsia="en-GB"/>
        </w:rPr>
        <w:t xml:space="preserve">, </w:t>
      </w:r>
      <w:r w:rsidR="00EF13E8" w:rsidRPr="000C2210">
        <w:rPr>
          <w:rFonts w:ascii="Arial" w:hAnsi="Arial"/>
          <w:b w:val="0"/>
          <w:sz w:val="24"/>
          <w:lang w:eastAsia="en-GB"/>
        </w:rPr>
        <w:t xml:space="preserve">PCNs should inform their </w:t>
      </w:r>
      <w:r w:rsidR="5CDD44EB" w:rsidRPr="000C2210">
        <w:rPr>
          <w:rFonts w:ascii="Arial" w:hAnsi="Arial"/>
          <w:b w:val="0"/>
          <w:sz w:val="24"/>
          <w:lang w:eastAsia="en-GB"/>
        </w:rPr>
        <w:t>ICB</w:t>
      </w:r>
      <w:r w:rsidR="00EF13E8" w:rsidRPr="000C2210">
        <w:rPr>
          <w:rFonts w:ascii="Arial" w:hAnsi="Arial"/>
          <w:b w:val="0"/>
          <w:sz w:val="24"/>
          <w:lang w:eastAsia="en-GB"/>
        </w:rPr>
        <w:t xml:space="preserve"> which role has been </w:t>
      </w:r>
      <w:r w:rsidR="41EC3FE0" w:rsidRPr="000C2210">
        <w:rPr>
          <w:rFonts w:ascii="Arial" w:hAnsi="Arial"/>
          <w:b w:val="0"/>
          <w:sz w:val="24"/>
          <w:lang w:eastAsia="en-GB"/>
        </w:rPr>
        <w:t>recruited</w:t>
      </w:r>
      <w:r w:rsidR="41EC3FE0" w:rsidRPr="000C2210" w:rsidDel="00EF13E8">
        <w:rPr>
          <w:rFonts w:ascii="Arial" w:hAnsi="Arial"/>
          <w:b w:val="0"/>
          <w:sz w:val="24"/>
          <w:lang w:eastAsia="en-GB"/>
        </w:rPr>
        <w:t xml:space="preserve"> and</w:t>
      </w:r>
      <w:r w:rsidR="00EF13E8" w:rsidRPr="000C2210">
        <w:rPr>
          <w:rFonts w:ascii="Arial" w:hAnsi="Arial"/>
          <w:b w:val="0"/>
          <w:sz w:val="24"/>
          <w:lang w:eastAsia="en-GB"/>
        </w:rPr>
        <w:t xml:space="preserve"> ICBs should</w:t>
      </w:r>
      <w:r w:rsidR="41EC3FE0" w:rsidRPr="000C2210">
        <w:rPr>
          <w:rFonts w:ascii="Arial" w:hAnsi="Arial"/>
          <w:b w:val="0"/>
          <w:sz w:val="24"/>
          <w:lang w:eastAsia="en-GB"/>
        </w:rPr>
        <w:t xml:space="preserve"> share th</w:t>
      </w:r>
      <w:r w:rsidR="00EF13E8" w:rsidRPr="000C2210">
        <w:rPr>
          <w:rFonts w:ascii="Arial" w:hAnsi="Arial"/>
          <w:b w:val="0"/>
          <w:sz w:val="24"/>
          <w:lang w:eastAsia="en-GB"/>
        </w:rPr>
        <w:t>ese roles</w:t>
      </w:r>
      <w:r w:rsidR="41EC3FE0" w:rsidRPr="000C2210">
        <w:rPr>
          <w:rFonts w:ascii="Arial" w:hAnsi="Arial"/>
          <w:b w:val="0"/>
          <w:sz w:val="24"/>
          <w:lang w:eastAsia="en-GB"/>
        </w:rPr>
        <w:t xml:space="preserve"> with their</w:t>
      </w:r>
      <w:r w:rsidR="00616CDC" w:rsidRPr="000C2210">
        <w:rPr>
          <w:rFonts w:ascii="Arial" w:hAnsi="Arial"/>
          <w:b w:val="0"/>
          <w:sz w:val="24"/>
          <w:lang w:eastAsia="en-GB"/>
        </w:rPr>
        <w:t xml:space="preserve"> </w:t>
      </w:r>
      <w:r w:rsidR="1821E678" w:rsidRPr="000C2210">
        <w:rPr>
          <w:rFonts w:ascii="Arial" w:hAnsi="Arial"/>
          <w:b w:val="0"/>
          <w:sz w:val="24"/>
          <w:lang w:eastAsia="en-GB"/>
        </w:rPr>
        <w:t>regional</w:t>
      </w:r>
      <w:r w:rsidR="41EC3FE0" w:rsidRPr="000C2210">
        <w:rPr>
          <w:rFonts w:ascii="Arial" w:hAnsi="Arial"/>
          <w:b w:val="0"/>
          <w:sz w:val="24"/>
          <w:lang w:eastAsia="en-GB"/>
        </w:rPr>
        <w:t xml:space="preserve"> workforce lead.</w:t>
      </w:r>
      <w:r w:rsidR="00EF13E8" w:rsidRPr="000C2210">
        <w:rPr>
          <w:rFonts w:ascii="Arial" w:hAnsi="Arial"/>
          <w:b w:val="0"/>
          <w:sz w:val="24"/>
          <w:lang w:eastAsia="en-GB"/>
        </w:rPr>
        <w:t xml:space="preserve"> National teams will </w:t>
      </w:r>
      <w:r w:rsidR="009F1295" w:rsidRPr="000C2210">
        <w:rPr>
          <w:rFonts w:ascii="Arial" w:hAnsi="Arial"/>
          <w:b w:val="0"/>
          <w:sz w:val="24"/>
          <w:lang w:eastAsia="en-GB"/>
        </w:rPr>
        <w:t>amend NWRS as needed based on th</w:t>
      </w:r>
      <w:r w:rsidR="00736303" w:rsidRPr="000C2210">
        <w:rPr>
          <w:rFonts w:ascii="Arial" w:hAnsi="Arial"/>
          <w:b w:val="0"/>
          <w:sz w:val="24"/>
          <w:lang w:eastAsia="en-GB"/>
        </w:rPr>
        <w:t>is information.</w:t>
      </w:r>
    </w:p>
    <w:p w14:paraId="6964CA5C" w14:textId="14ED5635" w:rsidR="00C46F39" w:rsidRPr="00DF1DFF" w:rsidRDefault="00794E32" w:rsidP="000741C5">
      <w:pPr>
        <w:pStyle w:val="Heading4"/>
        <w:keepNext w:val="0"/>
        <w:numPr>
          <w:ilvl w:val="1"/>
          <w:numId w:val="44"/>
        </w:numPr>
        <w:spacing w:line="276" w:lineRule="auto"/>
        <w:ind w:left="2268" w:hanging="567"/>
        <w:rPr>
          <w:rFonts w:ascii="Arial" w:hAnsi="Arial"/>
          <w:b w:val="0"/>
          <w:sz w:val="24"/>
          <w:highlight w:val="yellow"/>
          <w:lang w:eastAsia="en-GB"/>
        </w:rPr>
      </w:pPr>
      <w:r w:rsidRPr="00DF1DFF">
        <w:rPr>
          <w:rFonts w:ascii="Arial" w:hAnsi="Arial"/>
          <w:b w:val="0"/>
          <w:sz w:val="24"/>
          <w:highlight w:val="yellow"/>
          <w:lang w:eastAsia="en-GB"/>
        </w:rPr>
        <w:t xml:space="preserve">For other </w:t>
      </w:r>
      <w:r w:rsidR="00427906" w:rsidRPr="00DF1DFF">
        <w:rPr>
          <w:rFonts w:ascii="Arial" w:hAnsi="Arial"/>
          <w:b w:val="0"/>
          <w:sz w:val="24"/>
          <w:highlight w:val="yellow"/>
          <w:lang w:eastAsia="en-GB"/>
        </w:rPr>
        <w:t>non-direct patient care roles</w:t>
      </w:r>
      <w:r w:rsidR="00254917" w:rsidRPr="00DF1DFF">
        <w:rPr>
          <w:rFonts w:ascii="Arial" w:hAnsi="Arial"/>
          <w:b w:val="0"/>
          <w:sz w:val="24"/>
          <w:highlight w:val="yellow"/>
          <w:lang w:eastAsia="en-GB"/>
        </w:rPr>
        <w:t xml:space="preserve">, </w:t>
      </w:r>
      <w:r w:rsidR="00254917" w:rsidRPr="00DF1DFF">
        <w:rPr>
          <w:rFonts w:ascii="Arial" w:hAnsi="Arial"/>
          <w:b w:val="0"/>
          <w:bCs/>
          <w:sz w:val="24"/>
          <w:highlight w:val="yellow"/>
          <w:lang w:eastAsia="en-GB"/>
        </w:rPr>
        <w:t>t</w:t>
      </w:r>
      <w:r w:rsidR="00254917" w:rsidRPr="00DF1DFF">
        <w:rPr>
          <w:rFonts w:ascii="Arial" w:hAnsi="Arial"/>
          <w:b w:val="0"/>
          <w:sz w:val="24"/>
          <w:highlight w:val="yellow"/>
          <w:lang w:eastAsia="en-GB"/>
        </w:rPr>
        <w:t>he general `</w:t>
      </w:r>
      <w:r w:rsidR="00DF1DFF" w:rsidRPr="00DF1DFF">
        <w:rPr>
          <w:rFonts w:ascii="Arial" w:hAnsi="Arial"/>
          <w:b w:val="0"/>
          <w:sz w:val="24"/>
          <w:highlight w:val="yellow"/>
          <w:lang w:eastAsia="en-GB"/>
        </w:rPr>
        <w:t>admin/non-clinical</w:t>
      </w:r>
      <w:r w:rsidR="00254917" w:rsidRPr="00DF1DFF">
        <w:rPr>
          <w:rFonts w:ascii="Arial" w:hAnsi="Arial"/>
          <w:b w:val="0"/>
          <w:sz w:val="24"/>
          <w:highlight w:val="yellow"/>
          <w:lang w:eastAsia="en-GB"/>
        </w:rPr>
        <w:t xml:space="preserve"> other` code should be used if there is no relevant role available in NWRS. Where `</w:t>
      </w:r>
      <w:r w:rsidR="00DF1DFF" w:rsidRPr="00DF1DFF">
        <w:rPr>
          <w:rFonts w:ascii="Arial" w:hAnsi="Arial"/>
          <w:b w:val="0"/>
          <w:sz w:val="24"/>
          <w:highlight w:val="yellow"/>
          <w:lang w:eastAsia="en-GB"/>
        </w:rPr>
        <w:t>admin/non-clinical</w:t>
      </w:r>
      <w:r w:rsidR="00254917" w:rsidRPr="00DF1DFF">
        <w:rPr>
          <w:rFonts w:ascii="Arial" w:hAnsi="Arial"/>
          <w:b w:val="0"/>
          <w:sz w:val="24"/>
          <w:highlight w:val="yellow"/>
          <w:lang w:eastAsia="en-GB"/>
        </w:rPr>
        <w:t xml:space="preserve"> other` is to be used, PCNs should </w:t>
      </w:r>
      <w:r w:rsidR="007B4590" w:rsidRPr="00C8452B">
        <w:rPr>
          <w:rFonts w:ascii="Arial" w:hAnsi="Arial"/>
          <w:b w:val="0"/>
          <w:color w:val="auto"/>
          <w:sz w:val="24"/>
          <w:highlight w:val="yellow"/>
          <w:lang w:eastAsia="en-GB"/>
        </w:rPr>
        <w:t>agree with their ICB which role they would like to put</w:t>
      </w:r>
      <w:r w:rsidR="00E46E7A" w:rsidRPr="00C8452B">
        <w:rPr>
          <w:rFonts w:ascii="Arial" w:hAnsi="Arial"/>
          <w:b w:val="0"/>
          <w:color w:val="auto"/>
          <w:sz w:val="24"/>
          <w:highlight w:val="yellow"/>
          <w:lang w:eastAsia="en-GB"/>
        </w:rPr>
        <w:t xml:space="preserve"> in place before recruitment</w:t>
      </w:r>
      <w:r w:rsidR="004A39E7" w:rsidRPr="00C8452B">
        <w:rPr>
          <w:rFonts w:ascii="Arial" w:hAnsi="Arial"/>
          <w:b w:val="0"/>
          <w:color w:val="auto"/>
          <w:sz w:val="24"/>
          <w:highlight w:val="yellow"/>
          <w:lang w:eastAsia="en-GB"/>
        </w:rPr>
        <w:t xml:space="preserve"> </w:t>
      </w:r>
      <w:r w:rsidR="00254917" w:rsidRPr="00DF1DFF" w:rsidDel="00EF13E8">
        <w:rPr>
          <w:rFonts w:ascii="Arial" w:hAnsi="Arial"/>
          <w:b w:val="0"/>
          <w:sz w:val="24"/>
          <w:highlight w:val="yellow"/>
          <w:lang w:eastAsia="en-GB"/>
        </w:rPr>
        <w:t>and</w:t>
      </w:r>
      <w:r w:rsidR="00254917" w:rsidRPr="00DF1DFF">
        <w:rPr>
          <w:rFonts w:ascii="Arial" w:hAnsi="Arial"/>
          <w:b w:val="0"/>
          <w:sz w:val="24"/>
          <w:highlight w:val="yellow"/>
          <w:lang w:eastAsia="en-GB"/>
        </w:rPr>
        <w:t xml:space="preserve"> ICBs should share these roles with their regional workforce lead. National teams will amend NWRS as needed based on this information</w:t>
      </w:r>
      <w:r w:rsidR="00427906" w:rsidRPr="00DF1DFF">
        <w:rPr>
          <w:rFonts w:ascii="Arial" w:hAnsi="Arial"/>
          <w:b w:val="0"/>
          <w:sz w:val="24"/>
          <w:highlight w:val="yellow"/>
          <w:lang w:eastAsia="en-GB"/>
        </w:rPr>
        <w:t xml:space="preserve"> </w:t>
      </w:r>
      <w:r w:rsidR="6B6DAC84" w:rsidRPr="00DF1DFF">
        <w:rPr>
          <w:rFonts w:ascii="Arial" w:hAnsi="Arial"/>
          <w:b w:val="0"/>
          <w:sz w:val="24"/>
          <w:highlight w:val="yellow"/>
          <w:lang w:eastAsia="en-GB"/>
        </w:rPr>
        <w:t xml:space="preserve"> </w:t>
      </w:r>
    </w:p>
    <w:p w14:paraId="74BBD9BB" w14:textId="04485A26" w:rsidR="008F2758" w:rsidRPr="009E4CB6" w:rsidRDefault="550D3627" w:rsidP="000741C5">
      <w:pPr>
        <w:pStyle w:val="Heading4"/>
        <w:keepNext w:val="0"/>
        <w:numPr>
          <w:ilvl w:val="1"/>
          <w:numId w:val="44"/>
        </w:numPr>
        <w:spacing w:line="276" w:lineRule="auto"/>
        <w:ind w:left="2268" w:hanging="567"/>
        <w:rPr>
          <w:rFonts w:hint="eastAsia"/>
          <w:lang w:eastAsia="en-GB"/>
        </w:rPr>
      </w:pPr>
      <w:r w:rsidRPr="009E4CB6">
        <w:rPr>
          <w:rFonts w:ascii="Arial" w:hAnsi="Arial"/>
          <w:b w:val="0"/>
          <w:sz w:val="24"/>
          <w:lang w:eastAsia="en-GB"/>
        </w:rPr>
        <w:t xml:space="preserve">Where a PCN recruits an ARRS role </w:t>
      </w:r>
      <w:r w:rsidR="00A83FBA" w:rsidRPr="009E4CB6">
        <w:rPr>
          <w:rFonts w:ascii="Arial" w:hAnsi="Arial"/>
          <w:b w:val="0"/>
          <w:sz w:val="24"/>
          <w:lang w:eastAsia="en-GB"/>
        </w:rPr>
        <w:t>using the provision</w:t>
      </w:r>
      <w:r w:rsidR="005C50A1">
        <w:rPr>
          <w:rFonts w:ascii="Arial" w:hAnsi="Arial"/>
          <w:b w:val="0"/>
          <w:sz w:val="24"/>
          <w:lang w:eastAsia="en-GB"/>
        </w:rPr>
        <w:t>s</w:t>
      </w:r>
      <w:r w:rsidR="00A83FBA" w:rsidRPr="009E4CB6">
        <w:rPr>
          <w:rFonts w:ascii="Arial" w:hAnsi="Arial"/>
          <w:b w:val="0"/>
          <w:sz w:val="24"/>
          <w:lang w:eastAsia="en-GB"/>
        </w:rPr>
        <w:t xml:space="preserve"> above</w:t>
      </w:r>
      <w:r w:rsidR="00367A29" w:rsidRPr="009E4CB6">
        <w:rPr>
          <w:rFonts w:ascii="Arial" w:hAnsi="Arial"/>
          <w:b w:val="0"/>
          <w:sz w:val="24"/>
          <w:lang w:eastAsia="en-GB"/>
        </w:rPr>
        <w:t>, it</w:t>
      </w:r>
      <w:r w:rsidR="001E7966" w:rsidRPr="009E4CB6">
        <w:rPr>
          <w:rFonts w:ascii="Arial" w:hAnsi="Arial"/>
          <w:b w:val="0"/>
          <w:sz w:val="24"/>
          <w:lang w:eastAsia="en-GB"/>
        </w:rPr>
        <w:t xml:space="preserve"> should use the `Other Direct Patient Care`</w:t>
      </w:r>
      <w:r w:rsidR="00B61C82">
        <w:rPr>
          <w:rFonts w:ascii="Arial" w:hAnsi="Arial"/>
          <w:b w:val="0"/>
          <w:sz w:val="24"/>
          <w:lang w:eastAsia="en-GB"/>
        </w:rPr>
        <w:t xml:space="preserve"> </w:t>
      </w:r>
      <w:r w:rsidR="00DB3B35" w:rsidRPr="00B61C82">
        <w:rPr>
          <w:rFonts w:ascii="Arial" w:hAnsi="Arial"/>
          <w:b w:val="0"/>
          <w:sz w:val="24"/>
          <w:highlight w:val="yellow"/>
          <w:lang w:eastAsia="en-GB"/>
        </w:rPr>
        <w:t xml:space="preserve">or </w:t>
      </w:r>
      <w:r w:rsidR="00B61C82" w:rsidRPr="00B61C82">
        <w:rPr>
          <w:rFonts w:ascii="Arial" w:hAnsi="Arial"/>
          <w:b w:val="0"/>
          <w:sz w:val="24"/>
          <w:highlight w:val="yellow"/>
          <w:lang w:eastAsia="en-GB"/>
        </w:rPr>
        <w:t>the newly created ‘Other Non-direct Patient Care’</w:t>
      </w:r>
      <w:r w:rsidR="001E7966" w:rsidRPr="00B61C82">
        <w:rPr>
          <w:rFonts w:ascii="Arial" w:hAnsi="Arial"/>
          <w:b w:val="0"/>
          <w:sz w:val="24"/>
          <w:highlight w:val="yellow"/>
          <w:lang w:eastAsia="en-GB"/>
        </w:rPr>
        <w:t xml:space="preserve"> </w:t>
      </w:r>
      <w:r w:rsidR="001E7966" w:rsidRPr="009E4CB6">
        <w:rPr>
          <w:rFonts w:ascii="Arial" w:hAnsi="Arial"/>
          <w:b w:val="0"/>
          <w:sz w:val="24"/>
          <w:lang w:eastAsia="en-GB"/>
        </w:rPr>
        <w:t xml:space="preserve">category </w:t>
      </w:r>
      <w:r w:rsidR="002E2324" w:rsidRPr="009E4CB6">
        <w:rPr>
          <w:rFonts w:ascii="Arial" w:hAnsi="Arial"/>
          <w:b w:val="0"/>
          <w:sz w:val="24"/>
          <w:lang w:eastAsia="en-GB"/>
        </w:rPr>
        <w:t>when</w:t>
      </w:r>
      <w:r w:rsidR="43509FE9" w:rsidRPr="009E4CB6" w:rsidDel="001E7966">
        <w:rPr>
          <w:rFonts w:ascii="Arial" w:hAnsi="Arial"/>
          <w:b w:val="0"/>
          <w:sz w:val="24"/>
          <w:lang w:eastAsia="en-GB"/>
        </w:rPr>
        <w:t xml:space="preserve"> </w:t>
      </w:r>
      <w:r w:rsidR="43509FE9" w:rsidRPr="009E4CB6">
        <w:rPr>
          <w:rFonts w:ascii="Arial" w:hAnsi="Arial"/>
          <w:b w:val="0"/>
          <w:sz w:val="24"/>
          <w:lang w:eastAsia="en-GB"/>
        </w:rPr>
        <w:t>making a claim for reimbursement via the PCN Monthly Claims Portal</w:t>
      </w:r>
      <w:r w:rsidR="00367A29" w:rsidRPr="009E4CB6">
        <w:rPr>
          <w:rFonts w:ascii="Arial" w:hAnsi="Arial"/>
          <w:b w:val="0"/>
          <w:sz w:val="24"/>
          <w:lang w:eastAsia="en-GB"/>
        </w:rPr>
        <w:t xml:space="preserve">. </w:t>
      </w:r>
    </w:p>
    <w:p w14:paraId="28D6141A" w14:textId="77777777" w:rsidR="008F2758" w:rsidRPr="003A0B3B" w:rsidRDefault="008F2758" w:rsidP="003A0B3B">
      <w:pPr>
        <w:pStyle w:val="h3numbered"/>
      </w:pPr>
      <w:bookmarkStart w:id="179" w:name="_Toc178248828"/>
      <w:bookmarkStart w:id="180" w:name="_Toc223511148"/>
      <w:bookmarkStart w:id="181" w:name="_Toc223511436"/>
      <w:r w:rsidRPr="003A0B3B">
        <w:t xml:space="preserve">Further guidance and supporting </w:t>
      </w:r>
      <w:bookmarkEnd w:id="177"/>
      <w:r w:rsidRPr="003A0B3B">
        <w:t>information</w:t>
      </w:r>
      <w:bookmarkEnd w:id="178"/>
      <w:bookmarkEnd w:id="179"/>
      <w:bookmarkEnd w:id="180"/>
      <w:bookmarkEnd w:id="181"/>
    </w:p>
    <w:p w14:paraId="73ABECD9" w14:textId="77777777" w:rsidR="008F2758" w:rsidRPr="009F7815" w:rsidRDefault="008F2758" w:rsidP="00084AFF">
      <w:pPr>
        <w:pStyle w:val="h4numbered"/>
        <w:rPr>
          <w:b/>
        </w:rPr>
      </w:pPr>
      <w:r w:rsidRPr="009F7815">
        <w:t xml:space="preserve">Supporting </w:t>
      </w:r>
      <w:r w:rsidRPr="00B6321F">
        <w:t>guidance</w:t>
      </w:r>
      <w:r w:rsidRPr="009F7815">
        <w:t xml:space="preserve"> providing further information to help PCNs employ or engage Social Prescribing Link Workers, Health and Wellbeing Coaches and Care Co-ordinators is available at:</w:t>
      </w:r>
    </w:p>
    <w:p w14:paraId="0B9FB549" w14:textId="18C36757" w:rsidR="008F2758" w:rsidRPr="00541CF7" w:rsidRDefault="008F2758" w:rsidP="000741C5">
      <w:pPr>
        <w:pStyle w:val="Heading4"/>
        <w:keepNext w:val="0"/>
        <w:numPr>
          <w:ilvl w:val="1"/>
          <w:numId w:val="25"/>
        </w:numPr>
        <w:spacing w:line="276" w:lineRule="auto"/>
        <w:ind w:left="2268" w:hanging="567"/>
        <w:rPr>
          <w:rFonts w:ascii="Arial" w:hAnsi="Arial"/>
          <w:b w:val="0"/>
          <w:sz w:val="24"/>
        </w:rPr>
      </w:pPr>
      <w:r w:rsidRPr="00541CF7">
        <w:rPr>
          <w:rFonts w:ascii="Arial" w:hAnsi="Arial"/>
          <w:b w:val="0"/>
          <w:sz w:val="24"/>
        </w:rPr>
        <w:t xml:space="preserve">Social prescribing link workers - </w:t>
      </w:r>
      <w:hyperlink r:id="rId15" w:history="1">
        <w:r w:rsidR="002E3123" w:rsidRPr="00761F79">
          <w:rPr>
            <w:rStyle w:val="Hyperlink"/>
            <w:rFonts w:ascii="Arial" w:hAnsi="Arial"/>
            <w:b w:val="0"/>
            <w:sz w:val="24"/>
          </w:rPr>
          <w:t>https</w:t>
        </w:r>
        <w:r w:rsidR="002E3123" w:rsidRPr="00761F79">
          <w:rPr>
            <w:rStyle w:val="Hyperlink"/>
            <w:rFonts w:ascii="Arial" w:hAnsi="Arial" w:cs="Arial"/>
            <w:b w:val="0"/>
            <w:sz w:val="24"/>
            <w:lang w:val="en-US"/>
          </w:rPr>
          <w:t>://www.england.nhs.uk/publication/social-prescribing-link-workers/</w:t>
        </w:r>
      </w:hyperlink>
      <w:r w:rsidR="002E3123">
        <w:rPr>
          <w:rFonts w:ascii="Arial" w:hAnsi="Arial" w:cs="Arial"/>
          <w:b w:val="0"/>
          <w:sz w:val="24"/>
          <w:lang w:val="en-US"/>
        </w:rPr>
        <w:t xml:space="preserve"> </w:t>
      </w:r>
    </w:p>
    <w:p w14:paraId="08FA5C15" w14:textId="56D9B22A" w:rsidR="008F2758" w:rsidRPr="00541CF7" w:rsidRDefault="008F2758" w:rsidP="000741C5">
      <w:pPr>
        <w:pStyle w:val="Heading4"/>
        <w:keepNext w:val="0"/>
        <w:numPr>
          <w:ilvl w:val="1"/>
          <w:numId w:val="25"/>
        </w:numPr>
        <w:spacing w:line="276" w:lineRule="auto"/>
        <w:ind w:left="2268" w:hanging="567"/>
        <w:rPr>
          <w:rFonts w:ascii="Arial" w:hAnsi="Arial" w:cs="Arial"/>
          <w:b w:val="0"/>
          <w:sz w:val="24"/>
          <w:lang w:val="en-US"/>
        </w:rPr>
      </w:pPr>
      <w:r w:rsidRPr="00541CF7">
        <w:rPr>
          <w:rFonts w:ascii="Arial" w:hAnsi="Arial" w:cs="Arial"/>
          <w:b w:val="0"/>
          <w:sz w:val="24"/>
          <w:lang w:val="en-US"/>
        </w:rPr>
        <w:t xml:space="preserve">Health and Wellbeing Coaches - </w:t>
      </w:r>
      <w:hyperlink r:id="rId16" w:history="1">
        <w:r w:rsidR="00905558" w:rsidRPr="00905558">
          <w:rPr>
            <w:rStyle w:val="Hyperlink"/>
            <w:rFonts w:ascii="Arial" w:hAnsi="Arial" w:cs="Arial"/>
            <w:b w:val="0"/>
            <w:sz w:val="24"/>
          </w:rPr>
          <w:t>NHS England » Supported self-management: health coaching guide</w:t>
        </w:r>
      </w:hyperlink>
      <w:r w:rsidR="002E3123">
        <w:rPr>
          <w:rFonts w:ascii="Arial" w:hAnsi="Arial" w:cs="Arial"/>
          <w:b w:val="0"/>
          <w:sz w:val="24"/>
          <w:lang w:val="en-US"/>
        </w:rPr>
        <w:t xml:space="preserve"> </w:t>
      </w:r>
    </w:p>
    <w:p w14:paraId="07AB4BB4" w14:textId="02B6C2C8" w:rsidR="008F2758" w:rsidRPr="00541CF7" w:rsidRDefault="008F2758" w:rsidP="000741C5">
      <w:pPr>
        <w:pStyle w:val="Heading4"/>
        <w:keepNext w:val="0"/>
        <w:numPr>
          <w:ilvl w:val="1"/>
          <w:numId w:val="25"/>
        </w:numPr>
        <w:spacing w:line="276" w:lineRule="auto"/>
        <w:ind w:left="2268" w:hanging="567"/>
        <w:rPr>
          <w:rStyle w:val="Hyperlink"/>
          <w:rFonts w:ascii="Arial" w:hAnsi="Arial" w:cs="Arial"/>
          <w:b w:val="0"/>
          <w:sz w:val="24"/>
        </w:rPr>
      </w:pPr>
      <w:r w:rsidRPr="00541CF7">
        <w:rPr>
          <w:rFonts w:ascii="Arial" w:hAnsi="Arial"/>
          <w:b w:val="0"/>
          <w:sz w:val="24"/>
        </w:rPr>
        <w:lastRenderedPageBreak/>
        <w:t xml:space="preserve">Personalised Care Institute - </w:t>
      </w:r>
      <w:hyperlink r:id="rId17" w:history="1">
        <w:r w:rsidR="002E3123" w:rsidRPr="00761F79">
          <w:rPr>
            <w:rStyle w:val="Hyperlink"/>
            <w:rFonts w:ascii="Arial" w:hAnsi="Arial" w:cs="Arial"/>
            <w:b w:val="0"/>
            <w:sz w:val="24"/>
          </w:rPr>
          <w:t>https://www.england.nhs.uk/personalisedcare/supporting-health-and-care-staff-to-deliver-personalised-care/personalised-care-institute/</w:t>
        </w:r>
      </w:hyperlink>
      <w:r w:rsidR="002E3123">
        <w:rPr>
          <w:rFonts w:ascii="Arial" w:hAnsi="Arial" w:cs="Arial"/>
          <w:b w:val="0"/>
          <w:sz w:val="24"/>
        </w:rPr>
        <w:t xml:space="preserve"> </w:t>
      </w:r>
    </w:p>
    <w:p w14:paraId="2F04CE97" w14:textId="1A5475A5" w:rsidR="008F2758" w:rsidRPr="00C646F5" w:rsidRDefault="00A97E74" w:rsidP="00084AFF">
      <w:pPr>
        <w:pStyle w:val="h4numbered"/>
        <w:rPr>
          <w:b/>
        </w:rPr>
      </w:pPr>
      <w:bookmarkStart w:id="182" w:name="_Hlk36122063"/>
      <w:bookmarkStart w:id="183" w:name="_Hlk35604693"/>
      <w:r w:rsidRPr="00C646F5">
        <w:rPr>
          <w:rFonts w:hint="eastAsia"/>
        </w:rPr>
        <w:t xml:space="preserve">A </w:t>
      </w:r>
      <w:r w:rsidR="008F2758" w:rsidRPr="00C646F5">
        <w:rPr>
          <w:rFonts w:hint="eastAsia"/>
        </w:rPr>
        <w:t xml:space="preserve">number of </w:t>
      </w:r>
      <w:r w:rsidR="008F2758" w:rsidRPr="00B6321F">
        <w:rPr>
          <w:rFonts w:hint="eastAsia"/>
        </w:rPr>
        <w:t>supporting</w:t>
      </w:r>
      <w:r w:rsidR="008F2758" w:rsidRPr="00C646F5">
        <w:rPr>
          <w:rFonts w:hint="eastAsia"/>
        </w:rPr>
        <w:t xml:space="preserve"> materials are available in the Primary Care Networks Development Support section of the FutureNHS Collaboration Platform</w:t>
      </w:r>
      <w:r w:rsidR="009C013C" w:rsidRPr="00C646F5">
        <w:rPr>
          <w:rFonts w:hint="eastAsia"/>
        </w:rPr>
        <w:t xml:space="preserve"> and the MDT workforce section of the NHS</w:t>
      </w:r>
      <w:r w:rsidR="008A1FF6">
        <w:t>E</w:t>
      </w:r>
      <w:r w:rsidR="009C013C" w:rsidRPr="00C646F5">
        <w:rPr>
          <w:rFonts w:hint="eastAsia"/>
        </w:rPr>
        <w:t xml:space="preserve"> website. </w:t>
      </w:r>
    </w:p>
    <w:p w14:paraId="13F5EA9C" w14:textId="1EE29B88" w:rsidR="00291F49" w:rsidRPr="009E4CB6" w:rsidRDefault="00291F49" w:rsidP="0035573B">
      <w:pPr>
        <w:pStyle w:val="h3numbered"/>
        <w:keepNext/>
        <w:keepLines/>
      </w:pPr>
      <w:bookmarkStart w:id="184" w:name="_Toc223511149"/>
      <w:bookmarkStart w:id="185" w:name="_Toc223511437"/>
      <w:r w:rsidRPr="009E4CB6">
        <w:t>General Medical Practitioner</w:t>
      </w:r>
      <w:bookmarkEnd w:id="184"/>
      <w:bookmarkEnd w:id="185"/>
    </w:p>
    <w:p w14:paraId="5DAEB148" w14:textId="0E6BA71F" w:rsidR="0052097A" w:rsidRPr="009E4CB6" w:rsidRDefault="005E19A3" w:rsidP="00084AFF">
      <w:pPr>
        <w:pStyle w:val="h4numbered"/>
      </w:pPr>
      <w:r w:rsidRPr="009E4CB6">
        <w:t xml:space="preserve">Annex B of the Network Contract DES Specification does not provide for specific role </w:t>
      </w:r>
      <w:r w:rsidR="00474F0F" w:rsidRPr="009E4CB6">
        <w:t>responsibilities</w:t>
      </w:r>
      <w:r w:rsidRPr="009E4CB6">
        <w:t xml:space="preserve"> for General Medical Practitioners</w:t>
      </w:r>
      <w:r w:rsidR="0052097A" w:rsidRPr="009E4CB6">
        <w:t xml:space="preserve">, except that, any offer of employment or engagement made to a </w:t>
      </w:r>
      <w:r w:rsidR="00AC7548" w:rsidRPr="009E4CB6">
        <w:t>General Medical Practitioner</w:t>
      </w:r>
      <w:r w:rsidR="0052097A" w:rsidRPr="009E4CB6">
        <w:t xml:space="preserve"> must be made on terms and conditions which are no less favourable than those contained in the document entitled “Model terms and conditions of service for a salaried general practitioner employed by a GMS practice”</w:t>
      </w:r>
      <w:r w:rsidR="0052097A" w:rsidRPr="009E4CB6">
        <w:rPr>
          <w:rStyle w:val="FootnoteReference"/>
          <w:rFonts w:cs="Arial"/>
          <w:bCs/>
          <w:szCs w:val="18"/>
        </w:rPr>
        <w:footnoteReference w:id="15"/>
      </w:r>
      <w:r w:rsidR="0052097A" w:rsidRPr="009E4CB6">
        <w:t xml:space="preserve"> .</w:t>
      </w:r>
    </w:p>
    <w:p w14:paraId="66DDB9DA" w14:textId="42ECA821" w:rsidR="006C59B2" w:rsidRPr="00BE1C90" w:rsidRDefault="006C59B2" w:rsidP="00084AFF">
      <w:pPr>
        <w:pStyle w:val="h4numbered"/>
      </w:pPr>
      <w:r w:rsidRPr="00BE1C90">
        <w:t>Where a general Medical Practitioner is absent for the reasons provided under section 7.6.1 of the Network Contract DES Specification relevant payments may be made in accordance with section 7.6.2.</w:t>
      </w:r>
    </w:p>
    <w:p w14:paraId="625F5BCB" w14:textId="1BED6FC1" w:rsidR="008F2758" w:rsidRDefault="0035573B" w:rsidP="00084AFF">
      <w:pPr>
        <w:pStyle w:val="h2numbered"/>
      </w:pPr>
      <w:bookmarkStart w:id="186" w:name="_Toc36557289"/>
      <w:bookmarkStart w:id="187" w:name="_Toc150156015"/>
      <w:bookmarkStart w:id="188" w:name="_Toc26957671"/>
      <w:bookmarkEnd w:id="182"/>
      <w:bookmarkEnd w:id="183"/>
      <w:r>
        <w:tab/>
      </w:r>
      <w:bookmarkStart w:id="189" w:name="_Toc223511150"/>
      <w:bookmarkStart w:id="190" w:name="_Toc223511438"/>
      <w:r w:rsidR="008F2758" w:rsidRPr="00F55944">
        <w:t>Service requirements</w:t>
      </w:r>
      <w:bookmarkEnd w:id="186"/>
      <w:bookmarkEnd w:id="187"/>
      <w:bookmarkEnd w:id="189"/>
      <w:bookmarkEnd w:id="190"/>
    </w:p>
    <w:p w14:paraId="16030763" w14:textId="5D62DBF1" w:rsidR="00202165" w:rsidRDefault="00452669" w:rsidP="00084AFF">
      <w:pPr>
        <w:pStyle w:val="h3numbered"/>
      </w:pPr>
      <w:bookmarkStart w:id="191" w:name="_Toc223511151"/>
      <w:bookmarkStart w:id="192" w:name="_Toc223511439"/>
      <w:r>
        <w:t>Core PCN Service Requirements</w:t>
      </w:r>
      <w:bookmarkEnd w:id="191"/>
      <w:bookmarkEnd w:id="192"/>
    </w:p>
    <w:p w14:paraId="69055750" w14:textId="20608D7A" w:rsidR="004A2A9F" w:rsidRPr="0070387A" w:rsidRDefault="008F2758" w:rsidP="0070387A">
      <w:pPr>
        <w:pStyle w:val="h4numbered"/>
      </w:pPr>
      <w:bookmarkStart w:id="193" w:name="_Toc161646734"/>
      <w:bookmarkStart w:id="194" w:name="_Toc161994203"/>
      <w:bookmarkStart w:id="195" w:name="_Toc178248520"/>
      <w:bookmarkStart w:id="196" w:name="_Toc178248832"/>
      <w:bookmarkStart w:id="197" w:name="_Toc223511152"/>
      <w:bookmarkStart w:id="198" w:name="_Toc153872887"/>
      <w:bookmarkStart w:id="199" w:name="_Toc153872931"/>
      <w:bookmarkStart w:id="200" w:name="_Toc153902645"/>
      <w:bookmarkStart w:id="201" w:name="_Toc153990097"/>
      <w:bookmarkStart w:id="202" w:name="_Toc150156016"/>
      <w:r w:rsidRPr="0070387A">
        <w:rPr>
          <w:rStyle w:val="Heading2Char"/>
          <w:rFonts w:ascii="Arial" w:hAnsi="Arial" w:cs="Times New Roman"/>
          <w:b w:val="0"/>
          <w:color w:val="231F20" w:themeColor="background1"/>
          <w:sz w:val="24"/>
          <w:szCs w:val="20"/>
        </w:rPr>
        <w:t xml:space="preserve">The Network Contract DES specifies that </w:t>
      </w:r>
      <w:r w:rsidR="001A167B" w:rsidRPr="0070387A">
        <w:rPr>
          <w:rStyle w:val="Heading2Char"/>
          <w:rFonts w:ascii="Arial" w:hAnsi="Arial" w:cs="Times New Roman"/>
          <w:b w:val="0"/>
          <w:color w:val="231F20" w:themeColor="background1"/>
          <w:sz w:val="24"/>
          <w:szCs w:val="20"/>
        </w:rPr>
        <w:t xml:space="preserve">a </w:t>
      </w:r>
      <w:r w:rsidRPr="0070387A">
        <w:rPr>
          <w:rStyle w:val="Heading2Char"/>
          <w:rFonts w:ascii="Arial" w:hAnsi="Arial" w:cs="Times New Roman"/>
          <w:b w:val="0"/>
          <w:color w:val="231F20" w:themeColor="background1"/>
          <w:sz w:val="24"/>
          <w:szCs w:val="20"/>
        </w:rPr>
        <w:t>PCN</w:t>
      </w:r>
      <w:bookmarkEnd w:id="193"/>
      <w:bookmarkEnd w:id="194"/>
      <w:bookmarkEnd w:id="195"/>
      <w:bookmarkEnd w:id="196"/>
      <w:bookmarkEnd w:id="197"/>
      <w:r w:rsidRPr="0070387A">
        <w:rPr>
          <w:rStyle w:val="Heading2Char"/>
          <w:rFonts w:ascii="Arial" w:hAnsi="Arial" w:cs="Times New Roman"/>
          <w:b w:val="0"/>
          <w:color w:val="231F20" w:themeColor="background1"/>
          <w:sz w:val="24"/>
          <w:szCs w:val="20"/>
        </w:rPr>
        <w:t xml:space="preserve"> </w:t>
      </w:r>
      <w:bookmarkEnd w:id="198"/>
      <w:bookmarkEnd w:id="199"/>
      <w:bookmarkEnd w:id="200"/>
      <w:bookmarkEnd w:id="201"/>
      <w:r w:rsidR="004A2A9F" w:rsidRPr="0070387A">
        <w:rPr>
          <w:rFonts w:hint="eastAsia"/>
        </w:rPr>
        <w:t>has four key functions:</w:t>
      </w:r>
    </w:p>
    <w:p w14:paraId="0CF38C6E" w14:textId="77777777" w:rsidR="004A2A9F" w:rsidRPr="00B96F7E" w:rsidRDefault="004A2A9F" w:rsidP="000741C5">
      <w:pPr>
        <w:pStyle w:val="Heading4"/>
        <w:keepNext w:val="0"/>
        <w:numPr>
          <w:ilvl w:val="1"/>
          <w:numId w:val="45"/>
        </w:numPr>
        <w:spacing w:line="276" w:lineRule="auto"/>
        <w:ind w:left="2268" w:hanging="567"/>
        <w:rPr>
          <w:rFonts w:cs="Arial" w:hint="eastAsia"/>
          <w:bCs/>
          <w:szCs w:val="24"/>
        </w:rPr>
      </w:pPr>
      <w:r w:rsidRPr="00B96F7E">
        <w:rPr>
          <w:rFonts w:ascii="Arial" w:hAnsi="Arial" w:cs="Arial"/>
          <w:b w:val="0"/>
          <w:bCs/>
          <w:sz w:val="24"/>
          <w:szCs w:val="24"/>
        </w:rPr>
        <w:t>co-ordinate, organise and deploy shared resources to support and improve resilience and care delivery</w:t>
      </w:r>
      <w:r w:rsidRPr="00B96F7E">
        <w:rPr>
          <w:rFonts w:ascii="Arial" w:hAnsi="Arial" w:cs="Arial"/>
          <w:b w:val="0"/>
          <w:bCs/>
          <w:sz w:val="24"/>
          <w:szCs w:val="24"/>
          <w:vertAlign w:val="superscript"/>
        </w:rPr>
        <w:footnoteReference w:id="16"/>
      </w:r>
      <w:r w:rsidRPr="00B96F7E">
        <w:rPr>
          <w:rFonts w:ascii="Arial" w:hAnsi="Arial" w:cs="Arial"/>
          <w:b w:val="0"/>
          <w:bCs/>
          <w:sz w:val="24"/>
          <w:szCs w:val="24"/>
        </w:rPr>
        <w:t xml:space="preserve"> at both PCN and practice level;</w:t>
      </w:r>
    </w:p>
    <w:p w14:paraId="765F0ECE" w14:textId="77777777" w:rsidR="004A2A9F" w:rsidRPr="00B96F7E" w:rsidRDefault="004A2A9F" w:rsidP="000741C5">
      <w:pPr>
        <w:pStyle w:val="Heading4"/>
        <w:keepNext w:val="0"/>
        <w:numPr>
          <w:ilvl w:val="1"/>
          <w:numId w:val="45"/>
        </w:numPr>
        <w:spacing w:line="276" w:lineRule="auto"/>
        <w:ind w:left="2268" w:hanging="567"/>
        <w:rPr>
          <w:rFonts w:cs="Arial" w:hint="eastAsia"/>
          <w:bCs/>
          <w:szCs w:val="24"/>
        </w:rPr>
      </w:pPr>
      <w:r w:rsidRPr="00B96F7E">
        <w:rPr>
          <w:rFonts w:ascii="Arial" w:hAnsi="Arial" w:cs="Arial"/>
          <w:b w:val="0"/>
          <w:bCs/>
          <w:sz w:val="24"/>
          <w:szCs w:val="24"/>
        </w:rPr>
        <w:t>improve health outcomes for its patients through effective population health management and reducing health inequalities;</w:t>
      </w:r>
    </w:p>
    <w:p w14:paraId="37C7F38A" w14:textId="77777777" w:rsidR="004A2A9F" w:rsidRPr="00B96F7E" w:rsidRDefault="004A2A9F" w:rsidP="000741C5">
      <w:pPr>
        <w:pStyle w:val="Heading4"/>
        <w:keepNext w:val="0"/>
        <w:numPr>
          <w:ilvl w:val="1"/>
          <w:numId w:val="45"/>
        </w:numPr>
        <w:spacing w:line="276" w:lineRule="auto"/>
        <w:ind w:left="2268" w:hanging="567"/>
        <w:rPr>
          <w:rFonts w:cs="Arial" w:hint="eastAsia"/>
          <w:bCs/>
          <w:szCs w:val="24"/>
        </w:rPr>
      </w:pPr>
      <w:r w:rsidRPr="00B96F7E">
        <w:rPr>
          <w:rFonts w:ascii="Arial" w:hAnsi="Arial" w:cs="Arial"/>
          <w:b w:val="0"/>
          <w:bCs/>
          <w:sz w:val="24"/>
          <w:szCs w:val="24"/>
        </w:rPr>
        <w:t>target resource and efforts in the most effective way to meet patient need, which includes delivering proactive care; and</w:t>
      </w:r>
    </w:p>
    <w:p w14:paraId="36C2EC27" w14:textId="77777777" w:rsidR="001647E2" w:rsidRDefault="004A2A9F" w:rsidP="000741C5">
      <w:pPr>
        <w:pStyle w:val="Heading4"/>
        <w:keepNext w:val="0"/>
        <w:numPr>
          <w:ilvl w:val="1"/>
          <w:numId w:val="45"/>
        </w:numPr>
        <w:spacing w:line="276" w:lineRule="auto"/>
        <w:ind w:left="2268" w:hanging="567"/>
        <w:rPr>
          <w:rFonts w:ascii="Arial" w:hAnsi="Arial" w:cs="Arial"/>
          <w:b w:val="0"/>
          <w:bCs/>
          <w:sz w:val="24"/>
          <w:szCs w:val="24"/>
        </w:rPr>
      </w:pPr>
      <w:r w:rsidRPr="00B96F7E">
        <w:rPr>
          <w:rFonts w:ascii="Arial" w:hAnsi="Arial" w:cs="Arial"/>
          <w:b w:val="0"/>
          <w:bCs/>
          <w:sz w:val="24"/>
          <w:szCs w:val="24"/>
        </w:rPr>
        <w:t>collaborate with non-GP providers to provide better care, as part of an integrated neighbourhood team.</w:t>
      </w:r>
    </w:p>
    <w:p w14:paraId="0CD6D4F8" w14:textId="00DB3233" w:rsidR="004A2A9F" w:rsidRDefault="00182772" w:rsidP="00182772">
      <w:pPr>
        <w:pStyle w:val="Heading4"/>
        <w:keepNext w:val="0"/>
        <w:spacing w:line="276" w:lineRule="auto"/>
        <w:ind w:left="1701"/>
        <w:rPr>
          <w:rFonts w:ascii="Arial" w:hAnsi="Arial" w:cs="Arial"/>
          <w:b w:val="0"/>
          <w:bCs/>
          <w:sz w:val="24"/>
          <w:szCs w:val="24"/>
        </w:rPr>
      </w:pPr>
      <w:r w:rsidRPr="00182772">
        <w:rPr>
          <w:rFonts w:ascii="Arial" w:hAnsi="Arial" w:cs="Arial"/>
          <w:b w:val="0"/>
          <w:bCs/>
          <w:sz w:val="24"/>
          <w:szCs w:val="24"/>
          <w:highlight w:val="yellow"/>
        </w:rPr>
        <w:lastRenderedPageBreak/>
        <w:t>Where</w:t>
      </w:r>
      <w:r w:rsidRPr="00182772">
        <w:rPr>
          <w:highlight w:val="yellow"/>
        </w:rPr>
        <w:t xml:space="preserve"> </w:t>
      </w:r>
      <w:r w:rsidRPr="00182772">
        <w:rPr>
          <w:rFonts w:ascii="Arial" w:hAnsi="Arial" w:cs="Arial"/>
          <w:b w:val="0"/>
          <w:bCs/>
          <w:sz w:val="24"/>
          <w:szCs w:val="24"/>
          <w:highlight w:val="yellow"/>
        </w:rPr>
        <w:t>electronic safety netting tools, screening systems or related digital infrastructure are required to improve health outcomes pursuant to Section 8.3 of the Network Contract DES Specification, and this is already funded or commissioned by the commissioner, this funding must be maintained by the commissioner.</w:t>
      </w:r>
      <w:r w:rsidRPr="00182772">
        <w:rPr>
          <w:rFonts w:ascii="Arial" w:hAnsi="Arial" w:cs="Arial"/>
          <w:b w:val="0"/>
          <w:bCs/>
          <w:sz w:val="24"/>
          <w:szCs w:val="24"/>
        </w:rPr>
        <w:t xml:space="preserve"> </w:t>
      </w:r>
      <w:r>
        <w:rPr>
          <w:rFonts w:ascii="Arial" w:hAnsi="Arial" w:cs="Arial"/>
          <w:b w:val="0"/>
          <w:bCs/>
          <w:sz w:val="24"/>
          <w:szCs w:val="24"/>
        </w:rPr>
        <w:t xml:space="preserve"> </w:t>
      </w:r>
    </w:p>
    <w:p w14:paraId="3E223B02" w14:textId="0D3DFE9C" w:rsidR="00F70E67" w:rsidRPr="0070387A" w:rsidRDefault="009D15A5" w:rsidP="0070387A">
      <w:pPr>
        <w:pStyle w:val="h4numbered"/>
        <w:rPr>
          <w:rStyle w:val="Heading2Char"/>
          <w:rFonts w:ascii="Arial" w:hAnsi="Arial" w:cs="Times New Roman"/>
          <w:b w:val="0"/>
          <w:color w:val="231F20" w:themeColor="background1"/>
          <w:sz w:val="24"/>
          <w:szCs w:val="20"/>
        </w:rPr>
      </w:pPr>
      <w:bookmarkStart w:id="203" w:name="_Toc161646735"/>
      <w:bookmarkStart w:id="204" w:name="_Toc161994204"/>
      <w:bookmarkStart w:id="205" w:name="_Toc178248521"/>
      <w:bookmarkStart w:id="206" w:name="_Toc178248833"/>
      <w:bookmarkStart w:id="207" w:name="_Toc223511153"/>
      <w:r w:rsidRPr="0070387A">
        <w:rPr>
          <w:rStyle w:val="Heading2Char"/>
          <w:rFonts w:ascii="Arial" w:hAnsi="Arial" w:cs="Times New Roman"/>
          <w:b w:val="0"/>
          <w:color w:val="231F20" w:themeColor="background1"/>
          <w:sz w:val="24"/>
          <w:szCs w:val="20"/>
        </w:rPr>
        <w:t>PCN</w:t>
      </w:r>
      <w:r w:rsidR="004E1C2D" w:rsidRPr="0070387A">
        <w:rPr>
          <w:rStyle w:val="Heading2Char"/>
          <w:rFonts w:ascii="Arial" w:hAnsi="Arial" w:cs="Times New Roman"/>
          <w:b w:val="0"/>
          <w:color w:val="231F20" w:themeColor="background1"/>
          <w:sz w:val="24"/>
          <w:szCs w:val="20"/>
        </w:rPr>
        <w:t>s</w:t>
      </w:r>
      <w:r w:rsidRPr="0070387A">
        <w:rPr>
          <w:rStyle w:val="Heading2Char"/>
          <w:rFonts w:ascii="Arial" w:hAnsi="Arial" w:cs="Times New Roman"/>
          <w:b w:val="0"/>
          <w:color w:val="231F20" w:themeColor="background1"/>
          <w:sz w:val="24"/>
          <w:szCs w:val="20"/>
        </w:rPr>
        <w:t xml:space="preserve"> choosing to provide s</w:t>
      </w:r>
      <w:r w:rsidR="00A131C4" w:rsidRPr="0070387A">
        <w:rPr>
          <w:rStyle w:val="Heading2Char"/>
          <w:rFonts w:ascii="Arial" w:hAnsi="Arial" w:cs="Times New Roman"/>
          <w:b w:val="0"/>
          <w:color w:val="231F20" w:themeColor="background1"/>
          <w:sz w:val="24"/>
          <w:szCs w:val="20"/>
        </w:rPr>
        <w:t xml:space="preserve">ome </w:t>
      </w:r>
      <w:r w:rsidR="00FC7535" w:rsidRPr="0070387A">
        <w:rPr>
          <w:rStyle w:val="Heading2Char"/>
          <w:rFonts w:ascii="Arial" w:hAnsi="Arial" w:cs="Times New Roman"/>
          <w:b w:val="0"/>
          <w:color w:val="231F20" w:themeColor="background1"/>
          <w:sz w:val="24"/>
          <w:szCs w:val="20"/>
        </w:rPr>
        <w:t xml:space="preserve">practice services (such as vaccination and immunisation, or provision of personally administered items) </w:t>
      </w:r>
      <w:r w:rsidRPr="0070387A">
        <w:rPr>
          <w:rStyle w:val="Heading2Char"/>
          <w:rFonts w:ascii="Arial" w:hAnsi="Arial" w:cs="Times New Roman"/>
          <w:b w:val="0"/>
          <w:color w:val="231F20" w:themeColor="background1"/>
          <w:sz w:val="24"/>
          <w:szCs w:val="20"/>
        </w:rPr>
        <w:t xml:space="preserve">must comply with </w:t>
      </w:r>
      <w:r w:rsidR="00BF6E8C" w:rsidRPr="0070387A">
        <w:rPr>
          <w:rStyle w:val="Heading2Char"/>
          <w:rFonts w:ascii="Arial" w:hAnsi="Arial" w:cs="Times New Roman"/>
          <w:b w:val="0"/>
          <w:color w:val="231F20" w:themeColor="background1"/>
          <w:sz w:val="24"/>
          <w:szCs w:val="20"/>
        </w:rPr>
        <w:t>additional requirements and make provision for equitable redistribution of funding</w:t>
      </w:r>
      <w:r w:rsidR="006D7C39" w:rsidRPr="0070387A">
        <w:rPr>
          <w:rStyle w:val="Heading2Char"/>
          <w:rFonts w:ascii="Arial" w:hAnsi="Arial" w:cs="Times New Roman"/>
          <w:b w:val="0"/>
          <w:color w:val="231F20" w:themeColor="background1"/>
          <w:sz w:val="24"/>
          <w:szCs w:val="20"/>
        </w:rPr>
        <w:t xml:space="preserve"> as appropriate</w:t>
      </w:r>
      <w:r w:rsidR="00BF6E8C" w:rsidRPr="0070387A">
        <w:rPr>
          <w:rStyle w:val="Heading2Char"/>
          <w:rFonts w:ascii="Arial" w:hAnsi="Arial" w:cs="Times New Roman"/>
          <w:b w:val="0"/>
          <w:color w:val="231F20" w:themeColor="background1"/>
          <w:sz w:val="24"/>
          <w:szCs w:val="20"/>
        </w:rPr>
        <w:t>.</w:t>
      </w:r>
      <w:bookmarkEnd w:id="203"/>
      <w:bookmarkEnd w:id="204"/>
      <w:bookmarkEnd w:id="205"/>
      <w:bookmarkEnd w:id="206"/>
      <w:bookmarkEnd w:id="207"/>
      <w:r w:rsidR="00BF6E8C" w:rsidRPr="0070387A">
        <w:rPr>
          <w:rStyle w:val="Heading2Char"/>
          <w:rFonts w:ascii="Arial" w:hAnsi="Arial" w:cs="Times New Roman"/>
          <w:b w:val="0"/>
          <w:color w:val="231F20" w:themeColor="background1"/>
          <w:sz w:val="24"/>
          <w:szCs w:val="20"/>
        </w:rPr>
        <w:t xml:space="preserve"> </w:t>
      </w:r>
    </w:p>
    <w:p w14:paraId="2674DD7A" w14:textId="77777777" w:rsidR="0041287E" w:rsidRPr="0070387A" w:rsidRDefault="00611664" w:rsidP="0070387A">
      <w:pPr>
        <w:pStyle w:val="h4numbered"/>
        <w:rPr>
          <w:rStyle w:val="Heading2Char"/>
          <w:rFonts w:ascii="Arial" w:hAnsi="Arial" w:cs="Times New Roman"/>
          <w:b w:val="0"/>
          <w:color w:val="231F20" w:themeColor="background1"/>
          <w:sz w:val="24"/>
          <w:szCs w:val="20"/>
        </w:rPr>
      </w:pPr>
      <w:bookmarkStart w:id="208" w:name="_Toc223511154"/>
      <w:bookmarkStart w:id="209" w:name="_Toc161646736"/>
      <w:bookmarkStart w:id="210" w:name="_Toc161994205"/>
      <w:bookmarkStart w:id="211" w:name="_Toc178248522"/>
      <w:bookmarkStart w:id="212" w:name="_Toc178248834"/>
      <w:r w:rsidRPr="0070387A">
        <w:rPr>
          <w:rStyle w:val="Heading2Char"/>
          <w:rFonts w:ascii="Arial" w:hAnsi="Arial" w:cs="Times New Roman"/>
          <w:b w:val="0"/>
          <w:color w:val="231F20" w:themeColor="background1"/>
          <w:sz w:val="24"/>
          <w:szCs w:val="20"/>
        </w:rPr>
        <w:t xml:space="preserve">As set out in the Specification, </w:t>
      </w:r>
      <w:r w:rsidR="00E83A1B" w:rsidRPr="0070387A">
        <w:rPr>
          <w:rStyle w:val="Heading2Char"/>
          <w:rFonts w:ascii="Arial" w:hAnsi="Arial" w:cs="Times New Roman"/>
          <w:b w:val="0"/>
          <w:color w:val="231F20" w:themeColor="background1"/>
          <w:sz w:val="24"/>
          <w:szCs w:val="20"/>
        </w:rPr>
        <w:t xml:space="preserve">where Core Practice Networks within a PCN intend to </w:t>
      </w:r>
      <w:r w:rsidR="005B0CFF" w:rsidRPr="0070387A">
        <w:rPr>
          <w:rStyle w:val="Heading2Char"/>
          <w:rFonts w:ascii="Arial" w:hAnsi="Arial" w:cs="Times New Roman"/>
          <w:b w:val="0"/>
          <w:color w:val="231F20" w:themeColor="background1"/>
          <w:sz w:val="24"/>
          <w:szCs w:val="20"/>
        </w:rPr>
        <w:t xml:space="preserve">collaboratively </w:t>
      </w:r>
      <w:r w:rsidR="00807AAE" w:rsidRPr="0070387A">
        <w:rPr>
          <w:rStyle w:val="Heading2Char"/>
          <w:rFonts w:ascii="Arial" w:hAnsi="Arial" w:cs="Times New Roman"/>
          <w:b w:val="0"/>
          <w:color w:val="231F20" w:themeColor="background1"/>
          <w:sz w:val="24"/>
          <w:szCs w:val="20"/>
        </w:rPr>
        <w:t xml:space="preserve">deliver vaccinations, </w:t>
      </w:r>
      <w:r w:rsidR="00E83A1B" w:rsidRPr="0070387A">
        <w:rPr>
          <w:rStyle w:val="Heading2Char"/>
          <w:rFonts w:ascii="Arial" w:hAnsi="Arial" w:cs="Times New Roman"/>
          <w:b w:val="0"/>
          <w:color w:val="231F20" w:themeColor="background1"/>
          <w:sz w:val="24"/>
          <w:szCs w:val="20"/>
        </w:rPr>
        <w:t xml:space="preserve">the PCN must ensure </w:t>
      </w:r>
      <w:r w:rsidR="00A7024E" w:rsidRPr="0070387A">
        <w:rPr>
          <w:rStyle w:val="Heading2Char"/>
          <w:rFonts w:ascii="Arial" w:hAnsi="Arial" w:cs="Times New Roman"/>
          <w:b w:val="0"/>
          <w:color w:val="231F20" w:themeColor="background1"/>
          <w:sz w:val="24"/>
          <w:szCs w:val="20"/>
        </w:rPr>
        <w:t>that the Network Agreement has been varied to include a schedule (and a clause referring to that schedule) that explains the governance arrangements associated with that delivery.</w:t>
      </w:r>
      <w:bookmarkEnd w:id="208"/>
      <w:r w:rsidR="00A7024E" w:rsidRPr="0070387A">
        <w:rPr>
          <w:rStyle w:val="Heading2Char"/>
          <w:rFonts w:ascii="Arial" w:hAnsi="Arial" w:cs="Times New Roman"/>
          <w:b w:val="0"/>
          <w:color w:val="231F20" w:themeColor="background1"/>
          <w:sz w:val="24"/>
          <w:szCs w:val="20"/>
        </w:rPr>
        <w:t xml:space="preserve"> </w:t>
      </w:r>
    </w:p>
    <w:p w14:paraId="39CBE48F" w14:textId="77777777" w:rsidR="00C202EA" w:rsidRDefault="00C202EA" w:rsidP="00C202EA">
      <w:pPr>
        <w:pStyle w:val="h4numbered"/>
        <w:rPr>
          <w:rStyle w:val="Heading2Char"/>
          <w:rFonts w:ascii="Arial" w:hAnsi="Arial" w:cs="Times New Roman"/>
          <w:b w:val="0"/>
          <w:color w:val="231F20" w:themeColor="background1"/>
          <w:sz w:val="24"/>
          <w:szCs w:val="20"/>
          <w:highlight w:val="yellow"/>
        </w:rPr>
      </w:pPr>
      <w:bookmarkStart w:id="213" w:name="_Toc223511155"/>
      <w:r w:rsidRPr="0070387A">
        <w:rPr>
          <w:rStyle w:val="Heading2Char"/>
          <w:rFonts w:ascii="Arial" w:hAnsi="Arial" w:cs="Times New Roman"/>
          <w:b w:val="0"/>
          <w:color w:val="231F20" w:themeColor="background1"/>
          <w:sz w:val="24"/>
          <w:szCs w:val="20"/>
          <w:highlight w:val="yellow"/>
        </w:rPr>
        <w:t>The combined effect of the Network Contract DES Specification, the varied Network Agreement and, the</w:t>
      </w:r>
      <w:bookmarkEnd w:id="213"/>
      <w:r w:rsidRPr="0070387A">
        <w:rPr>
          <w:rStyle w:val="Heading2Char"/>
          <w:rFonts w:ascii="Arial" w:hAnsi="Arial" w:cs="Times New Roman"/>
          <w:b w:val="0"/>
          <w:color w:val="231F20" w:themeColor="background1"/>
          <w:sz w:val="24"/>
          <w:szCs w:val="20"/>
          <w:highlight w:val="yellow"/>
        </w:rPr>
        <w:t xml:space="preserve"> </w:t>
      </w:r>
      <w:r w:rsidRPr="0070387A">
        <w:rPr>
          <w:highlight w:val="yellow"/>
        </w:rPr>
        <w:t>General Practice COVID-19 and Adult Influenza Vaccination Enhanced Service 2026/27 (“the ES”)</w:t>
      </w:r>
      <w:r w:rsidRPr="0070387A">
        <w:rPr>
          <w:rStyle w:val="Heading2Char"/>
          <w:rFonts w:ascii="Arial" w:hAnsi="Arial" w:cs="Times New Roman"/>
          <w:b w:val="0"/>
          <w:color w:val="231F20" w:themeColor="background1"/>
          <w:sz w:val="24"/>
          <w:szCs w:val="20"/>
          <w:highlight w:val="yellow"/>
        </w:rPr>
        <w:t xml:space="preserve"> is that any practice within a PCN can provide COVID-19 and / or adult influenza vaccines to the PCN’s collective patients who are residents of Aligned Care Homes</w:t>
      </w:r>
      <w:r>
        <w:rPr>
          <w:rStyle w:val="Heading2Char"/>
          <w:rFonts w:ascii="Arial" w:hAnsi="Arial" w:cs="Times New Roman"/>
          <w:b w:val="0"/>
          <w:color w:val="231F20" w:themeColor="background1"/>
          <w:sz w:val="24"/>
          <w:szCs w:val="20"/>
          <w:highlight w:val="yellow"/>
        </w:rPr>
        <w:t>, where the practices adopt appropriate collaborative arrangements</w:t>
      </w:r>
      <w:r w:rsidRPr="0070387A">
        <w:rPr>
          <w:rStyle w:val="Heading2Char"/>
          <w:rFonts w:ascii="Arial" w:hAnsi="Arial" w:cs="Times New Roman"/>
          <w:b w:val="0"/>
          <w:color w:val="231F20" w:themeColor="background1"/>
          <w:sz w:val="24"/>
          <w:szCs w:val="20"/>
          <w:highlight w:val="yellow"/>
        </w:rPr>
        <w:t xml:space="preserve">. </w:t>
      </w:r>
      <w:r>
        <w:rPr>
          <w:rStyle w:val="Heading2Char"/>
          <w:rFonts w:ascii="Arial" w:hAnsi="Arial" w:cs="Times New Roman"/>
          <w:b w:val="0"/>
          <w:color w:val="231F20" w:themeColor="background1"/>
          <w:sz w:val="24"/>
          <w:szCs w:val="20"/>
          <w:highlight w:val="yellow"/>
        </w:rPr>
        <w:t xml:space="preserve">  </w:t>
      </w:r>
      <w:r w:rsidRPr="0070387A">
        <w:rPr>
          <w:rStyle w:val="Heading2Char"/>
          <w:rFonts w:ascii="Arial" w:hAnsi="Arial" w:cs="Times New Roman"/>
          <w:b w:val="0"/>
          <w:color w:val="231F20" w:themeColor="background1"/>
          <w:sz w:val="24"/>
          <w:szCs w:val="20"/>
          <w:highlight w:val="yellow"/>
        </w:rPr>
        <w:t xml:space="preserve">For the avoidance of doubt where one or more practices within a PCN offers </w:t>
      </w:r>
      <w:r w:rsidRPr="0070387A">
        <w:rPr>
          <w:highlight w:val="yellow"/>
        </w:rPr>
        <w:t>the ES</w:t>
      </w:r>
      <w:r w:rsidRPr="0070387A">
        <w:rPr>
          <w:rStyle w:val="Heading2Char"/>
          <w:rFonts w:ascii="Arial" w:hAnsi="Arial" w:cs="Times New Roman"/>
          <w:b w:val="0"/>
          <w:color w:val="231F20" w:themeColor="background1"/>
          <w:sz w:val="24"/>
          <w:szCs w:val="20"/>
          <w:highlight w:val="yellow"/>
        </w:rPr>
        <w:t>, all practices within the PCN</w:t>
      </w:r>
      <w:r>
        <w:rPr>
          <w:rStyle w:val="Heading2Char"/>
          <w:rFonts w:ascii="Arial" w:hAnsi="Arial" w:cs="Times New Roman"/>
          <w:b w:val="0"/>
          <w:color w:val="231F20" w:themeColor="background1"/>
          <w:sz w:val="24"/>
          <w:szCs w:val="20"/>
          <w:highlight w:val="yellow"/>
        </w:rPr>
        <w:t xml:space="preserve"> working to those collaborative arrangements</w:t>
      </w:r>
      <w:r w:rsidRPr="0070387A">
        <w:rPr>
          <w:rStyle w:val="Heading2Char"/>
          <w:rFonts w:ascii="Arial" w:hAnsi="Arial" w:cs="Times New Roman"/>
          <w:b w:val="0"/>
          <w:color w:val="231F20" w:themeColor="background1"/>
          <w:sz w:val="24"/>
          <w:szCs w:val="20"/>
          <w:highlight w:val="yellow"/>
        </w:rPr>
        <w:t xml:space="preserve"> are able to provide the COVID-19 and / or adult influenza vaccine to the PCN’s Aligned Care Home residents even if they do not offer the </w:t>
      </w:r>
      <w:r w:rsidRPr="0070387A">
        <w:rPr>
          <w:highlight w:val="yellow"/>
        </w:rPr>
        <w:t>ES</w:t>
      </w:r>
      <w:r w:rsidRPr="0070387A">
        <w:rPr>
          <w:rStyle w:val="Heading2Char"/>
          <w:rFonts w:ascii="Arial" w:hAnsi="Arial" w:cs="Times New Roman"/>
          <w:b w:val="0"/>
          <w:color w:val="231F20" w:themeColor="background1"/>
          <w:sz w:val="24"/>
          <w:szCs w:val="20"/>
          <w:highlight w:val="yellow"/>
        </w:rPr>
        <w:t xml:space="preserve"> themselves, and must provide an offer under the terms of the ES. </w:t>
      </w:r>
    </w:p>
    <w:p w14:paraId="1E9DDD7E" w14:textId="5616ADEE" w:rsidR="003D66E1" w:rsidRDefault="003D66E1" w:rsidP="003D66E1">
      <w:pPr>
        <w:pStyle w:val="h4numbered"/>
        <w:rPr>
          <w:rStyle w:val="Heading2Char"/>
          <w:rFonts w:ascii="Arial" w:hAnsi="Arial" w:cs="Times New Roman"/>
          <w:b w:val="0"/>
          <w:color w:val="231F20" w:themeColor="background1"/>
          <w:sz w:val="24"/>
          <w:szCs w:val="20"/>
          <w:highlight w:val="yellow"/>
        </w:rPr>
      </w:pPr>
      <w:r>
        <w:rPr>
          <w:rStyle w:val="Heading2Char"/>
          <w:rFonts w:ascii="Arial" w:hAnsi="Arial" w:cs="Times New Roman"/>
          <w:b w:val="0"/>
          <w:color w:val="231F20" w:themeColor="background1"/>
          <w:sz w:val="24"/>
          <w:szCs w:val="20"/>
          <w:highlight w:val="yellow"/>
        </w:rPr>
        <w:t xml:space="preserve">The collaborative arrangements could be a subcontracting arrangement whereby practices not offering the ES carry out vaccinations on behalf of the practice that is offering the ES. </w:t>
      </w:r>
      <w:r w:rsidR="002D0611">
        <w:rPr>
          <w:rStyle w:val="Heading2Char"/>
          <w:rFonts w:ascii="Arial" w:hAnsi="Arial" w:cs="Times New Roman"/>
          <w:b w:val="0"/>
          <w:color w:val="231F20" w:themeColor="background1"/>
          <w:sz w:val="24"/>
          <w:szCs w:val="20"/>
          <w:highlight w:val="yellow"/>
        </w:rPr>
        <w:t>Alternatively,</w:t>
      </w:r>
      <w:r>
        <w:rPr>
          <w:rStyle w:val="Heading2Char"/>
          <w:rFonts w:ascii="Arial" w:hAnsi="Arial" w:cs="Times New Roman"/>
          <w:b w:val="0"/>
          <w:color w:val="231F20" w:themeColor="background1"/>
          <w:sz w:val="24"/>
          <w:szCs w:val="20"/>
          <w:highlight w:val="yellow"/>
        </w:rPr>
        <w:t xml:space="preserve"> an agency arrangement could be put in place with practices not offering the ES carrying out vaccinations as agents of the practice that is offering the ES. Where these arrangements are between the Core Network Practices of the PCN, these arrangements could be set out in Schedule 8 of the Network Agreement. </w:t>
      </w:r>
    </w:p>
    <w:p w14:paraId="1D0FD107" w14:textId="77777777" w:rsidR="0018213B" w:rsidRPr="00B64F2E" w:rsidRDefault="0018213B" w:rsidP="0018213B">
      <w:pPr>
        <w:pStyle w:val="h4numbered"/>
        <w:numPr>
          <w:ilvl w:val="0"/>
          <w:numId w:val="0"/>
        </w:numPr>
        <w:ind w:left="1701"/>
        <w:rPr>
          <w:rStyle w:val="Heading2Char"/>
          <w:rFonts w:ascii="Arial" w:hAnsi="Arial" w:cs="Times New Roman"/>
          <w:b w:val="0"/>
          <w:color w:val="231F20" w:themeColor="background1"/>
          <w:sz w:val="24"/>
          <w:szCs w:val="20"/>
          <w:highlight w:val="yellow"/>
        </w:rPr>
      </w:pPr>
      <w:r w:rsidRPr="00B64F2E">
        <w:rPr>
          <w:highlight w:val="yellow"/>
        </w:rPr>
        <w:t xml:space="preserve">9.1.5A Collaborative arrangements could also be put in place between one or more practices signed up to the ES and a non-practice third party entity. Practices will need to be satisfied that the third party entity can fulfil all regulatory requirements for the provision of the vaccination activity including the obligations set out in ES.  Practices must also be satisfied that the collaborative arrangements comply with the sub-contracting provisions set out in their GP contract including any notification/consent of the commissioner and, for GMS and PMS practices, that the sub-contractor entity is qualified and competent to provide the activity. Practices must ensure that the subcontracting arrangements do not lead to sharing of </w:t>
      </w:r>
      <w:r w:rsidRPr="00B64F2E">
        <w:rPr>
          <w:highlight w:val="yellow"/>
        </w:rPr>
        <w:lastRenderedPageBreak/>
        <w:t>vaccines between the practices and the sub-contractor in a way that would contravene the provisions of the Human Medicines Regulations 2012. Under such a subcontracting arrangement, the subcontractor would be indemnified under CNSGP as it is delivering clinical activity on behalf of one or more practices who are contracted to provide the vaccination activity under the GP contract. It is strongly recommended that the subcontracting arrangements require the use of GP IT systems to record vaccination events in line with the ES. It should also be noted that payment for the vaccination would be made to the practice where the patient is registered and this should be acknowledged within the subcontract as it may impact on payment arrangements with the subcontractor</w:t>
      </w:r>
    </w:p>
    <w:p w14:paraId="02D2B125" w14:textId="77777777" w:rsidR="0018213B" w:rsidRPr="00B64F2E" w:rsidRDefault="0018213B" w:rsidP="0018213B">
      <w:pPr>
        <w:pStyle w:val="h4numbered"/>
        <w:numPr>
          <w:ilvl w:val="0"/>
          <w:numId w:val="0"/>
        </w:numPr>
        <w:ind w:left="1653"/>
        <w:rPr>
          <w:highlight w:val="yellow"/>
        </w:rPr>
      </w:pPr>
      <w:r w:rsidRPr="00B64F2E">
        <w:rPr>
          <w:rStyle w:val="Heading2Char"/>
          <w:rFonts w:ascii="Arial" w:hAnsi="Arial" w:cs="Times New Roman"/>
          <w:b w:val="0"/>
          <w:color w:val="231F20" w:themeColor="background1"/>
          <w:sz w:val="24"/>
          <w:szCs w:val="20"/>
          <w:highlight w:val="yellow"/>
        </w:rPr>
        <w:t xml:space="preserve">9.1.5B </w:t>
      </w:r>
      <w:r w:rsidRPr="00B64F2E">
        <w:rPr>
          <w:highlight w:val="yellow"/>
        </w:rPr>
        <w:t xml:space="preserve">The DES Specification enables practices, in prescribed and exceptional circumstances, to seek support from the Commissioner if they are unable to fully comply with the requirement to offer adult influenza vaccinations or adult influenza and COVID-19 vaccinations to all residents of Aligned Care Homes. </w:t>
      </w:r>
    </w:p>
    <w:p w14:paraId="67E291C2" w14:textId="77777777" w:rsidR="0018213B" w:rsidRPr="00B64F2E" w:rsidRDefault="0018213B" w:rsidP="0018213B">
      <w:pPr>
        <w:pStyle w:val="h4numbered"/>
        <w:numPr>
          <w:ilvl w:val="0"/>
          <w:numId w:val="0"/>
        </w:numPr>
        <w:ind w:left="1653"/>
        <w:rPr>
          <w:highlight w:val="yellow"/>
        </w:rPr>
      </w:pPr>
      <w:r w:rsidRPr="00B64F2E">
        <w:rPr>
          <w:highlight w:val="yellow"/>
        </w:rPr>
        <w:t>The Commissioner must be satisfied that the practices have made reasonable efforts, but for reasons of capacity the practices are unable to offer all residents in the PCN's Aligned Care Homes the adult influenza and/or COVID-19  vaccination and the practices have been unable to identify a suitable alternative provider.</w:t>
      </w:r>
    </w:p>
    <w:p w14:paraId="79FEBDF4" w14:textId="77777777" w:rsidR="0018213B" w:rsidRPr="00B64F2E" w:rsidRDefault="0018213B" w:rsidP="0018213B">
      <w:pPr>
        <w:pStyle w:val="h4numbered"/>
        <w:numPr>
          <w:ilvl w:val="0"/>
          <w:numId w:val="0"/>
        </w:numPr>
        <w:ind w:left="1653"/>
        <w:rPr>
          <w:rStyle w:val="Heading2Char"/>
          <w:rFonts w:ascii="Arial" w:hAnsi="Arial" w:cs="Times New Roman"/>
          <w:b w:val="0"/>
          <w:color w:val="231F20" w:themeColor="background1"/>
          <w:sz w:val="24"/>
          <w:szCs w:val="20"/>
          <w:highlight w:val="yellow"/>
        </w:rPr>
      </w:pPr>
      <w:r w:rsidRPr="00B64F2E">
        <w:rPr>
          <w:highlight w:val="yellow"/>
        </w:rPr>
        <w:t>Practices are required to explain what they can offer (if anything) so the commissioner is clear on the extent of additional provision required. If the Commissioner is so satisfied , then the Commissioner may agree to  take on responsibility for securing coverage from an alternative provider and confirm this in writing with the PCN. The alternative provider may well already be contracted to provide vaccinations e.g. via the Advanced Service for community pharmacies or an NHS Standard Contract. If a community pharmacy is signed up to the Advanced Service in the relevant area, it is expected that the pharmacy is approached first to ascertain whether they can vaccinate the relevant residents. Such alternative provision would be under the terms of the existing contracts which are likely to require the commissioner to issue written agreement to vaccinate care home residents. Indemnity cover would be as per the terms of the contract with the alternative provider. Where no existing contract exists, the Commissioner would need to consider procurement requirements when seeking to award a contract for the activity. PCNs are required to cooperate with the commissioner to facilitate the alternative provision. As the activity will be governed by separate contractual arrangements, PCNs should not put written arrangements in place with the alternative provider.</w:t>
      </w:r>
    </w:p>
    <w:p w14:paraId="6B6CAD95" w14:textId="76EF8B3C" w:rsidR="00C202EA" w:rsidRPr="007A6383" w:rsidRDefault="007A6383" w:rsidP="007A6383">
      <w:pPr>
        <w:pStyle w:val="h4numbered"/>
        <w:rPr>
          <w:highlight w:val="yellow"/>
        </w:rPr>
      </w:pPr>
      <w:r w:rsidRPr="0070387A">
        <w:rPr>
          <w:rStyle w:val="Heading2Char"/>
          <w:rFonts w:ascii="Arial" w:hAnsi="Arial" w:cs="Times New Roman"/>
          <w:b w:val="0"/>
          <w:color w:val="231F20" w:themeColor="background1"/>
          <w:sz w:val="24"/>
          <w:szCs w:val="20"/>
          <w:highlight w:val="yellow"/>
        </w:rPr>
        <w:t xml:space="preserve">Core Network Practices are reminded that the PCN Grouping concept that enabled sharing of vaccines between members will no longer be applicable </w:t>
      </w:r>
      <w:r w:rsidRPr="0070387A">
        <w:rPr>
          <w:rStyle w:val="Heading2Char"/>
          <w:rFonts w:ascii="Arial" w:hAnsi="Arial" w:cs="Times New Roman"/>
          <w:b w:val="0"/>
          <w:color w:val="231F20" w:themeColor="background1"/>
          <w:sz w:val="24"/>
          <w:szCs w:val="20"/>
          <w:highlight w:val="yellow"/>
        </w:rPr>
        <w:lastRenderedPageBreak/>
        <w:t xml:space="preserve">from April 2026. Core Network Practices must therefore ensure there is no sharing of vaccines between each other in a way that would contravene the provisions of the Human Medicines Regulations 2012. </w:t>
      </w:r>
    </w:p>
    <w:p w14:paraId="477ED455" w14:textId="605D03EE" w:rsidR="0041287E" w:rsidRPr="0070387A" w:rsidRDefault="0041287E" w:rsidP="0070387A">
      <w:pPr>
        <w:pStyle w:val="h4numbered"/>
        <w:rPr>
          <w:rStyle w:val="Heading2Char"/>
          <w:rFonts w:ascii="Arial" w:hAnsi="Arial" w:cs="Times New Roman"/>
          <w:b w:val="0"/>
          <w:color w:val="231F20" w:themeColor="background1"/>
          <w:sz w:val="24"/>
          <w:szCs w:val="20"/>
          <w:highlight w:val="yellow"/>
        </w:rPr>
      </w:pPr>
      <w:r w:rsidRPr="0070387A">
        <w:rPr>
          <w:rFonts w:hint="eastAsia"/>
          <w:highlight w:val="yellow"/>
        </w:rPr>
        <w:t xml:space="preserve">As set out in the </w:t>
      </w:r>
      <w:r w:rsidR="00D67C86" w:rsidRPr="0070387A">
        <w:rPr>
          <w:rStyle w:val="Heading2Char"/>
          <w:rFonts w:ascii="Arial" w:hAnsi="Arial" w:cs="Times New Roman"/>
          <w:b w:val="0"/>
          <w:color w:val="231F20" w:themeColor="background1"/>
          <w:sz w:val="24"/>
          <w:szCs w:val="20"/>
          <w:highlight w:val="yellow"/>
        </w:rPr>
        <w:t xml:space="preserve">ES </w:t>
      </w:r>
      <w:r w:rsidRPr="0070387A">
        <w:rPr>
          <w:highlight w:val="yellow"/>
        </w:rPr>
        <w:t>payment for item of service fees will go to the practice where patients are registered, and it will be for the PCN to agree any reimbursement arrangements.</w:t>
      </w:r>
    </w:p>
    <w:p w14:paraId="30CA6F76" w14:textId="6CE19DEF" w:rsidR="00611664" w:rsidRPr="0070387A" w:rsidRDefault="00A7024E" w:rsidP="0070387A">
      <w:pPr>
        <w:pStyle w:val="h4numbered"/>
        <w:rPr>
          <w:rStyle w:val="Heading2Char"/>
          <w:rFonts w:ascii="Arial" w:hAnsi="Arial" w:cs="Times New Roman"/>
          <w:b w:val="0"/>
          <w:color w:val="231F20" w:themeColor="background1"/>
          <w:sz w:val="24"/>
          <w:szCs w:val="20"/>
        </w:rPr>
      </w:pPr>
      <w:bookmarkStart w:id="214" w:name="_Toc223511156"/>
      <w:r w:rsidRPr="0070387A">
        <w:rPr>
          <w:rStyle w:val="Heading2Char"/>
          <w:rFonts w:ascii="Arial" w:hAnsi="Arial" w:cs="Times New Roman"/>
          <w:b w:val="0"/>
          <w:color w:val="231F20" w:themeColor="background1"/>
          <w:sz w:val="24"/>
          <w:szCs w:val="20"/>
        </w:rPr>
        <w:t>The objective is to ensure it is clear that vaccines are not inadvertently unlawfully supplied by one practice to another. The schedule must make clear that where a practice has procured vaccines itself</w:t>
      </w:r>
      <w:r w:rsidR="0077491A" w:rsidRPr="0070387A">
        <w:rPr>
          <w:rStyle w:val="Heading2Char"/>
          <w:rFonts w:ascii="Arial" w:hAnsi="Arial" w:cs="Times New Roman"/>
          <w:b w:val="0"/>
          <w:color w:val="231F20" w:themeColor="background1"/>
          <w:sz w:val="24"/>
          <w:szCs w:val="20"/>
        </w:rPr>
        <w:t xml:space="preserve"> or</w:t>
      </w:r>
      <w:r w:rsidR="003207B3" w:rsidRPr="0070387A">
        <w:rPr>
          <w:rStyle w:val="Heading2Char"/>
          <w:rFonts w:ascii="Arial" w:hAnsi="Arial" w:cs="Times New Roman"/>
          <w:b w:val="0"/>
          <w:color w:val="231F20" w:themeColor="background1"/>
          <w:sz w:val="24"/>
          <w:szCs w:val="20"/>
        </w:rPr>
        <w:t xml:space="preserve"> ordered vaccine from central supplies</w:t>
      </w:r>
      <w:r w:rsidRPr="0070387A">
        <w:rPr>
          <w:rStyle w:val="Heading2Char"/>
          <w:rFonts w:ascii="Arial" w:hAnsi="Arial" w:cs="Times New Roman"/>
          <w:b w:val="0"/>
          <w:color w:val="231F20" w:themeColor="background1"/>
          <w:sz w:val="24"/>
          <w:szCs w:val="20"/>
        </w:rPr>
        <w:t>, that same practice is responsible for the vaccination activity even where that practice uses staff from other Core Network Practices to administer its vaccines and/or where the patients are from other Core Network Practices</w:t>
      </w:r>
      <w:r w:rsidR="003772A6" w:rsidRPr="0070387A">
        <w:rPr>
          <w:rStyle w:val="Heading2Char"/>
          <w:rFonts w:ascii="Arial" w:hAnsi="Arial" w:cs="Times New Roman"/>
          <w:b w:val="0"/>
          <w:color w:val="231F20" w:themeColor="background1"/>
          <w:sz w:val="24"/>
          <w:szCs w:val="20"/>
        </w:rPr>
        <w:t>.</w:t>
      </w:r>
      <w:bookmarkEnd w:id="209"/>
      <w:bookmarkEnd w:id="210"/>
      <w:bookmarkEnd w:id="211"/>
      <w:bookmarkEnd w:id="212"/>
      <w:bookmarkEnd w:id="214"/>
      <w:r w:rsidR="003772A6" w:rsidRPr="0070387A">
        <w:rPr>
          <w:rStyle w:val="Heading2Char"/>
          <w:rFonts w:ascii="Arial" w:hAnsi="Arial" w:cs="Times New Roman"/>
          <w:b w:val="0"/>
          <w:color w:val="231F20" w:themeColor="background1"/>
          <w:sz w:val="24"/>
          <w:szCs w:val="20"/>
        </w:rPr>
        <w:t xml:space="preserve"> </w:t>
      </w:r>
    </w:p>
    <w:p w14:paraId="065BCF86" w14:textId="07CBE3FF" w:rsidR="00F70E67" w:rsidRPr="0070387A" w:rsidRDefault="004277E8" w:rsidP="0070387A">
      <w:pPr>
        <w:pStyle w:val="h4numbered"/>
        <w:rPr>
          <w:rStyle w:val="Heading2Char"/>
          <w:rFonts w:ascii="Arial" w:hAnsi="Arial" w:cs="Times New Roman"/>
          <w:b w:val="0"/>
          <w:color w:val="231F20" w:themeColor="background1"/>
          <w:sz w:val="24"/>
          <w:szCs w:val="20"/>
        </w:rPr>
      </w:pPr>
      <w:bookmarkStart w:id="215" w:name="_Toc161646737"/>
      <w:bookmarkStart w:id="216" w:name="_Toc161994206"/>
      <w:bookmarkStart w:id="217" w:name="_Toc178248523"/>
      <w:bookmarkStart w:id="218" w:name="_Toc178248835"/>
      <w:bookmarkStart w:id="219" w:name="_Toc223511157"/>
      <w:r w:rsidRPr="0070387A">
        <w:rPr>
          <w:rStyle w:val="Heading2Char"/>
          <w:rFonts w:ascii="Arial" w:hAnsi="Arial" w:cs="Times New Roman"/>
          <w:b w:val="0"/>
          <w:color w:val="231F20" w:themeColor="background1"/>
          <w:sz w:val="24"/>
          <w:szCs w:val="20"/>
        </w:rPr>
        <w:t>Some vaccinations attract an item of service fee</w:t>
      </w:r>
      <w:r w:rsidR="004E1C2D" w:rsidRPr="0070387A">
        <w:rPr>
          <w:rStyle w:val="Heading2Char"/>
          <w:rFonts w:ascii="Arial" w:hAnsi="Arial" w:cs="Times New Roman"/>
          <w:b w:val="0"/>
          <w:color w:val="231F20" w:themeColor="background1"/>
          <w:sz w:val="24"/>
          <w:szCs w:val="20"/>
        </w:rPr>
        <w:t>,</w:t>
      </w:r>
      <w:r w:rsidRPr="0070387A">
        <w:rPr>
          <w:rStyle w:val="Heading2Char"/>
          <w:rFonts w:ascii="Arial" w:hAnsi="Arial" w:cs="Times New Roman"/>
          <w:b w:val="0"/>
          <w:color w:val="231F20" w:themeColor="background1"/>
          <w:sz w:val="24"/>
          <w:szCs w:val="20"/>
        </w:rPr>
        <w:t xml:space="preserve"> </w:t>
      </w:r>
      <w:r w:rsidR="00197EDA" w:rsidRPr="0070387A">
        <w:rPr>
          <w:rStyle w:val="Heading2Char"/>
          <w:rFonts w:ascii="Arial" w:hAnsi="Arial" w:cs="Times New Roman"/>
          <w:b w:val="0"/>
          <w:color w:val="231F20" w:themeColor="background1"/>
          <w:sz w:val="24"/>
          <w:szCs w:val="20"/>
        </w:rPr>
        <w:t>and that fee will be paid in accordance with the Statement of Financial Entitlement</w:t>
      </w:r>
      <w:r w:rsidR="003207B3" w:rsidRPr="0070387A">
        <w:rPr>
          <w:rStyle w:val="Heading2Char"/>
          <w:rFonts w:ascii="Arial" w:hAnsi="Arial" w:cs="Times New Roman"/>
          <w:b w:val="0"/>
          <w:color w:val="231F20" w:themeColor="background1"/>
          <w:sz w:val="24"/>
          <w:szCs w:val="20"/>
        </w:rPr>
        <w:t>s or relevant</w:t>
      </w:r>
      <w:r w:rsidR="00E101B1" w:rsidRPr="0070387A">
        <w:rPr>
          <w:rStyle w:val="Heading2Char"/>
          <w:rFonts w:ascii="Arial" w:hAnsi="Arial" w:cs="Times New Roman"/>
          <w:b w:val="0"/>
          <w:color w:val="231F20" w:themeColor="background1"/>
          <w:sz w:val="24"/>
          <w:szCs w:val="20"/>
        </w:rPr>
        <w:t xml:space="preserve"> enhanced service specifications</w:t>
      </w:r>
      <w:r w:rsidR="00197EDA" w:rsidRPr="0070387A">
        <w:rPr>
          <w:rStyle w:val="Heading2Char"/>
          <w:rFonts w:ascii="Arial" w:hAnsi="Arial" w:cs="Times New Roman"/>
          <w:b w:val="0"/>
          <w:color w:val="231F20" w:themeColor="background1"/>
          <w:sz w:val="24"/>
          <w:szCs w:val="20"/>
        </w:rPr>
        <w:t xml:space="preserve">. </w:t>
      </w:r>
      <w:r w:rsidR="00BE5E5E" w:rsidRPr="0070387A">
        <w:rPr>
          <w:rStyle w:val="Heading2Char"/>
          <w:rFonts w:ascii="Arial" w:hAnsi="Arial" w:cs="Times New Roman"/>
          <w:b w:val="0"/>
          <w:color w:val="231F20" w:themeColor="background1"/>
          <w:sz w:val="24"/>
          <w:szCs w:val="20"/>
        </w:rPr>
        <w:t>If a practice is administering its vaccines to patients of other Core Network Practices</w:t>
      </w:r>
      <w:r w:rsidR="00DB0D3A" w:rsidRPr="0070387A">
        <w:rPr>
          <w:rStyle w:val="Heading2Char"/>
          <w:rFonts w:ascii="Arial" w:hAnsi="Arial" w:cs="Times New Roman"/>
          <w:b w:val="0"/>
          <w:color w:val="231F20" w:themeColor="background1"/>
          <w:sz w:val="24"/>
          <w:szCs w:val="20"/>
        </w:rPr>
        <w:t>, the newly inserted schedule of the Network Agreement should make clear how the income from vaccination activity is distributed</w:t>
      </w:r>
      <w:r w:rsidR="00DD386B" w:rsidRPr="0070387A">
        <w:rPr>
          <w:rStyle w:val="Heading2Char"/>
          <w:rFonts w:ascii="Arial" w:hAnsi="Arial" w:cs="Times New Roman"/>
          <w:b w:val="0"/>
          <w:color w:val="231F20" w:themeColor="background1"/>
          <w:sz w:val="24"/>
          <w:szCs w:val="20"/>
        </w:rPr>
        <w:t>.</w:t>
      </w:r>
      <w:bookmarkEnd w:id="215"/>
      <w:bookmarkEnd w:id="216"/>
      <w:bookmarkEnd w:id="217"/>
      <w:bookmarkEnd w:id="218"/>
      <w:bookmarkEnd w:id="219"/>
      <w:r w:rsidR="00DD386B" w:rsidRPr="0070387A">
        <w:rPr>
          <w:rStyle w:val="Heading2Char"/>
          <w:rFonts w:ascii="Arial" w:hAnsi="Arial" w:cs="Times New Roman"/>
          <w:b w:val="0"/>
          <w:color w:val="231F20" w:themeColor="background1"/>
          <w:sz w:val="24"/>
          <w:szCs w:val="20"/>
        </w:rPr>
        <w:t xml:space="preserve"> </w:t>
      </w:r>
    </w:p>
    <w:p w14:paraId="1F3199A2" w14:textId="70EDE461" w:rsidR="00F70E67" w:rsidRPr="0070387A" w:rsidRDefault="006B5893" w:rsidP="0070387A">
      <w:pPr>
        <w:pStyle w:val="h4numbered"/>
        <w:rPr>
          <w:rStyle w:val="Heading2Char"/>
          <w:rFonts w:ascii="Arial" w:hAnsi="Arial" w:cs="Times New Roman"/>
          <w:b w:val="0"/>
          <w:color w:val="231F20" w:themeColor="background1"/>
          <w:sz w:val="24"/>
          <w:szCs w:val="20"/>
        </w:rPr>
      </w:pPr>
      <w:bookmarkStart w:id="220" w:name="_Toc161646738"/>
      <w:bookmarkStart w:id="221" w:name="_Toc161994207"/>
      <w:bookmarkStart w:id="222" w:name="_Toc178248524"/>
      <w:bookmarkStart w:id="223" w:name="_Toc178248836"/>
      <w:bookmarkStart w:id="224" w:name="_Toc223511158"/>
      <w:r w:rsidRPr="0070387A">
        <w:rPr>
          <w:rStyle w:val="Heading2Char"/>
          <w:rFonts w:ascii="Arial" w:hAnsi="Arial" w:cs="Times New Roman"/>
          <w:b w:val="0"/>
          <w:color w:val="231F20" w:themeColor="background1"/>
          <w:sz w:val="24"/>
          <w:szCs w:val="20"/>
        </w:rPr>
        <w:t xml:space="preserve">If one or more practice is providing personally administered items </w:t>
      </w:r>
      <w:r w:rsidR="00A50694" w:rsidRPr="0070387A">
        <w:rPr>
          <w:rStyle w:val="Heading2Char"/>
          <w:rFonts w:ascii="Arial" w:hAnsi="Arial" w:cs="Times New Roman"/>
          <w:b w:val="0"/>
          <w:color w:val="231F20" w:themeColor="background1"/>
          <w:sz w:val="24"/>
          <w:szCs w:val="20"/>
        </w:rPr>
        <w:t>(P</w:t>
      </w:r>
      <w:r w:rsidR="007030EB" w:rsidRPr="0070387A">
        <w:rPr>
          <w:rStyle w:val="Heading2Char"/>
          <w:rFonts w:ascii="Arial" w:hAnsi="Arial" w:cs="Times New Roman"/>
          <w:b w:val="0"/>
          <w:color w:val="231F20" w:themeColor="background1"/>
          <w:sz w:val="24"/>
          <w:szCs w:val="20"/>
        </w:rPr>
        <w:t>AI</w:t>
      </w:r>
      <w:r w:rsidR="00A50694" w:rsidRPr="0070387A">
        <w:rPr>
          <w:rStyle w:val="Heading2Char"/>
          <w:rFonts w:ascii="Arial" w:hAnsi="Arial" w:cs="Times New Roman"/>
          <w:b w:val="0"/>
          <w:color w:val="231F20" w:themeColor="background1"/>
          <w:sz w:val="24"/>
          <w:szCs w:val="20"/>
        </w:rPr>
        <w:t>s)</w:t>
      </w:r>
      <w:r w:rsidR="00254443" w:rsidRPr="0070387A">
        <w:rPr>
          <w:rStyle w:val="Heading2Char"/>
          <w:rFonts w:ascii="Arial" w:hAnsi="Arial" w:cs="Times New Roman"/>
          <w:b w:val="0"/>
          <w:color w:val="231F20" w:themeColor="background1"/>
          <w:sz w:val="24"/>
          <w:szCs w:val="20"/>
        </w:rPr>
        <w:t xml:space="preserve"> </w:t>
      </w:r>
      <w:r w:rsidRPr="0070387A">
        <w:rPr>
          <w:rStyle w:val="Heading2Char"/>
          <w:rFonts w:ascii="Arial" w:hAnsi="Arial" w:cs="Times New Roman"/>
          <w:b w:val="0"/>
          <w:color w:val="231F20" w:themeColor="background1"/>
          <w:sz w:val="24"/>
          <w:szCs w:val="20"/>
        </w:rPr>
        <w:t xml:space="preserve">to PCN patients who are not their registered patients, </w:t>
      </w:r>
      <w:r w:rsidR="00C91367" w:rsidRPr="0070387A">
        <w:rPr>
          <w:rStyle w:val="Heading2Char"/>
          <w:rFonts w:ascii="Arial" w:hAnsi="Arial" w:cs="Times New Roman"/>
          <w:b w:val="0"/>
          <w:color w:val="231F20" w:themeColor="background1"/>
          <w:sz w:val="24"/>
          <w:szCs w:val="20"/>
        </w:rPr>
        <w:t>th</w:t>
      </w:r>
      <w:r w:rsidR="00AC269A" w:rsidRPr="0070387A">
        <w:rPr>
          <w:rStyle w:val="Heading2Char"/>
          <w:rFonts w:ascii="Arial" w:hAnsi="Arial" w:cs="Times New Roman"/>
          <w:b w:val="0"/>
          <w:color w:val="231F20" w:themeColor="background1"/>
          <w:sz w:val="24"/>
          <w:szCs w:val="20"/>
        </w:rPr>
        <w:t>is</w:t>
      </w:r>
      <w:r w:rsidR="00C91367" w:rsidRPr="0070387A">
        <w:rPr>
          <w:rStyle w:val="Heading2Char"/>
          <w:rFonts w:ascii="Arial" w:hAnsi="Arial" w:cs="Times New Roman"/>
          <w:b w:val="0"/>
          <w:color w:val="231F20" w:themeColor="background1"/>
          <w:sz w:val="24"/>
          <w:szCs w:val="20"/>
        </w:rPr>
        <w:t xml:space="preserve"> payment will </w:t>
      </w:r>
      <w:r w:rsidR="00AC269A" w:rsidRPr="0070387A">
        <w:rPr>
          <w:rStyle w:val="Heading2Char"/>
          <w:rFonts w:ascii="Arial" w:hAnsi="Arial" w:cs="Times New Roman"/>
          <w:b w:val="0"/>
          <w:color w:val="231F20" w:themeColor="background1"/>
          <w:sz w:val="24"/>
          <w:szCs w:val="20"/>
        </w:rPr>
        <w:t xml:space="preserve">also </w:t>
      </w:r>
      <w:r w:rsidR="00C91367" w:rsidRPr="0070387A">
        <w:rPr>
          <w:rStyle w:val="Heading2Char"/>
          <w:rFonts w:ascii="Arial" w:hAnsi="Arial" w:cs="Times New Roman"/>
          <w:b w:val="0"/>
          <w:color w:val="231F20" w:themeColor="background1"/>
          <w:sz w:val="24"/>
          <w:szCs w:val="20"/>
        </w:rPr>
        <w:t xml:space="preserve">be paid in accordance with the Statement of Financial Entitlements. </w:t>
      </w:r>
      <w:r w:rsidR="00035029" w:rsidRPr="0070387A">
        <w:rPr>
          <w:rStyle w:val="Heading2Char"/>
          <w:rFonts w:ascii="Arial" w:hAnsi="Arial" w:cs="Times New Roman"/>
          <w:b w:val="0"/>
          <w:color w:val="231F20" w:themeColor="background1"/>
          <w:sz w:val="24"/>
          <w:szCs w:val="20"/>
        </w:rPr>
        <w:t xml:space="preserve">Under the terms of the SFE a practice may </w:t>
      </w:r>
      <w:r w:rsidR="00555EB2" w:rsidRPr="0070387A">
        <w:rPr>
          <w:rStyle w:val="Heading2Char"/>
          <w:rFonts w:ascii="Arial" w:hAnsi="Arial" w:cs="Times New Roman"/>
          <w:b w:val="0"/>
          <w:color w:val="231F20" w:themeColor="background1"/>
          <w:sz w:val="24"/>
          <w:szCs w:val="20"/>
        </w:rPr>
        <w:t xml:space="preserve">submit a claim for payment with prescriptions appended and </w:t>
      </w:r>
      <w:r w:rsidR="00AC269A" w:rsidRPr="0070387A">
        <w:rPr>
          <w:rStyle w:val="Heading2Char"/>
          <w:rFonts w:ascii="Arial" w:hAnsi="Arial" w:cs="Times New Roman"/>
          <w:b w:val="0"/>
          <w:color w:val="231F20" w:themeColor="background1"/>
          <w:sz w:val="24"/>
          <w:szCs w:val="20"/>
        </w:rPr>
        <w:t xml:space="preserve">receive payment for </w:t>
      </w:r>
      <w:r w:rsidR="00710F35" w:rsidRPr="0070387A">
        <w:rPr>
          <w:rStyle w:val="Heading2Char"/>
          <w:rFonts w:ascii="Arial" w:hAnsi="Arial" w:cs="Times New Roman"/>
          <w:b w:val="0"/>
          <w:color w:val="231F20" w:themeColor="background1"/>
          <w:sz w:val="24"/>
          <w:szCs w:val="20"/>
        </w:rPr>
        <w:t>provision of PAI to patients registered with other practices, so long as they are within the same commissioner area.</w:t>
      </w:r>
      <w:r w:rsidR="002A64EC" w:rsidRPr="0070387A">
        <w:rPr>
          <w:rStyle w:val="Heading2Char"/>
          <w:rFonts w:ascii="Arial" w:hAnsi="Arial" w:cs="Times New Roman"/>
          <w:b w:val="0"/>
          <w:color w:val="231F20" w:themeColor="background1"/>
          <w:sz w:val="24"/>
          <w:szCs w:val="20"/>
        </w:rPr>
        <w:t xml:space="preserve"> Practices claiming payment should note </w:t>
      </w:r>
      <w:r w:rsidR="00452669" w:rsidRPr="0070387A">
        <w:rPr>
          <w:rStyle w:val="Heading2Char"/>
          <w:rFonts w:ascii="Arial" w:hAnsi="Arial" w:cs="Times New Roman"/>
          <w:b w:val="0"/>
          <w:color w:val="231F20" w:themeColor="background1"/>
          <w:sz w:val="24"/>
          <w:szCs w:val="20"/>
        </w:rPr>
        <w:t>t</w:t>
      </w:r>
      <w:r w:rsidR="002A64EC" w:rsidRPr="0070387A">
        <w:rPr>
          <w:rStyle w:val="Heading2Char"/>
          <w:rFonts w:ascii="Arial" w:hAnsi="Arial" w:cs="Times New Roman"/>
          <w:b w:val="0"/>
          <w:color w:val="231F20" w:themeColor="background1"/>
          <w:sz w:val="24"/>
          <w:szCs w:val="20"/>
        </w:rPr>
        <w:t>he claims would count (accrue) as prescriptions within the total count that determines the level of discount deduction incurred as set out in Annex G of the SFE</w:t>
      </w:r>
      <w:r w:rsidR="00DA337F" w:rsidRPr="0070387A">
        <w:rPr>
          <w:rStyle w:val="Heading2Char"/>
          <w:rFonts w:ascii="Arial" w:hAnsi="Arial" w:cs="Times New Roman"/>
          <w:b w:val="0"/>
          <w:color w:val="231F20" w:themeColor="background1"/>
          <w:sz w:val="24"/>
          <w:szCs w:val="20"/>
        </w:rPr>
        <w:t>.</w:t>
      </w:r>
      <w:bookmarkEnd w:id="220"/>
      <w:bookmarkEnd w:id="221"/>
      <w:bookmarkEnd w:id="222"/>
      <w:bookmarkEnd w:id="223"/>
      <w:bookmarkEnd w:id="224"/>
      <w:r w:rsidR="00DA337F" w:rsidRPr="0070387A">
        <w:rPr>
          <w:rStyle w:val="Heading2Char"/>
          <w:rFonts w:ascii="Arial" w:hAnsi="Arial" w:cs="Times New Roman"/>
          <w:b w:val="0"/>
          <w:color w:val="231F20" w:themeColor="background1"/>
          <w:sz w:val="24"/>
          <w:szCs w:val="20"/>
        </w:rPr>
        <w:t xml:space="preserve"> </w:t>
      </w:r>
    </w:p>
    <w:p w14:paraId="013AE65E" w14:textId="2EEBD7CA" w:rsidR="008F2758" w:rsidRPr="0070387A" w:rsidRDefault="008F2758" w:rsidP="0070387A">
      <w:pPr>
        <w:pStyle w:val="h4numbered"/>
        <w:rPr>
          <w:rStyle w:val="Heading2Char"/>
          <w:rFonts w:ascii="Arial" w:hAnsi="Arial" w:cs="Times New Roman"/>
          <w:b w:val="0"/>
          <w:color w:val="231F20" w:themeColor="background1"/>
          <w:sz w:val="24"/>
          <w:szCs w:val="20"/>
        </w:rPr>
      </w:pPr>
      <w:bookmarkStart w:id="225" w:name="_Toc161646739"/>
      <w:bookmarkStart w:id="226" w:name="_Toc161994208"/>
      <w:bookmarkStart w:id="227" w:name="_Toc178248525"/>
      <w:bookmarkStart w:id="228" w:name="_Toc178248837"/>
      <w:bookmarkStart w:id="229" w:name="_Toc223511159"/>
      <w:r w:rsidRPr="0070387A">
        <w:rPr>
          <w:rStyle w:val="Heading2Char"/>
          <w:rFonts w:ascii="Arial" w:hAnsi="Arial" w:cs="Times New Roman"/>
          <w:b w:val="0"/>
          <w:color w:val="231F20" w:themeColor="background1"/>
          <w:sz w:val="24"/>
          <w:szCs w:val="20"/>
        </w:rPr>
        <w:t xml:space="preserve">The Network Contract DES also includes a requirement to provide Enhanced Access which is unchanged for </w:t>
      </w:r>
      <w:r w:rsidR="00384011" w:rsidRPr="0070387A">
        <w:rPr>
          <w:rStyle w:val="Heading2Char"/>
          <w:rFonts w:ascii="Arial" w:hAnsi="Arial" w:cs="Times New Roman" w:hint="eastAsia"/>
          <w:b w:val="0"/>
          <w:color w:val="231F20" w:themeColor="background1"/>
          <w:sz w:val="24"/>
          <w:szCs w:val="20"/>
        </w:rPr>
        <w:t>202</w:t>
      </w:r>
      <w:r w:rsidR="00384011" w:rsidRPr="0070387A">
        <w:rPr>
          <w:rStyle w:val="Heading2Char"/>
          <w:rFonts w:ascii="Arial" w:hAnsi="Arial" w:cs="Times New Roman" w:hint="eastAsia"/>
          <w:b w:val="0"/>
          <w:color w:val="231F20" w:themeColor="background1"/>
          <w:sz w:val="24"/>
          <w:szCs w:val="20"/>
          <w:highlight w:val="yellow"/>
        </w:rPr>
        <w:t>6</w:t>
      </w:r>
      <w:r w:rsidR="00384011" w:rsidRPr="0070387A">
        <w:rPr>
          <w:rStyle w:val="Heading2Char"/>
          <w:rFonts w:ascii="Arial" w:hAnsi="Arial" w:cs="Times New Roman" w:hint="eastAsia"/>
          <w:b w:val="0"/>
          <w:color w:val="231F20" w:themeColor="background1"/>
          <w:sz w:val="24"/>
          <w:szCs w:val="20"/>
        </w:rPr>
        <w:t>/2</w:t>
      </w:r>
      <w:r w:rsidR="00384011" w:rsidRPr="0070387A">
        <w:rPr>
          <w:rStyle w:val="Heading2Char"/>
          <w:rFonts w:ascii="Arial" w:hAnsi="Arial" w:cs="Times New Roman" w:hint="eastAsia"/>
          <w:b w:val="0"/>
          <w:color w:val="231F20" w:themeColor="background1"/>
          <w:sz w:val="24"/>
          <w:szCs w:val="20"/>
          <w:highlight w:val="yellow"/>
        </w:rPr>
        <w:t>7</w:t>
      </w:r>
      <w:r w:rsidRPr="0070387A">
        <w:rPr>
          <w:rStyle w:val="Heading2Char"/>
          <w:rFonts w:ascii="Arial" w:hAnsi="Arial" w:cs="Times New Roman"/>
          <w:b w:val="0"/>
          <w:color w:val="231F20" w:themeColor="background1"/>
          <w:sz w:val="24"/>
          <w:szCs w:val="20"/>
        </w:rPr>
        <w:t>.</w:t>
      </w:r>
      <w:bookmarkEnd w:id="225"/>
      <w:bookmarkEnd w:id="226"/>
      <w:bookmarkEnd w:id="227"/>
      <w:bookmarkEnd w:id="228"/>
      <w:bookmarkEnd w:id="229"/>
      <w:r w:rsidRPr="0070387A">
        <w:rPr>
          <w:rStyle w:val="Heading2Char"/>
          <w:rFonts w:ascii="Arial" w:hAnsi="Arial" w:cs="Times New Roman"/>
          <w:b w:val="0"/>
          <w:color w:val="231F20" w:themeColor="background1"/>
          <w:sz w:val="24"/>
          <w:szCs w:val="20"/>
        </w:rPr>
        <w:t xml:space="preserve"> </w:t>
      </w:r>
    </w:p>
    <w:p w14:paraId="79AB9357" w14:textId="311A007B" w:rsidR="008F2758" w:rsidRPr="0070387A" w:rsidRDefault="008F2758" w:rsidP="0070387A">
      <w:pPr>
        <w:pStyle w:val="h4numbered"/>
      </w:pPr>
      <w:bookmarkStart w:id="230" w:name="_Toc161646740"/>
      <w:bookmarkStart w:id="231" w:name="_Toc161994209"/>
      <w:bookmarkStart w:id="232" w:name="_Toc178248526"/>
      <w:bookmarkStart w:id="233" w:name="_Toc178248838"/>
      <w:bookmarkStart w:id="234" w:name="_Toc223511160"/>
      <w:r w:rsidRPr="0070387A">
        <w:rPr>
          <w:rStyle w:val="Heading2Char"/>
          <w:rFonts w:ascii="Arial" w:hAnsi="Arial" w:cs="Times New Roman"/>
          <w:b w:val="0"/>
          <w:color w:val="231F20" w:themeColor="background1"/>
          <w:sz w:val="24"/>
          <w:szCs w:val="20"/>
        </w:rPr>
        <w:t xml:space="preserve">Details </w:t>
      </w:r>
      <w:r w:rsidR="00B15F5E" w:rsidRPr="0070387A">
        <w:rPr>
          <w:rStyle w:val="Heading2Char"/>
          <w:rFonts w:ascii="Arial" w:hAnsi="Arial" w:cs="Times New Roman"/>
          <w:b w:val="0"/>
          <w:color w:val="231F20" w:themeColor="background1"/>
          <w:sz w:val="24"/>
          <w:szCs w:val="20"/>
        </w:rPr>
        <w:t xml:space="preserve">on service requirements is not in this part B </w:t>
      </w:r>
      <w:r w:rsidRPr="0070387A">
        <w:rPr>
          <w:rStyle w:val="Heading2Char"/>
          <w:rFonts w:ascii="Arial" w:hAnsi="Arial" w:cs="Times New Roman"/>
          <w:b w:val="0"/>
          <w:color w:val="231F20" w:themeColor="background1"/>
          <w:sz w:val="24"/>
          <w:szCs w:val="20"/>
        </w:rPr>
        <w:t xml:space="preserve">guidance </w:t>
      </w:r>
      <w:r w:rsidR="00B15F5E" w:rsidRPr="0070387A">
        <w:rPr>
          <w:rStyle w:val="Heading2Char"/>
          <w:rFonts w:ascii="Arial" w:hAnsi="Arial" w:cs="Times New Roman"/>
          <w:b w:val="0"/>
          <w:color w:val="231F20" w:themeColor="background1"/>
          <w:sz w:val="24"/>
          <w:szCs w:val="20"/>
        </w:rPr>
        <w:t>document and can be found in the accompanying p</w:t>
      </w:r>
      <w:r w:rsidRPr="0070387A">
        <w:rPr>
          <w:rStyle w:val="Heading2Char"/>
          <w:rFonts w:ascii="Arial" w:hAnsi="Arial" w:cs="Times New Roman"/>
          <w:b w:val="0"/>
          <w:color w:val="231F20" w:themeColor="background1"/>
          <w:sz w:val="24"/>
          <w:szCs w:val="20"/>
        </w:rPr>
        <w:t>art A guidance</w:t>
      </w:r>
      <w:r w:rsidR="00B15F5E" w:rsidRPr="0070387A">
        <w:rPr>
          <w:rStyle w:val="Heading2Char"/>
          <w:rFonts w:ascii="Arial" w:hAnsi="Arial" w:cs="Times New Roman"/>
          <w:b w:val="0"/>
          <w:color w:val="231F20" w:themeColor="background1"/>
          <w:sz w:val="24"/>
          <w:szCs w:val="20"/>
        </w:rPr>
        <w:t xml:space="preserve"> document</w:t>
      </w:r>
      <w:r w:rsidR="00D24098" w:rsidRPr="0070387A">
        <w:rPr>
          <w:rStyle w:val="Heading2Char"/>
          <w:rFonts w:ascii="Arial" w:hAnsi="Arial" w:cs="Times New Roman"/>
          <w:b w:val="0"/>
          <w:color w:val="231F20" w:themeColor="background1"/>
          <w:sz w:val="24"/>
          <w:szCs w:val="20"/>
        </w:rPr>
        <w:t>.</w:t>
      </w:r>
      <w:bookmarkEnd w:id="202"/>
      <w:bookmarkEnd w:id="230"/>
      <w:bookmarkEnd w:id="231"/>
      <w:bookmarkEnd w:id="232"/>
      <w:bookmarkEnd w:id="233"/>
      <w:bookmarkEnd w:id="234"/>
    </w:p>
    <w:p w14:paraId="46406592" w14:textId="5843A1E0" w:rsidR="008F2758" w:rsidRPr="00F55944" w:rsidRDefault="0035573B" w:rsidP="00084AFF">
      <w:pPr>
        <w:pStyle w:val="h2numbered"/>
      </w:pPr>
      <w:bookmarkStart w:id="235" w:name="_Enhanced_Health_in"/>
      <w:bookmarkStart w:id="236" w:name="_Toc36557307"/>
      <w:bookmarkStart w:id="237" w:name="_Toc150156036"/>
      <w:bookmarkEnd w:id="235"/>
      <w:r>
        <w:tab/>
      </w:r>
      <w:bookmarkStart w:id="238" w:name="_Toc223511161"/>
      <w:bookmarkStart w:id="239" w:name="_Toc223511440"/>
      <w:r w:rsidR="008F2758" w:rsidRPr="00F55944">
        <w:t>Financial entitlements, nominated payee and payment information</w:t>
      </w:r>
      <w:bookmarkEnd w:id="188"/>
      <w:bookmarkEnd w:id="236"/>
      <w:bookmarkEnd w:id="237"/>
      <w:bookmarkEnd w:id="238"/>
      <w:bookmarkEnd w:id="239"/>
    </w:p>
    <w:p w14:paraId="29E7C6AD" w14:textId="77777777" w:rsidR="008F2758" w:rsidRPr="00F55944" w:rsidRDefault="008F2758" w:rsidP="00084AFF">
      <w:pPr>
        <w:pStyle w:val="h3numbered"/>
      </w:pPr>
      <w:bookmarkStart w:id="240" w:name="_Toc26957672"/>
      <w:bookmarkStart w:id="241" w:name="_Toc36557308"/>
      <w:bookmarkStart w:id="242" w:name="_Toc150156037"/>
      <w:bookmarkStart w:id="243" w:name="_Toc223511162"/>
      <w:bookmarkStart w:id="244" w:name="_Toc223511441"/>
      <w:r w:rsidRPr="00F55944">
        <w:t>Financial</w:t>
      </w:r>
      <w:r w:rsidRPr="00F55944">
        <w:rPr>
          <w:b/>
          <w:bCs/>
          <w:iCs/>
          <w:color w:val="005EB8"/>
          <w:szCs w:val="28"/>
          <w:lang w:eastAsia="en-GB"/>
        </w:rPr>
        <w:t xml:space="preserve"> </w:t>
      </w:r>
      <w:r w:rsidRPr="00F55944">
        <w:t>entitlements</w:t>
      </w:r>
      <w:bookmarkEnd w:id="240"/>
      <w:bookmarkEnd w:id="241"/>
      <w:bookmarkEnd w:id="242"/>
      <w:bookmarkEnd w:id="243"/>
      <w:bookmarkEnd w:id="244"/>
    </w:p>
    <w:p w14:paraId="72C1CF8B" w14:textId="6C832D1D" w:rsidR="008F2758" w:rsidRPr="009756AE" w:rsidRDefault="008F2758" w:rsidP="00084AFF">
      <w:pPr>
        <w:pStyle w:val="h4numbered"/>
      </w:pPr>
      <w:r w:rsidRPr="009756AE">
        <w:t>Financial entitlements under the Network Contract DES reflect a blended payment as set out in section 10 of the Network Contract DES Specification.</w:t>
      </w:r>
    </w:p>
    <w:p w14:paraId="1D8EE847" w14:textId="77777777" w:rsidR="008F2758" w:rsidRPr="009756AE" w:rsidRDefault="008F2758" w:rsidP="00084AFF">
      <w:pPr>
        <w:pStyle w:val="h4numbered"/>
      </w:pPr>
      <w:r w:rsidRPr="009756AE">
        <w:lastRenderedPageBreak/>
        <w:t>Table 2 provides a summary of the Network Contract DES financial entitlements payable to the PCNs nominated payee. All Network Contract DES payments are inclusive of VAT, where VAT is applicable.</w:t>
      </w:r>
    </w:p>
    <w:p w14:paraId="0E719CF3" w14:textId="77777777" w:rsidR="008F2758" w:rsidRPr="00F55944" w:rsidRDefault="008F2758" w:rsidP="0035573B">
      <w:pPr>
        <w:spacing w:after="0" w:line="276" w:lineRule="auto"/>
        <w:ind w:left="851"/>
      </w:pPr>
    </w:p>
    <w:p w14:paraId="379ECFC0" w14:textId="5DF22590" w:rsidR="008F2758" w:rsidRPr="00F55944" w:rsidRDefault="008F2758" w:rsidP="0035573B">
      <w:pPr>
        <w:spacing w:after="0" w:line="276" w:lineRule="auto"/>
        <w:ind w:left="851"/>
        <w:rPr>
          <w:u w:val="single"/>
        </w:rPr>
      </w:pPr>
      <w:bookmarkStart w:id="245" w:name="_Hlk62221558"/>
      <w:r w:rsidRPr="00F55944">
        <w:rPr>
          <w:u w:val="single"/>
        </w:rPr>
        <w:t xml:space="preserve">Table 2: Summary of Network </w:t>
      </w:r>
      <w:r w:rsidRPr="008D4763">
        <w:rPr>
          <w:u w:val="single"/>
        </w:rPr>
        <w:t xml:space="preserve">Contract DES financial entitlements </w:t>
      </w:r>
      <w:r w:rsidR="00CA5778" w:rsidRPr="009E4CB6">
        <w:rPr>
          <w:u w:val="single"/>
        </w:rPr>
        <w:t>(1 April 202</w:t>
      </w:r>
      <w:r w:rsidR="005763E8" w:rsidRPr="006B3FDE">
        <w:rPr>
          <w:highlight w:val="yellow"/>
          <w:u w:val="single"/>
        </w:rPr>
        <w:t>6</w:t>
      </w:r>
      <w:r w:rsidR="00CA5778" w:rsidRPr="009E4CB6">
        <w:rPr>
          <w:u w:val="single"/>
        </w:rPr>
        <w:t>-31 March 202</w:t>
      </w:r>
      <w:r w:rsidR="005763E8" w:rsidRPr="006B3FDE">
        <w:rPr>
          <w:highlight w:val="yellow"/>
          <w:u w:val="single"/>
        </w:rPr>
        <w:t>7</w:t>
      </w:r>
      <w:r w:rsidR="00CA5778" w:rsidRPr="009E4CB6">
        <w:rPr>
          <w:u w:val="single"/>
        </w:rPr>
        <w:t>)</w:t>
      </w:r>
    </w:p>
    <w:tbl>
      <w:tblPr>
        <w:tblStyle w:val="TableGrid3"/>
        <w:tblW w:w="4531" w:type="pct"/>
        <w:tblInd w:w="846" w:type="dxa"/>
        <w:tblLayout w:type="fixed"/>
        <w:tblLook w:val="04A0" w:firstRow="1" w:lastRow="0" w:firstColumn="1" w:lastColumn="0" w:noHBand="0" w:noVBand="1"/>
      </w:tblPr>
      <w:tblGrid>
        <w:gridCol w:w="1998"/>
        <w:gridCol w:w="3024"/>
        <w:gridCol w:w="1756"/>
        <w:gridCol w:w="2152"/>
      </w:tblGrid>
      <w:tr w:rsidR="008F2758" w:rsidRPr="00F55944" w14:paraId="32029873" w14:textId="77777777" w:rsidTr="0035573B">
        <w:trPr>
          <w:tblHeader/>
        </w:trPr>
        <w:tc>
          <w:tcPr>
            <w:tcW w:w="1119" w:type="pct"/>
            <w:shd w:val="clear" w:color="auto" w:fill="005EB8"/>
          </w:tcPr>
          <w:p w14:paraId="7E7489A9" w14:textId="77777777" w:rsidR="008F2758" w:rsidRPr="00F55944" w:rsidRDefault="008F2758" w:rsidP="00E36FE2">
            <w:pPr>
              <w:spacing w:line="276" w:lineRule="auto"/>
              <w:rPr>
                <w:rFonts w:cs="Arial"/>
                <w:b/>
                <w:sz w:val="22"/>
                <w:szCs w:val="22"/>
              </w:rPr>
            </w:pPr>
            <w:bookmarkStart w:id="246" w:name="_Hlk62726327"/>
            <w:r w:rsidRPr="00F55944">
              <w:rPr>
                <w:rFonts w:cs="Arial"/>
                <w:b/>
                <w:color w:val="231F20" w:themeColor="background1"/>
                <w:sz w:val="22"/>
                <w:szCs w:val="22"/>
              </w:rPr>
              <w:t>Payment details and allocation</w:t>
            </w:r>
          </w:p>
        </w:tc>
        <w:tc>
          <w:tcPr>
            <w:tcW w:w="1693" w:type="pct"/>
            <w:shd w:val="clear" w:color="auto" w:fill="005EB8"/>
          </w:tcPr>
          <w:p w14:paraId="57D20497" w14:textId="77777777" w:rsidR="008F2758" w:rsidRPr="00F55944" w:rsidRDefault="008F2758" w:rsidP="00E36FE2">
            <w:pPr>
              <w:spacing w:line="276" w:lineRule="auto"/>
              <w:rPr>
                <w:rFonts w:cs="Arial"/>
                <w:b/>
                <w:color w:val="231F20" w:themeColor="background1"/>
                <w:sz w:val="22"/>
                <w:szCs w:val="22"/>
              </w:rPr>
            </w:pPr>
            <w:r w:rsidRPr="00F55944">
              <w:rPr>
                <w:rFonts w:cs="Arial"/>
                <w:b/>
                <w:color w:val="231F20" w:themeColor="background1"/>
                <w:sz w:val="22"/>
                <w:szCs w:val="22"/>
              </w:rPr>
              <w:t>Amount</w:t>
            </w:r>
          </w:p>
        </w:tc>
        <w:tc>
          <w:tcPr>
            <w:tcW w:w="983" w:type="pct"/>
            <w:shd w:val="clear" w:color="auto" w:fill="005EB8"/>
          </w:tcPr>
          <w:p w14:paraId="2F06F9C9" w14:textId="77777777" w:rsidR="008F2758" w:rsidRPr="00F55944" w:rsidRDefault="008F2758" w:rsidP="00E36FE2">
            <w:pPr>
              <w:spacing w:line="276" w:lineRule="auto"/>
              <w:rPr>
                <w:rFonts w:cs="Arial"/>
                <w:b/>
                <w:color w:val="231F20" w:themeColor="background1"/>
                <w:sz w:val="22"/>
                <w:szCs w:val="22"/>
              </w:rPr>
            </w:pPr>
            <w:r w:rsidRPr="00F55944">
              <w:rPr>
                <w:rFonts w:eastAsia="Calibri" w:cs="Arial"/>
                <w:b/>
                <w:color w:val="231F20" w:themeColor="background1"/>
                <w:sz w:val="22"/>
                <w:szCs w:val="22"/>
              </w:rPr>
              <w:t>Allocations</w:t>
            </w:r>
          </w:p>
        </w:tc>
        <w:tc>
          <w:tcPr>
            <w:tcW w:w="1205" w:type="pct"/>
            <w:shd w:val="clear" w:color="auto" w:fill="005EB8"/>
          </w:tcPr>
          <w:p w14:paraId="39A96132" w14:textId="77777777" w:rsidR="008F2758" w:rsidRPr="00F55944" w:rsidRDefault="008F2758" w:rsidP="00E36FE2">
            <w:pPr>
              <w:spacing w:line="276" w:lineRule="auto"/>
              <w:rPr>
                <w:rFonts w:cs="Arial"/>
                <w:b/>
                <w:color w:val="231F20" w:themeColor="background1"/>
                <w:sz w:val="22"/>
                <w:szCs w:val="22"/>
              </w:rPr>
            </w:pPr>
            <w:r w:rsidRPr="00F55944">
              <w:rPr>
                <w:rFonts w:cs="Arial"/>
                <w:b/>
                <w:color w:val="231F20" w:themeColor="background1"/>
                <w:sz w:val="22"/>
                <w:szCs w:val="22"/>
              </w:rPr>
              <w:t>Payment timings</w:t>
            </w:r>
          </w:p>
        </w:tc>
      </w:tr>
      <w:tr w:rsidR="008F2758" w:rsidRPr="00F55944" w14:paraId="193ABFA2" w14:textId="77777777" w:rsidTr="0035573B">
        <w:tc>
          <w:tcPr>
            <w:tcW w:w="1119" w:type="pct"/>
          </w:tcPr>
          <w:p w14:paraId="289F5316" w14:textId="77777777" w:rsidR="008F2758" w:rsidRPr="008D4763" w:rsidRDefault="008F2758" w:rsidP="00E36FE2">
            <w:pPr>
              <w:spacing w:line="276" w:lineRule="auto"/>
              <w:rPr>
                <w:rFonts w:cs="Arial"/>
                <w:sz w:val="22"/>
                <w:szCs w:val="22"/>
              </w:rPr>
            </w:pPr>
            <w:r w:rsidRPr="008D4763">
              <w:rPr>
                <w:rFonts w:cs="Arial"/>
                <w:sz w:val="22"/>
                <w:szCs w:val="22"/>
              </w:rPr>
              <w:t xml:space="preserve">Core PCN funding </w:t>
            </w:r>
          </w:p>
        </w:tc>
        <w:tc>
          <w:tcPr>
            <w:tcW w:w="1693" w:type="pct"/>
          </w:tcPr>
          <w:p w14:paraId="03434EA2" w14:textId="019754D0" w:rsidR="008F2758" w:rsidRPr="008D4763" w:rsidRDefault="0076000A" w:rsidP="00E36FE2">
            <w:pPr>
              <w:spacing w:line="276" w:lineRule="auto"/>
              <w:rPr>
                <w:rFonts w:eastAsia="Calibri" w:cs="Arial"/>
                <w:sz w:val="22"/>
                <w:szCs w:val="22"/>
              </w:rPr>
            </w:pPr>
            <w:r w:rsidRPr="0080630B">
              <w:rPr>
                <w:rFonts w:eastAsia="Calibri" w:cs="Arial"/>
                <w:sz w:val="22"/>
                <w:szCs w:val="22"/>
              </w:rPr>
              <w:t>£</w:t>
            </w:r>
            <w:r w:rsidR="008A217E" w:rsidRPr="00922E70">
              <w:rPr>
                <w:rFonts w:eastAsia="Calibri" w:cs="Arial"/>
                <w:sz w:val="22"/>
                <w:szCs w:val="22"/>
                <w:highlight w:val="yellow"/>
              </w:rPr>
              <w:t>3</w:t>
            </w:r>
            <w:r w:rsidR="004548C9" w:rsidRPr="00922E70">
              <w:rPr>
                <w:rFonts w:eastAsia="Calibri" w:cs="Arial"/>
                <w:sz w:val="22"/>
                <w:szCs w:val="22"/>
                <w:highlight w:val="yellow"/>
              </w:rPr>
              <w:t>.</w:t>
            </w:r>
            <w:r w:rsidR="008A217E" w:rsidRPr="00922E70">
              <w:rPr>
                <w:rFonts w:eastAsia="Calibri" w:cs="Arial"/>
                <w:sz w:val="22"/>
                <w:szCs w:val="22"/>
                <w:highlight w:val="yellow"/>
              </w:rPr>
              <w:t>059</w:t>
            </w:r>
            <w:r w:rsidR="004548C9" w:rsidRPr="0080630B">
              <w:rPr>
                <w:rFonts w:eastAsia="Calibri" w:cs="Arial"/>
                <w:sz w:val="22"/>
                <w:szCs w:val="22"/>
              </w:rPr>
              <w:t xml:space="preserve"> </w:t>
            </w:r>
            <w:r w:rsidR="008F2758" w:rsidRPr="0080630B">
              <w:rPr>
                <w:rFonts w:eastAsia="Calibri" w:cs="Arial"/>
                <w:sz w:val="22"/>
                <w:szCs w:val="22"/>
              </w:rPr>
              <w:t>per</w:t>
            </w:r>
            <w:r w:rsidR="008F2758" w:rsidRPr="008D4763">
              <w:rPr>
                <w:rFonts w:eastAsia="Calibri" w:cs="Arial"/>
                <w:sz w:val="22"/>
                <w:szCs w:val="22"/>
              </w:rPr>
              <w:t xml:space="preserve"> patient</w:t>
            </w:r>
            <w:r w:rsidR="008F2758" w:rsidRPr="008D4763">
              <w:rPr>
                <w:rStyle w:val="FootnoteReference"/>
                <w:rFonts w:eastAsia="Calibri" w:cs="Arial"/>
                <w:bCs/>
                <w:sz w:val="22"/>
                <w:szCs w:val="22"/>
              </w:rPr>
              <w:footnoteReference w:id="17"/>
            </w:r>
            <w:r w:rsidR="008F2758" w:rsidRPr="008D4763">
              <w:rPr>
                <w:rFonts w:eastAsia="Calibri" w:cs="Arial"/>
                <w:sz w:val="22"/>
                <w:szCs w:val="22"/>
              </w:rPr>
              <w:t xml:space="preserve"> per year</w:t>
            </w:r>
            <w:r w:rsidR="00C90F06" w:rsidRPr="008D4763">
              <w:rPr>
                <w:rStyle w:val="FootnoteReference"/>
                <w:rFonts w:eastAsia="Calibri" w:cs="Arial"/>
                <w:sz w:val="22"/>
                <w:szCs w:val="22"/>
              </w:rPr>
              <w:footnoteReference w:id="18"/>
            </w:r>
            <w:r w:rsidR="008F2758" w:rsidRPr="008D4763">
              <w:rPr>
                <w:rFonts w:eastAsia="Calibri" w:cs="Arial"/>
                <w:sz w:val="22"/>
                <w:szCs w:val="22"/>
              </w:rPr>
              <w:t>.</w:t>
            </w:r>
          </w:p>
        </w:tc>
        <w:tc>
          <w:tcPr>
            <w:tcW w:w="983" w:type="pct"/>
          </w:tcPr>
          <w:p w14:paraId="482C55F2" w14:textId="77777777" w:rsidR="008F2758" w:rsidRPr="00F55944" w:rsidRDefault="008F2758" w:rsidP="00E36FE2">
            <w:pPr>
              <w:spacing w:line="276" w:lineRule="auto"/>
              <w:rPr>
                <w:rFonts w:eastAsia="Calibri" w:cs="Arial"/>
                <w:sz w:val="22"/>
                <w:szCs w:val="22"/>
              </w:rPr>
            </w:pPr>
            <w:r w:rsidRPr="7766D507">
              <w:rPr>
                <w:rFonts w:eastAsia="Calibri" w:cs="Arial"/>
                <w:sz w:val="22"/>
                <w:szCs w:val="22"/>
              </w:rPr>
              <w:t>PMC allocations</w:t>
            </w:r>
          </w:p>
        </w:tc>
        <w:tc>
          <w:tcPr>
            <w:tcW w:w="1205" w:type="pct"/>
          </w:tcPr>
          <w:p w14:paraId="67EA0E7D" w14:textId="77777777" w:rsidR="008F2758" w:rsidRPr="00F55944" w:rsidRDefault="008F2758" w:rsidP="00E36FE2">
            <w:pPr>
              <w:spacing w:line="276" w:lineRule="auto"/>
              <w:rPr>
                <w:rFonts w:eastAsia="Calibri" w:cs="Arial"/>
                <w:sz w:val="22"/>
                <w:szCs w:val="22"/>
              </w:rPr>
            </w:pPr>
            <w:r w:rsidRPr="00F55944">
              <w:rPr>
                <w:rFonts w:eastAsia="Calibri" w:cs="Arial"/>
                <w:sz w:val="22"/>
                <w:szCs w:val="22"/>
              </w:rPr>
              <w:t xml:space="preserve">Monthly by the last day of the month in which the payment applies </w:t>
            </w:r>
            <w:r w:rsidRPr="00F55944">
              <w:rPr>
                <w:rFonts w:eastAsia="Calibri" w:cs="Arial"/>
                <w:sz w:val="22"/>
              </w:rPr>
              <w:t>and taking into account local payment arrangements</w:t>
            </w:r>
            <w:r w:rsidRPr="00F55944">
              <w:rPr>
                <w:rFonts w:eastAsia="Calibri" w:cs="Arial"/>
                <w:sz w:val="22"/>
                <w:szCs w:val="22"/>
              </w:rPr>
              <w:t>.</w:t>
            </w:r>
          </w:p>
        </w:tc>
      </w:tr>
      <w:tr w:rsidR="008F2758" w:rsidRPr="00F55944" w14:paraId="6728F6ED" w14:textId="77777777" w:rsidTr="0035573B">
        <w:tc>
          <w:tcPr>
            <w:tcW w:w="1119" w:type="pct"/>
          </w:tcPr>
          <w:p w14:paraId="40C8E397" w14:textId="77777777" w:rsidR="008F2758" w:rsidRPr="00F55944" w:rsidRDefault="008F2758" w:rsidP="00E36FE2">
            <w:pPr>
              <w:spacing w:line="276" w:lineRule="auto"/>
              <w:rPr>
                <w:rFonts w:cs="Arial"/>
                <w:sz w:val="22"/>
                <w:szCs w:val="22"/>
              </w:rPr>
            </w:pPr>
            <w:r w:rsidRPr="00F55944">
              <w:rPr>
                <w:rFonts w:cs="Arial"/>
                <w:sz w:val="22"/>
                <w:szCs w:val="22"/>
              </w:rPr>
              <w:t>Staff reimbursements</w:t>
            </w:r>
          </w:p>
          <w:p w14:paraId="75CFF464" w14:textId="77777777" w:rsidR="008F2758" w:rsidRPr="00F55944" w:rsidRDefault="008F2758" w:rsidP="00E36FE2">
            <w:pPr>
              <w:spacing w:line="276" w:lineRule="auto"/>
              <w:rPr>
                <w:rFonts w:cs="Arial"/>
                <w:sz w:val="22"/>
                <w:szCs w:val="22"/>
              </w:rPr>
            </w:pPr>
            <w:r w:rsidRPr="00F55944">
              <w:rPr>
                <w:rFonts w:cs="Arial"/>
                <w:sz w:val="22"/>
                <w:szCs w:val="22"/>
              </w:rPr>
              <w:t xml:space="preserve"> </w:t>
            </w:r>
          </w:p>
        </w:tc>
        <w:tc>
          <w:tcPr>
            <w:tcW w:w="1693" w:type="pct"/>
          </w:tcPr>
          <w:p w14:paraId="45DF86AE" w14:textId="77777777" w:rsidR="008F2758" w:rsidRPr="00F55944" w:rsidRDefault="008F2758" w:rsidP="00E36FE2">
            <w:pPr>
              <w:spacing w:line="276" w:lineRule="auto"/>
              <w:rPr>
                <w:rFonts w:eastAsia="Calibri" w:cs="Arial"/>
                <w:sz w:val="22"/>
                <w:szCs w:val="22"/>
              </w:rPr>
            </w:pPr>
            <w:r w:rsidRPr="00F55944">
              <w:rPr>
                <w:rFonts w:eastAsia="Calibri" w:cs="Arial"/>
                <w:sz w:val="22"/>
                <w:szCs w:val="22"/>
              </w:rPr>
              <w:t xml:space="preserve">Actual salary plus employer on-costs </w:t>
            </w:r>
            <w:r>
              <w:rPr>
                <w:rFonts w:eastAsia="Calibri" w:cs="Arial"/>
                <w:sz w:val="22"/>
                <w:szCs w:val="22"/>
              </w:rPr>
              <w:t>(NI and pension)</w:t>
            </w:r>
            <w:r w:rsidRPr="00F55944">
              <w:rPr>
                <w:rFonts w:eastAsia="Calibri" w:cs="Arial"/>
                <w:sz w:val="22"/>
                <w:szCs w:val="22"/>
              </w:rPr>
              <w:t xml:space="preserve"> to the maximum per WTE</w:t>
            </w:r>
            <w:r w:rsidRPr="00F55944">
              <w:rPr>
                <w:rFonts w:eastAsia="Calibri" w:cs="Arial"/>
                <w:sz w:val="22"/>
                <w:szCs w:val="22"/>
                <w:vertAlign w:val="superscript"/>
              </w:rPr>
              <w:footnoteReference w:id="19"/>
            </w:r>
            <w:r w:rsidRPr="00F55944">
              <w:rPr>
                <w:rFonts w:eastAsia="Calibri" w:cs="Arial"/>
                <w:sz w:val="22"/>
                <w:szCs w:val="22"/>
              </w:rPr>
              <w:t xml:space="preserve"> amounts</w:t>
            </w:r>
            <w:r w:rsidRPr="00F55944">
              <w:rPr>
                <w:rFonts w:eastAsia="Calibri" w:cs="Arial"/>
                <w:sz w:val="22"/>
                <w:szCs w:val="22"/>
                <w:vertAlign w:val="superscript"/>
              </w:rPr>
              <w:footnoteReference w:id="20"/>
            </w:r>
            <w:r w:rsidRPr="00F55944">
              <w:rPr>
                <w:rFonts w:eastAsia="Calibri" w:cs="Arial"/>
                <w:sz w:val="22"/>
                <w:szCs w:val="22"/>
              </w:rPr>
              <w:t xml:space="preserve"> as outlined in Network Contract DES Specification.</w:t>
            </w:r>
          </w:p>
          <w:p w14:paraId="53B64EFD" w14:textId="29B44522" w:rsidR="00F1400B" w:rsidRDefault="008F2758" w:rsidP="00E36FE2">
            <w:pPr>
              <w:spacing w:line="276" w:lineRule="auto"/>
              <w:rPr>
                <w:rFonts w:eastAsia="Calibri" w:cs="Arial"/>
                <w:sz w:val="22"/>
                <w:szCs w:val="22"/>
              </w:rPr>
            </w:pPr>
            <w:r w:rsidRPr="00F55944">
              <w:rPr>
                <w:rFonts w:eastAsia="Calibri" w:cs="Arial"/>
                <w:sz w:val="22"/>
                <w:szCs w:val="22"/>
              </w:rPr>
              <w:t xml:space="preserve">For the London Region PCNs, inner and outer </w:t>
            </w:r>
            <w:r w:rsidRPr="008D4763">
              <w:rPr>
                <w:rFonts w:eastAsia="Calibri" w:cs="Arial"/>
                <w:sz w:val="22"/>
                <w:szCs w:val="22"/>
              </w:rPr>
              <w:t xml:space="preserve">maximum reimbursable rates apply </w:t>
            </w:r>
            <w:r w:rsidR="00F1400B" w:rsidRPr="009E4CB6">
              <w:rPr>
                <w:rFonts w:eastAsia="Calibri" w:cs="Arial"/>
                <w:sz w:val="22"/>
                <w:szCs w:val="22"/>
              </w:rPr>
              <w:t xml:space="preserve">(for General Medical Practitioners, </w:t>
            </w:r>
            <w:r w:rsidR="0021654F" w:rsidRPr="009E4CB6">
              <w:rPr>
                <w:rFonts w:eastAsia="Calibri" w:cs="Arial"/>
                <w:sz w:val="22"/>
                <w:szCs w:val="22"/>
              </w:rPr>
              <w:t>only, a</w:t>
            </w:r>
            <w:r w:rsidR="00273F4F" w:rsidRPr="009E4CB6">
              <w:rPr>
                <w:rFonts w:eastAsia="Calibri" w:cs="Arial"/>
                <w:sz w:val="22"/>
                <w:szCs w:val="22"/>
              </w:rPr>
              <w:t xml:space="preserve"> London weighting applies</w:t>
            </w:r>
            <w:r w:rsidR="00F1400B" w:rsidRPr="009E4CB6">
              <w:rPr>
                <w:rFonts w:eastAsia="Calibri" w:cs="Arial"/>
                <w:sz w:val="22"/>
                <w:szCs w:val="22"/>
              </w:rPr>
              <w:t>)</w:t>
            </w:r>
            <w:r w:rsidR="00F1400B" w:rsidRPr="008D4763">
              <w:rPr>
                <w:rFonts w:eastAsia="Calibri" w:cs="Arial"/>
                <w:sz w:val="22"/>
                <w:szCs w:val="22"/>
              </w:rPr>
              <w:t xml:space="preserve"> </w:t>
            </w:r>
            <w:r w:rsidRPr="008D4763">
              <w:rPr>
                <w:rFonts w:eastAsia="Calibri" w:cs="Arial"/>
                <w:sz w:val="22"/>
                <w:szCs w:val="22"/>
              </w:rPr>
              <w:t>in accordance with the Network Contract DES Specification.</w:t>
            </w:r>
            <w:r w:rsidR="00F1400B">
              <w:rPr>
                <w:rFonts w:eastAsia="Calibri" w:cs="Arial"/>
                <w:sz w:val="22"/>
                <w:szCs w:val="22"/>
              </w:rPr>
              <w:t xml:space="preserve"> </w:t>
            </w:r>
          </w:p>
          <w:p w14:paraId="2B3E9FD9" w14:textId="0920EDC1" w:rsidR="00F1400B" w:rsidRPr="00F55944" w:rsidRDefault="00F1400B" w:rsidP="00E36FE2">
            <w:pPr>
              <w:spacing w:line="276" w:lineRule="auto"/>
              <w:rPr>
                <w:rFonts w:cs="Arial"/>
                <w:sz w:val="22"/>
                <w:szCs w:val="22"/>
                <w:vertAlign w:val="superscript"/>
              </w:rPr>
            </w:pPr>
          </w:p>
        </w:tc>
        <w:tc>
          <w:tcPr>
            <w:tcW w:w="983" w:type="pct"/>
          </w:tcPr>
          <w:p w14:paraId="1C870B1F" w14:textId="77777777" w:rsidR="008F2758" w:rsidRPr="00F55944" w:rsidRDefault="008F2758" w:rsidP="00E36FE2">
            <w:pPr>
              <w:spacing w:line="276" w:lineRule="auto"/>
              <w:rPr>
                <w:rFonts w:eastAsia="Calibri" w:cs="Arial"/>
                <w:sz w:val="22"/>
                <w:szCs w:val="22"/>
              </w:rPr>
            </w:pPr>
            <w:r w:rsidRPr="00F55944">
              <w:rPr>
                <w:rFonts w:eastAsia="Calibri" w:cs="Arial"/>
                <w:sz w:val="22"/>
                <w:szCs w:val="22"/>
              </w:rPr>
              <w:t>PMC allocations</w:t>
            </w:r>
          </w:p>
        </w:tc>
        <w:tc>
          <w:tcPr>
            <w:tcW w:w="1205" w:type="pct"/>
          </w:tcPr>
          <w:p w14:paraId="03C25C16" w14:textId="77777777" w:rsidR="008F2758" w:rsidRPr="00F55944" w:rsidRDefault="008F2758" w:rsidP="00E36FE2">
            <w:pPr>
              <w:spacing w:line="276" w:lineRule="auto"/>
              <w:rPr>
                <w:rFonts w:eastAsia="Calibri" w:cs="Arial"/>
                <w:sz w:val="22"/>
                <w:szCs w:val="22"/>
              </w:rPr>
            </w:pPr>
            <w:r w:rsidRPr="00F55944">
              <w:rPr>
                <w:rFonts w:eastAsia="Calibri" w:cs="Arial"/>
                <w:sz w:val="22"/>
                <w:szCs w:val="22"/>
              </w:rPr>
              <w:t>Monthly in arrears</w:t>
            </w:r>
            <w:r w:rsidRPr="00F55944">
              <w:rPr>
                <w:rFonts w:eastAsia="Calibri" w:cs="Arial"/>
                <w:sz w:val="22"/>
                <w:szCs w:val="22"/>
                <w:vertAlign w:val="superscript"/>
              </w:rPr>
              <w:t xml:space="preserve"> </w:t>
            </w:r>
            <w:r w:rsidRPr="00F55944">
              <w:rPr>
                <w:rFonts w:eastAsia="Calibri" w:cs="Arial"/>
                <w:sz w:val="22"/>
                <w:szCs w:val="22"/>
              </w:rPr>
              <w:t xml:space="preserve">by the last day of the month following the month in which the payment relates </w:t>
            </w:r>
            <w:r w:rsidRPr="00F55944">
              <w:rPr>
                <w:rFonts w:eastAsia="Calibri" w:cs="Arial"/>
                <w:sz w:val="22"/>
              </w:rPr>
              <w:t>and taking into account local payment arrangements</w:t>
            </w:r>
            <w:r w:rsidRPr="00F55944">
              <w:rPr>
                <w:rFonts w:eastAsia="Calibri" w:cs="Arial"/>
                <w:sz w:val="22"/>
                <w:szCs w:val="22"/>
              </w:rPr>
              <w:t>.</w:t>
            </w:r>
          </w:p>
          <w:p w14:paraId="525377D5" w14:textId="77777777" w:rsidR="008F2758" w:rsidRPr="00F55944" w:rsidRDefault="008F2758" w:rsidP="00E36FE2">
            <w:pPr>
              <w:spacing w:line="276" w:lineRule="auto"/>
              <w:rPr>
                <w:rFonts w:eastAsia="Calibri" w:cs="Arial"/>
                <w:sz w:val="22"/>
                <w:szCs w:val="22"/>
              </w:rPr>
            </w:pPr>
            <w:r w:rsidRPr="00F55944">
              <w:rPr>
                <w:rFonts w:eastAsia="Calibri" w:cs="Arial"/>
                <w:sz w:val="22"/>
                <w:szCs w:val="22"/>
              </w:rPr>
              <w:t>Payment claimable following start of employment.</w:t>
            </w:r>
          </w:p>
        </w:tc>
      </w:tr>
      <w:tr w:rsidR="008F2758" w:rsidRPr="00F55944" w14:paraId="4701E073" w14:textId="77777777" w:rsidTr="0035573B">
        <w:tc>
          <w:tcPr>
            <w:tcW w:w="1119" w:type="pct"/>
          </w:tcPr>
          <w:p w14:paraId="2995C60E" w14:textId="77777777" w:rsidR="008F2758" w:rsidRPr="008D4763" w:rsidRDefault="008F2758" w:rsidP="00E36FE2">
            <w:pPr>
              <w:spacing w:line="276" w:lineRule="auto"/>
              <w:rPr>
                <w:rFonts w:cs="Arial"/>
                <w:sz w:val="22"/>
              </w:rPr>
            </w:pPr>
            <w:r w:rsidRPr="008D4763">
              <w:rPr>
                <w:rFonts w:cs="Arial"/>
                <w:sz w:val="22"/>
              </w:rPr>
              <w:t>Enhanced Access</w:t>
            </w:r>
          </w:p>
        </w:tc>
        <w:tc>
          <w:tcPr>
            <w:tcW w:w="1693" w:type="pct"/>
          </w:tcPr>
          <w:p w14:paraId="71DBC666" w14:textId="17ACF6C1" w:rsidR="008F2758" w:rsidRPr="0080630B" w:rsidRDefault="008F2758" w:rsidP="00E36FE2">
            <w:pPr>
              <w:spacing w:line="276" w:lineRule="auto"/>
              <w:rPr>
                <w:rFonts w:eastAsia="Calibri" w:cs="Arial"/>
                <w:sz w:val="22"/>
              </w:rPr>
            </w:pPr>
            <w:r w:rsidRPr="0080630B">
              <w:rPr>
                <w:rFonts w:eastAsia="Calibri" w:cs="Arial"/>
                <w:sz w:val="22"/>
                <w:szCs w:val="22"/>
              </w:rPr>
              <w:t xml:space="preserve">The Enhanced Access payment is calculated as </w:t>
            </w:r>
            <w:r w:rsidR="0078540E" w:rsidRPr="00F37C2A">
              <w:rPr>
                <w:rFonts w:eastAsia="Calibri" w:cs="Arial"/>
                <w:sz w:val="22"/>
                <w:szCs w:val="22"/>
                <w:highlight w:val="yellow"/>
              </w:rPr>
              <w:t>£</w:t>
            </w:r>
            <w:r w:rsidR="006C474A" w:rsidRPr="00F37C2A">
              <w:rPr>
                <w:rFonts w:eastAsia="Calibri" w:cs="Arial"/>
                <w:sz w:val="22"/>
                <w:szCs w:val="22"/>
                <w:highlight w:val="yellow"/>
              </w:rPr>
              <w:t>8.903</w:t>
            </w:r>
            <w:r w:rsidRPr="0080630B">
              <w:rPr>
                <w:rFonts w:eastAsia="Calibri" w:cs="Arial"/>
                <w:sz w:val="22"/>
                <w:szCs w:val="22"/>
              </w:rPr>
              <w:t xml:space="preserve"> per year multiplied </w:t>
            </w:r>
            <w:r w:rsidRPr="0080630B">
              <w:rPr>
                <w:rFonts w:eastAsia="Calibri" w:cs="Arial"/>
                <w:sz w:val="22"/>
                <w:szCs w:val="22"/>
              </w:rPr>
              <w:lastRenderedPageBreak/>
              <w:t>by the PCN’s Adjusted Population.</w:t>
            </w:r>
          </w:p>
        </w:tc>
        <w:tc>
          <w:tcPr>
            <w:tcW w:w="983" w:type="pct"/>
          </w:tcPr>
          <w:p w14:paraId="1757238E" w14:textId="77777777" w:rsidR="008F2758" w:rsidRPr="00F55944" w:rsidRDefault="008F2758" w:rsidP="00E36FE2">
            <w:pPr>
              <w:spacing w:line="276" w:lineRule="auto"/>
              <w:rPr>
                <w:rFonts w:eastAsia="Calibri" w:cs="Arial"/>
                <w:sz w:val="22"/>
              </w:rPr>
            </w:pPr>
            <w:r>
              <w:rPr>
                <w:rFonts w:eastAsia="Calibri" w:cs="Arial"/>
                <w:sz w:val="22"/>
              </w:rPr>
              <w:lastRenderedPageBreak/>
              <w:t>PMC allocations</w:t>
            </w:r>
          </w:p>
        </w:tc>
        <w:tc>
          <w:tcPr>
            <w:tcW w:w="1205" w:type="pct"/>
          </w:tcPr>
          <w:p w14:paraId="04FBB2AA" w14:textId="77777777" w:rsidR="008F2758" w:rsidRPr="00F55944" w:rsidRDefault="008F2758" w:rsidP="00E36FE2">
            <w:pPr>
              <w:spacing w:line="276" w:lineRule="auto"/>
              <w:rPr>
                <w:rFonts w:eastAsia="Calibri" w:cs="Arial"/>
                <w:sz w:val="22"/>
              </w:rPr>
            </w:pPr>
            <w:r w:rsidRPr="00F55944">
              <w:rPr>
                <w:rFonts w:eastAsia="Calibri" w:cs="Arial"/>
                <w:sz w:val="22"/>
                <w:szCs w:val="22"/>
              </w:rPr>
              <w:t xml:space="preserve">Monthly by the last day of the month in which the payment applies </w:t>
            </w:r>
            <w:r w:rsidRPr="00F55944">
              <w:rPr>
                <w:rFonts w:eastAsia="Calibri" w:cs="Arial"/>
                <w:sz w:val="22"/>
              </w:rPr>
              <w:t xml:space="preserve">and taking </w:t>
            </w:r>
            <w:r w:rsidRPr="00F55944">
              <w:rPr>
                <w:rFonts w:eastAsia="Calibri" w:cs="Arial"/>
                <w:sz w:val="22"/>
              </w:rPr>
              <w:lastRenderedPageBreak/>
              <w:t>into account local payment arrangements</w:t>
            </w:r>
          </w:p>
        </w:tc>
      </w:tr>
      <w:tr w:rsidR="008F2758" w:rsidRPr="00F55944" w14:paraId="440A6D32" w14:textId="77777777" w:rsidTr="0035573B">
        <w:tc>
          <w:tcPr>
            <w:tcW w:w="1119" w:type="pct"/>
          </w:tcPr>
          <w:p w14:paraId="2E0C7A90" w14:textId="77777777" w:rsidR="008F2758" w:rsidRPr="008D4763" w:rsidRDefault="008F2758" w:rsidP="00E36FE2">
            <w:pPr>
              <w:spacing w:line="276" w:lineRule="auto"/>
              <w:rPr>
                <w:rFonts w:cs="Arial"/>
                <w:sz w:val="22"/>
                <w:szCs w:val="22"/>
              </w:rPr>
            </w:pPr>
            <w:r w:rsidRPr="008D4763">
              <w:rPr>
                <w:rFonts w:cs="Arial"/>
                <w:sz w:val="22"/>
                <w:szCs w:val="22"/>
              </w:rPr>
              <w:lastRenderedPageBreak/>
              <w:t>Care home premium</w:t>
            </w:r>
          </w:p>
        </w:tc>
        <w:tc>
          <w:tcPr>
            <w:tcW w:w="1693" w:type="pct"/>
          </w:tcPr>
          <w:p w14:paraId="2FC6B789" w14:textId="542F97FA" w:rsidR="008F2758" w:rsidRPr="0080630B" w:rsidRDefault="008F2758" w:rsidP="00E36FE2">
            <w:pPr>
              <w:spacing w:line="276" w:lineRule="auto"/>
              <w:rPr>
                <w:rFonts w:eastAsia="Calibri" w:cs="Arial"/>
                <w:sz w:val="22"/>
                <w:szCs w:val="22"/>
              </w:rPr>
            </w:pPr>
            <w:r w:rsidRPr="0080630B">
              <w:rPr>
                <w:rFonts w:eastAsia="Calibri" w:cs="Arial"/>
                <w:sz w:val="22"/>
                <w:szCs w:val="22"/>
              </w:rPr>
              <w:t>£</w:t>
            </w:r>
            <w:r w:rsidR="00F02AEF" w:rsidRPr="00635AAD">
              <w:rPr>
                <w:rFonts w:eastAsia="Calibri" w:cs="Arial"/>
                <w:sz w:val="22"/>
                <w:szCs w:val="22"/>
                <w:highlight w:val="yellow"/>
              </w:rPr>
              <w:t>1</w:t>
            </w:r>
            <w:r w:rsidR="00AA1822" w:rsidRPr="00635AAD">
              <w:rPr>
                <w:rFonts w:eastAsia="Calibri" w:cs="Arial"/>
                <w:sz w:val="22"/>
                <w:szCs w:val="22"/>
                <w:highlight w:val="yellow"/>
              </w:rPr>
              <w:t>3</w:t>
            </w:r>
            <w:r w:rsidR="00F6055E" w:rsidRPr="00635AAD">
              <w:rPr>
                <w:rFonts w:eastAsia="Calibri" w:cs="Arial"/>
                <w:sz w:val="22"/>
                <w:szCs w:val="22"/>
                <w:highlight w:val="yellow"/>
              </w:rPr>
              <w:t>3</w:t>
            </w:r>
            <w:r w:rsidR="00AA1822" w:rsidRPr="00635AAD">
              <w:rPr>
                <w:rFonts w:eastAsia="Calibri" w:cs="Arial"/>
                <w:sz w:val="22"/>
                <w:szCs w:val="22"/>
                <w:highlight w:val="yellow"/>
              </w:rPr>
              <w:t>.</w:t>
            </w:r>
            <w:r w:rsidR="00F6055E" w:rsidRPr="00635AAD">
              <w:rPr>
                <w:rFonts w:eastAsia="Calibri" w:cs="Arial"/>
                <w:sz w:val="22"/>
                <w:szCs w:val="22"/>
                <w:highlight w:val="yellow"/>
              </w:rPr>
              <w:t>158</w:t>
            </w:r>
            <w:r w:rsidR="00AA1822" w:rsidRPr="0080630B">
              <w:rPr>
                <w:rFonts w:eastAsia="Calibri" w:cs="Arial"/>
                <w:sz w:val="22"/>
                <w:szCs w:val="22"/>
              </w:rPr>
              <w:t xml:space="preserve"> </w:t>
            </w:r>
            <w:r w:rsidRPr="0080630B">
              <w:rPr>
                <w:rFonts w:eastAsia="Calibri" w:cs="Arial"/>
                <w:sz w:val="22"/>
                <w:szCs w:val="22"/>
              </w:rPr>
              <w:t>per bed per year.</w:t>
            </w:r>
          </w:p>
        </w:tc>
        <w:tc>
          <w:tcPr>
            <w:tcW w:w="983" w:type="pct"/>
          </w:tcPr>
          <w:p w14:paraId="757BD8B6" w14:textId="77777777" w:rsidR="008F2758" w:rsidRPr="00F55944" w:rsidRDefault="008F2758" w:rsidP="00E36FE2">
            <w:pPr>
              <w:spacing w:line="276" w:lineRule="auto"/>
              <w:rPr>
                <w:rFonts w:eastAsia="Calibri" w:cs="Arial"/>
                <w:sz w:val="22"/>
                <w:szCs w:val="22"/>
              </w:rPr>
            </w:pPr>
            <w:r w:rsidRPr="00F55944">
              <w:rPr>
                <w:rFonts w:eastAsia="Calibri" w:cs="Arial"/>
                <w:sz w:val="22"/>
                <w:szCs w:val="22"/>
              </w:rPr>
              <w:t>PMC allocations</w:t>
            </w:r>
          </w:p>
        </w:tc>
        <w:tc>
          <w:tcPr>
            <w:tcW w:w="1205" w:type="pct"/>
          </w:tcPr>
          <w:p w14:paraId="2B35A512" w14:textId="77777777" w:rsidR="008F2758" w:rsidRPr="00F55944" w:rsidRDefault="008F2758" w:rsidP="00E36FE2">
            <w:pPr>
              <w:spacing w:line="276" w:lineRule="auto"/>
              <w:rPr>
                <w:rFonts w:eastAsia="Calibri" w:cs="Arial"/>
                <w:sz w:val="22"/>
                <w:szCs w:val="22"/>
              </w:rPr>
            </w:pPr>
            <w:r w:rsidRPr="00F55944">
              <w:rPr>
                <w:rFonts w:eastAsia="Calibri" w:cs="Arial"/>
                <w:sz w:val="22"/>
                <w:szCs w:val="22"/>
              </w:rPr>
              <w:t xml:space="preserve">Monthly by the last day of the month in which the payment applies </w:t>
            </w:r>
            <w:r w:rsidRPr="00F55944">
              <w:rPr>
                <w:rFonts w:eastAsia="Calibri" w:cs="Arial"/>
                <w:sz w:val="22"/>
              </w:rPr>
              <w:t>and taking into account local payment arrangements</w:t>
            </w:r>
            <w:r w:rsidRPr="00F55944">
              <w:rPr>
                <w:rFonts w:eastAsia="Calibri" w:cs="Arial"/>
                <w:sz w:val="22"/>
                <w:szCs w:val="22"/>
              </w:rPr>
              <w:t xml:space="preserve">. </w:t>
            </w:r>
          </w:p>
        </w:tc>
      </w:tr>
      <w:tr w:rsidR="008F2758" w:rsidRPr="00F55944" w14:paraId="51CAD017" w14:textId="77777777" w:rsidTr="0035573B">
        <w:tc>
          <w:tcPr>
            <w:tcW w:w="1119" w:type="pct"/>
          </w:tcPr>
          <w:p w14:paraId="5F0BDFD8" w14:textId="77777777" w:rsidR="008F2758" w:rsidRPr="00F55944" w:rsidDel="00D93180" w:rsidRDefault="008F2758" w:rsidP="00E36FE2">
            <w:pPr>
              <w:spacing w:line="276" w:lineRule="auto"/>
              <w:rPr>
                <w:rFonts w:cs="Arial"/>
                <w:sz w:val="22"/>
              </w:rPr>
            </w:pPr>
            <w:r w:rsidRPr="00F55944">
              <w:rPr>
                <w:rFonts w:cs="Arial"/>
                <w:sz w:val="22"/>
              </w:rPr>
              <w:t>Investment and Impact Fund (IIF)</w:t>
            </w:r>
          </w:p>
        </w:tc>
        <w:tc>
          <w:tcPr>
            <w:tcW w:w="1693" w:type="pct"/>
          </w:tcPr>
          <w:p w14:paraId="659742A6" w14:textId="77777777" w:rsidR="008F2758" w:rsidRPr="0080630B" w:rsidRDefault="008F2758" w:rsidP="00E36FE2">
            <w:pPr>
              <w:spacing w:line="276" w:lineRule="auto"/>
              <w:rPr>
                <w:rFonts w:eastAsia="Calibri" w:cs="Arial"/>
                <w:sz w:val="22"/>
              </w:rPr>
            </w:pPr>
            <w:r w:rsidRPr="0080630B">
              <w:rPr>
                <w:rFonts w:eastAsia="Calibri" w:cs="Arial"/>
                <w:sz w:val="22"/>
              </w:rPr>
              <w:t xml:space="preserve">Amount payable dependant on achievement. </w:t>
            </w:r>
          </w:p>
        </w:tc>
        <w:tc>
          <w:tcPr>
            <w:tcW w:w="983" w:type="pct"/>
          </w:tcPr>
          <w:p w14:paraId="76E4CAB2" w14:textId="77777777" w:rsidR="008F2758" w:rsidRPr="00F55944" w:rsidRDefault="008F2758" w:rsidP="00E36FE2">
            <w:pPr>
              <w:spacing w:line="276" w:lineRule="auto"/>
              <w:rPr>
                <w:rFonts w:eastAsia="Calibri" w:cs="Arial"/>
                <w:sz w:val="22"/>
              </w:rPr>
            </w:pPr>
            <w:r w:rsidRPr="00F55944">
              <w:rPr>
                <w:rFonts w:eastAsia="Calibri" w:cs="Arial"/>
                <w:sz w:val="22"/>
              </w:rPr>
              <w:t>PMC allocations</w:t>
            </w:r>
          </w:p>
        </w:tc>
        <w:tc>
          <w:tcPr>
            <w:tcW w:w="1205" w:type="pct"/>
          </w:tcPr>
          <w:p w14:paraId="4240FA30" w14:textId="77777777" w:rsidR="008F2758" w:rsidRPr="00F55944" w:rsidRDefault="008F2758" w:rsidP="00E36FE2">
            <w:pPr>
              <w:spacing w:line="276" w:lineRule="auto"/>
              <w:rPr>
                <w:rFonts w:eastAsia="Calibri" w:cs="Arial"/>
                <w:sz w:val="22"/>
              </w:rPr>
            </w:pPr>
            <w:r w:rsidRPr="00F55944">
              <w:rPr>
                <w:rFonts w:eastAsia="Calibri" w:cs="Arial"/>
                <w:sz w:val="22"/>
              </w:rPr>
              <w:t>See paragraph 10.1.3 below</w:t>
            </w:r>
          </w:p>
        </w:tc>
      </w:tr>
      <w:bookmarkEnd w:id="245"/>
      <w:bookmarkEnd w:id="246"/>
    </w:tbl>
    <w:p w14:paraId="1262044B" w14:textId="77777777" w:rsidR="008F2758" w:rsidRPr="00F55944" w:rsidRDefault="008F2758" w:rsidP="00E36FE2">
      <w:pPr>
        <w:spacing w:after="0" w:line="276" w:lineRule="auto"/>
      </w:pPr>
    </w:p>
    <w:p w14:paraId="554B6F23" w14:textId="0C825794" w:rsidR="008F2758" w:rsidRPr="005C3B04" w:rsidRDefault="008F2758" w:rsidP="00084AFF">
      <w:pPr>
        <w:pStyle w:val="h4numbered"/>
      </w:pPr>
      <w:r w:rsidRPr="005C3B04">
        <w:t>The details on how the IIF operates and associated payments can be found in Section 10.6 and Annexes C and D of the Network Contract DES Specification.</w:t>
      </w:r>
    </w:p>
    <w:p w14:paraId="1AA5B5EF" w14:textId="213F17BF" w:rsidR="008F2758" w:rsidRPr="005C3B04" w:rsidRDefault="008F2758" w:rsidP="00084AFF">
      <w:pPr>
        <w:pStyle w:val="h4numbered"/>
      </w:pPr>
      <w:r w:rsidRPr="005C3B04">
        <w:t>Payments due to the PCN nominated payee for Core PCN Funding, Care Home Premium</w:t>
      </w:r>
      <w:r w:rsidR="001D10B2">
        <w:t xml:space="preserve"> </w:t>
      </w:r>
      <w:r w:rsidR="001D10B2" w:rsidRPr="00BE1C90">
        <w:rPr>
          <w:highlight w:val="yellow"/>
        </w:rPr>
        <w:t>and</w:t>
      </w:r>
      <w:r w:rsidRPr="005C3B04">
        <w:t xml:space="preserve"> Enhanced Access Payment will be payable in 12 equal monthly instalments and paid no later than the last day of the month in which the payments apply. For a Previously Approved PCN with membership changes and a new proposed PCN, these payments will be made no later than the end of the month in which participation of all Core Network Practices of that PCN has been confirmed, taking into account local payment arrangements.  </w:t>
      </w:r>
      <w:r w:rsidR="00520E33" w:rsidRPr="005C3B04">
        <w:t xml:space="preserve">If the </w:t>
      </w:r>
      <w:r w:rsidR="00EE09D4" w:rsidRPr="005C3B04">
        <w:t>instruction for the new PCN</w:t>
      </w:r>
      <w:r w:rsidR="007C1A64" w:rsidRPr="005C3B04">
        <w:t xml:space="preserve"> is given to ODS </w:t>
      </w:r>
      <w:r w:rsidR="00EF7CC1" w:rsidRPr="005C3B04">
        <w:t xml:space="preserve">(via the PCN ODS </w:t>
      </w:r>
      <w:r w:rsidR="002F7A25" w:rsidRPr="005C3B04">
        <w:t xml:space="preserve">Change Instruction Notice) </w:t>
      </w:r>
      <w:r w:rsidR="002C2FD3" w:rsidRPr="005C3B04">
        <w:t>prior to the last working day on or before the 14</w:t>
      </w:r>
      <w:r w:rsidR="002C2FD3" w:rsidRPr="005C3B04">
        <w:rPr>
          <w:vertAlign w:val="superscript"/>
        </w:rPr>
        <w:t>th</w:t>
      </w:r>
      <w:r w:rsidR="002C2FD3" w:rsidRPr="005C3B04">
        <w:t xml:space="preserve"> </w:t>
      </w:r>
      <w:r w:rsidR="00E267AD" w:rsidRPr="005C3B04">
        <w:t>of</w:t>
      </w:r>
      <w:r w:rsidRPr="005C3B04">
        <w:t xml:space="preserve"> the month, then the PCN change will take </w:t>
      </w:r>
      <w:proofErr w:type="spellStart"/>
      <w:r w:rsidRPr="005C3B04">
        <w:t>affect</w:t>
      </w:r>
      <w:proofErr w:type="spellEnd"/>
      <w:r w:rsidRPr="005C3B04">
        <w:t xml:space="preserve"> in the next month’s statement. If the instruction is not provided prior to the last working day on or before the 14</w:t>
      </w:r>
      <w:r w:rsidRPr="005C3B04">
        <w:rPr>
          <w:vertAlign w:val="superscript"/>
        </w:rPr>
        <w:t>th</w:t>
      </w:r>
      <w:r w:rsidRPr="005C3B04">
        <w:t xml:space="preserve"> of the month, then the PCN must wait until the month after the next to be included in the statements (in the case of late notification, it will be down to commissioners to make a decision on how payments are made for the </w:t>
      </w:r>
      <w:proofErr w:type="spellStart"/>
      <w:r w:rsidRPr="005C3B04">
        <w:t>part</w:t>
      </w:r>
      <w:proofErr w:type="spellEnd"/>
      <w:r w:rsidRPr="005C3B04">
        <w:t xml:space="preserve"> month and proceeding month where relevant).</w:t>
      </w:r>
      <w:r w:rsidRPr="005C3B04">
        <w:rPr>
          <w:i/>
          <w:iCs/>
        </w:rPr>
        <w:t xml:space="preserve"> </w:t>
      </w:r>
      <w:r w:rsidRPr="005C3B04">
        <w:t>The new PCN changes submitted to ODS will be reflected in systems in accordance with these timelines</w:t>
      </w:r>
      <w:r w:rsidR="00A63C42" w:rsidRPr="005C3B04">
        <w:t>.</w:t>
      </w:r>
    </w:p>
    <w:p w14:paraId="566783DB" w14:textId="77777777" w:rsidR="008F2758" w:rsidRPr="00586E44" w:rsidRDefault="008F2758" w:rsidP="00084AFF">
      <w:pPr>
        <w:pStyle w:val="h4numbered"/>
      </w:pPr>
      <w:r w:rsidRPr="00586E44">
        <w:t xml:space="preserve">Additional Role Reimbursement Scheme payments will be made monthly in arrears following the start of employment or commencement of service provision. The nominated payee will be required to submit the relevant monthly claims using the </w:t>
      </w:r>
      <w:r w:rsidRPr="00CC7033">
        <w:t>online claim portal</w:t>
      </w:r>
      <w:r w:rsidRPr="00586E44">
        <w:t xml:space="preserve">. Commissioners will make the relevant payments to the nominated payee no later than the last day of the </w:t>
      </w:r>
      <w:r w:rsidRPr="00586E44">
        <w:lastRenderedPageBreak/>
        <w:t xml:space="preserve">month following the month to which the payment relates and taking into account local payment arrangements. </w:t>
      </w:r>
    </w:p>
    <w:p w14:paraId="437C446E" w14:textId="77777777" w:rsidR="008F2758" w:rsidRPr="0035573B" w:rsidRDefault="008F2758" w:rsidP="0035573B">
      <w:pPr>
        <w:pStyle w:val="Heading4"/>
        <w:keepNext w:val="0"/>
        <w:spacing w:line="276" w:lineRule="auto"/>
        <w:ind w:left="851"/>
        <w:rPr>
          <w:rFonts w:hint="eastAsia"/>
          <w:sz w:val="24"/>
          <w:szCs w:val="18"/>
        </w:rPr>
      </w:pPr>
      <w:bookmarkStart w:id="247" w:name="_Toc36557309"/>
      <w:bookmarkStart w:id="248" w:name="_Toc150156038"/>
      <w:r w:rsidRPr="0035573B">
        <w:rPr>
          <w:sz w:val="24"/>
          <w:szCs w:val="18"/>
        </w:rPr>
        <w:t>Network Participation Payment</w:t>
      </w:r>
      <w:bookmarkEnd w:id="247"/>
      <w:bookmarkEnd w:id="248"/>
    </w:p>
    <w:p w14:paraId="48D1B124" w14:textId="63BF5CBF" w:rsidR="008F2758" w:rsidRPr="0080630B" w:rsidRDefault="008F2758" w:rsidP="00084AFF">
      <w:pPr>
        <w:pStyle w:val="h4numbered"/>
      </w:pPr>
      <w:r w:rsidRPr="00463213">
        <w:t xml:space="preserve">In addition to the payments made to the PCN’s nominated payee under the terms of the Network Contract DES, practices participating in the Network Contract DES will be entitled to the Network Participation Payment (NPP) - as set out in the General Medical Services Statement of Financial Entitlements and Network Contract DES Specification. This payment is £1.761 per weighted patient per year. The numbers of weighted patients are based on the Contractor Weighted Population taken as at quarter 4 immediately preceding the financial year (i.e. at 1 January in the preceding financial year). For example, </w:t>
      </w:r>
      <w:r w:rsidRPr="0080630B">
        <w:t xml:space="preserve">the </w:t>
      </w:r>
      <w:r w:rsidRPr="0080630B">
        <w:rPr>
          <w:rFonts w:hint="eastAsia"/>
        </w:rPr>
        <w:t>202</w:t>
      </w:r>
      <w:r w:rsidR="009A74EF" w:rsidRPr="00E82465">
        <w:rPr>
          <w:highlight w:val="yellow"/>
        </w:rPr>
        <w:t>6</w:t>
      </w:r>
      <w:r w:rsidRPr="0080630B">
        <w:rPr>
          <w:rFonts w:hint="eastAsia"/>
        </w:rPr>
        <w:t>/2</w:t>
      </w:r>
      <w:r w:rsidR="009A74EF" w:rsidRPr="00E82465">
        <w:rPr>
          <w:highlight w:val="yellow"/>
        </w:rPr>
        <w:t>7</w:t>
      </w:r>
      <w:r w:rsidRPr="0080630B">
        <w:t xml:space="preserve"> contractor weighted population figure will be that for quarter 4 in the </w:t>
      </w:r>
      <w:r w:rsidRPr="0080630B">
        <w:rPr>
          <w:rFonts w:hint="eastAsia"/>
        </w:rPr>
        <w:t>202</w:t>
      </w:r>
      <w:r w:rsidR="009A74EF" w:rsidRPr="00E82465">
        <w:rPr>
          <w:highlight w:val="yellow"/>
        </w:rPr>
        <w:t>5</w:t>
      </w:r>
      <w:r w:rsidRPr="0080630B">
        <w:rPr>
          <w:rFonts w:hint="eastAsia"/>
        </w:rPr>
        <w:t>/2</w:t>
      </w:r>
      <w:r w:rsidR="009A74EF" w:rsidRPr="00E82465">
        <w:rPr>
          <w:highlight w:val="yellow"/>
        </w:rPr>
        <w:t>6</w:t>
      </w:r>
      <w:r w:rsidRPr="0080630B">
        <w:t xml:space="preserve"> financial year i.e. at 1 January </w:t>
      </w:r>
      <w:r w:rsidRPr="0080630B">
        <w:rPr>
          <w:rFonts w:hint="eastAsia"/>
        </w:rPr>
        <w:t>202</w:t>
      </w:r>
      <w:r w:rsidR="009A74EF" w:rsidRPr="00E82465">
        <w:rPr>
          <w:highlight w:val="yellow"/>
        </w:rPr>
        <w:t>6</w:t>
      </w:r>
      <w:r w:rsidR="00F268CF" w:rsidRPr="0080630B">
        <w:rPr>
          <w:rFonts w:hint="eastAsia"/>
        </w:rPr>
        <w:t>.</w:t>
      </w:r>
    </w:p>
    <w:p w14:paraId="31B743A6" w14:textId="523A9F7A" w:rsidR="008F2758" w:rsidRPr="0080630B" w:rsidRDefault="008F2758" w:rsidP="00084AFF">
      <w:pPr>
        <w:pStyle w:val="h4numbered"/>
      </w:pPr>
      <w:r w:rsidRPr="0080630B">
        <w:t>The NPP will be paid monthly in arrears on or before the last day of the month following the month in which the payment relates (i.e. payment for April will be made on or before the end of May</w:t>
      </w:r>
      <w:r w:rsidRPr="0080630B">
        <w:rPr>
          <w:bCs/>
        </w:rPr>
        <w:t>).</w:t>
      </w:r>
      <w:r w:rsidRPr="0080630B">
        <w:t xml:space="preserve"> Where a practice is a Core Network Practice of a Previously Approved PCN and the first payment is paid after April </w:t>
      </w:r>
      <w:r w:rsidRPr="0080630B">
        <w:rPr>
          <w:rFonts w:hint="eastAsia"/>
        </w:rPr>
        <w:t>202</w:t>
      </w:r>
      <w:r w:rsidR="00F268CF" w:rsidRPr="00E82465">
        <w:rPr>
          <w:rFonts w:hint="eastAsia"/>
          <w:highlight w:val="yellow"/>
        </w:rPr>
        <w:t>5</w:t>
      </w:r>
      <w:r w:rsidRPr="0080630B">
        <w:t xml:space="preserve">, the first payment will be backdated to include payments due from 1 April </w:t>
      </w:r>
      <w:r w:rsidRPr="0080630B">
        <w:rPr>
          <w:rFonts w:hint="eastAsia"/>
        </w:rPr>
        <w:t>202</w:t>
      </w:r>
      <w:r w:rsidR="00F268CF" w:rsidRPr="00F42A99">
        <w:rPr>
          <w:rFonts w:hint="eastAsia"/>
          <w:highlight w:val="yellow"/>
        </w:rPr>
        <w:t>5</w:t>
      </w:r>
      <w:r w:rsidRPr="0080630B">
        <w:rPr>
          <w:bCs/>
        </w:rPr>
        <w:t xml:space="preserve">. </w:t>
      </w:r>
      <w:r w:rsidRPr="0080630B">
        <w:t xml:space="preserve">Where a practice is a Core Network Practice of a new proposed PCN after 1 April </w:t>
      </w:r>
      <w:r w:rsidRPr="0080630B">
        <w:rPr>
          <w:rFonts w:hint="eastAsia"/>
        </w:rPr>
        <w:t>202</w:t>
      </w:r>
      <w:r w:rsidR="00F268CF" w:rsidRPr="00F42A99">
        <w:rPr>
          <w:rFonts w:hint="eastAsia"/>
          <w:highlight w:val="yellow"/>
        </w:rPr>
        <w:t>5</w:t>
      </w:r>
      <w:r w:rsidRPr="0080630B">
        <w:t>, the practice will only be entitled to receive the NPP for the months for which it is actively participating in the Network Contract DES</w:t>
      </w:r>
      <w:r w:rsidRPr="0080630B">
        <w:rPr>
          <w:bCs/>
        </w:rPr>
        <w:t>.</w:t>
      </w:r>
      <w:r w:rsidRPr="0080630B">
        <w:t xml:space="preserve"> Refer to section </w:t>
      </w:r>
      <w:r w:rsidRPr="0080630B">
        <w:rPr>
          <w:b/>
        </w:rPr>
        <w:fldChar w:fldCharType="begin"/>
      </w:r>
      <w:r w:rsidRPr="0080630B">
        <w:rPr>
          <w:bCs/>
        </w:rPr>
        <w:instrText xml:space="preserve"> REF _Ref36029437 \r \h  \* MERGEFORMAT </w:instrText>
      </w:r>
      <w:r w:rsidRPr="0080630B">
        <w:rPr>
          <w:b/>
        </w:rPr>
      </w:r>
      <w:r w:rsidRPr="0080630B">
        <w:rPr>
          <w:b/>
        </w:rPr>
        <w:fldChar w:fldCharType="separate"/>
      </w:r>
      <w:r w:rsidR="00BF21BB" w:rsidRPr="00BF21BB">
        <w:t>10.3</w:t>
      </w:r>
      <w:r w:rsidRPr="0080630B">
        <w:rPr>
          <w:b/>
        </w:rPr>
        <w:fldChar w:fldCharType="end"/>
      </w:r>
      <w:r w:rsidRPr="0080630B">
        <w:rPr>
          <w:bCs/>
        </w:rPr>
        <w:t xml:space="preserve"> </w:t>
      </w:r>
      <w:r w:rsidRPr="0080630B">
        <w:t xml:space="preserve">below for further information on how payment calculations for </w:t>
      </w:r>
      <w:r w:rsidR="00384011">
        <w:rPr>
          <w:rFonts w:hint="eastAsia"/>
        </w:rPr>
        <w:t>202</w:t>
      </w:r>
      <w:r w:rsidR="00384011" w:rsidRPr="00F42A99">
        <w:rPr>
          <w:rFonts w:hint="eastAsia"/>
          <w:highlight w:val="yellow"/>
        </w:rPr>
        <w:t>6</w:t>
      </w:r>
      <w:r w:rsidR="00384011">
        <w:rPr>
          <w:rFonts w:hint="eastAsia"/>
        </w:rPr>
        <w:t>/2</w:t>
      </w:r>
      <w:r w:rsidR="00384011" w:rsidRPr="00F42A99">
        <w:rPr>
          <w:rFonts w:hint="eastAsia"/>
          <w:highlight w:val="yellow"/>
        </w:rPr>
        <w:t>7</w:t>
      </w:r>
      <w:r w:rsidRPr="0080630B">
        <w:t xml:space="preserve"> will be managed.</w:t>
      </w:r>
    </w:p>
    <w:p w14:paraId="126BB6D3" w14:textId="5CEB6E11" w:rsidR="008F2758" w:rsidRPr="0035573B" w:rsidRDefault="00384011" w:rsidP="0035573B">
      <w:pPr>
        <w:pStyle w:val="Heading4"/>
        <w:keepLines/>
        <w:spacing w:line="276" w:lineRule="auto"/>
        <w:ind w:left="851"/>
        <w:rPr>
          <w:rFonts w:hint="eastAsia"/>
          <w:sz w:val="24"/>
          <w:szCs w:val="18"/>
        </w:rPr>
      </w:pPr>
      <w:bookmarkStart w:id="249" w:name="_Toc36557310"/>
      <w:r w:rsidRPr="0035573B">
        <w:rPr>
          <w:rFonts w:hint="eastAsia"/>
          <w:sz w:val="24"/>
          <w:szCs w:val="18"/>
        </w:rPr>
        <w:t>2026/27</w:t>
      </w:r>
      <w:r w:rsidRPr="0035573B">
        <w:rPr>
          <w:sz w:val="24"/>
          <w:szCs w:val="18"/>
        </w:rPr>
        <w:t>2026/27</w:t>
      </w:r>
      <w:r w:rsidRPr="0035573B">
        <w:rPr>
          <w:rFonts w:cs="Arial"/>
          <w:bCs/>
          <w:sz w:val="24"/>
          <w:szCs w:val="22"/>
        </w:rPr>
        <w:t>2026/27</w:t>
      </w:r>
      <w:bookmarkStart w:id="250" w:name="_Toc150156041"/>
      <w:r w:rsidR="008F2758" w:rsidRPr="0035573B">
        <w:rPr>
          <w:sz w:val="24"/>
          <w:szCs w:val="18"/>
        </w:rPr>
        <w:t>Sub-contracted social prescribing service</w:t>
      </w:r>
      <w:bookmarkEnd w:id="249"/>
      <w:bookmarkEnd w:id="250"/>
    </w:p>
    <w:p w14:paraId="5569C699" w14:textId="524172BA" w:rsidR="008F2758" w:rsidRPr="00BE39C8" w:rsidRDefault="008F2758" w:rsidP="00084AFF">
      <w:pPr>
        <w:pStyle w:val="h4numbered"/>
      </w:pPr>
      <w:bookmarkStart w:id="251" w:name="_For_Social_Prescribing"/>
      <w:bookmarkStart w:id="252" w:name="_Ref34821481"/>
      <w:bookmarkStart w:id="253" w:name="_Ref35437583"/>
      <w:bookmarkEnd w:id="251"/>
      <w:r w:rsidRPr="00BE39C8">
        <w:t xml:space="preserve">For </w:t>
      </w:r>
      <w:r w:rsidR="00283535" w:rsidRPr="00BE39C8">
        <w:t>s</w:t>
      </w:r>
      <w:r w:rsidRPr="00BE39C8">
        <w:t xml:space="preserve">ocial </w:t>
      </w:r>
      <w:r w:rsidR="00283535" w:rsidRPr="00BE39C8">
        <w:t>p</w:t>
      </w:r>
      <w:r w:rsidRPr="00BE39C8">
        <w:t xml:space="preserve">rescribing </w:t>
      </w:r>
      <w:r w:rsidR="00283535" w:rsidRPr="00BE39C8">
        <w:t>s</w:t>
      </w:r>
      <w:r w:rsidRPr="00BE39C8">
        <w:t xml:space="preserve">ervices sub-contracted by a PCN to another provider, </w:t>
      </w:r>
      <w:r w:rsidR="00D520C8" w:rsidRPr="00BE39C8">
        <w:t xml:space="preserve">a </w:t>
      </w:r>
      <w:r w:rsidRPr="00BE39C8">
        <w:t>PCN may claim a contribution towards additional costs charged by the sub-contracted provider</w:t>
      </w:r>
      <w:bookmarkEnd w:id="252"/>
      <w:r w:rsidRPr="00BE39C8">
        <w:t>. A PCN may claim a contribution of up to £200 per month (£2,400 per year) for each WTE that the sub-contracted provider has apportioned to the PCN related activity. The overall contribution claimed cannot exceed £200 per month, the total amount claimed must not exceed the maximum reimbursable amount for a social prescribing link worker and must be within the PCN’s Additional Roles Reimbursement Sum. PCNs may wish to ensure that any sub-contracting agreement explicitly states the relevant costs (or WTE equivalent) as a copy may be requested by commissioners as evidence to support a reimbursement claim.</w:t>
      </w:r>
      <w:bookmarkEnd w:id="253"/>
    </w:p>
    <w:p w14:paraId="28ACD8BA" w14:textId="77777777" w:rsidR="008F2758" w:rsidRPr="00F55944" w:rsidRDefault="008F2758" w:rsidP="00084AFF">
      <w:pPr>
        <w:pStyle w:val="h3numbered"/>
      </w:pPr>
      <w:bookmarkStart w:id="254" w:name="_Toc26957673"/>
      <w:bookmarkStart w:id="255" w:name="_Toc36557312"/>
      <w:bookmarkStart w:id="256" w:name="_Toc150156042"/>
      <w:bookmarkStart w:id="257" w:name="_Toc223511163"/>
      <w:bookmarkStart w:id="258" w:name="_Toc223511442"/>
      <w:r w:rsidRPr="00F55944">
        <w:t>Network Contract DES nominated payee</w:t>
      </w:r>
      <w:bookmarkEnd w:id="254"/>
      <w:bookmarkEnd w:id="255"/>
      <w:bookmarkEnd w:id="256"/>
      <w:bookmarkEnd w:id="257"/>
      <w:bookmarkEnd w:id="258"/>
    </w:p>
    <w:p w14:paraId="33DF651B" w14:textId="77777777" w:rsidR="008F2758" w:rsidRPr="00FE6F99" w:rsidRDefault="008F2758" w:rsidP="00084AFF">
      <w:pPr>
        <w:pStyle w:val="h4numbered"/>
      </w:pPr>
      <w:r w:rsidRPr="00FE6F99">
        <w:lastRenderedPageBreak/>
        <w:t>The following paragraphs in the Network Contract DES Specification set out the factual points regarding who can hold the Network Contract DES and be the nominated payee:</w:t>
      </w:r>
    </w:p>
    <w:p w14:paraId="75E7C858" w14:textId="77777777" w:rsidR="008F2758" w:rsidRPr="00FE6F99" w:rsidRDefault="008F2758" w:rsidP="000741C5">
      <w:pPr>
        <w:pStyle w:val="Heading4"/>
        <w:keepNext w:val="0"/>
        <w:numPr>
          <w:ilvl w:val="0"/>
          <w:numId w:val="20"/>
        </w:numPr>
        <w:spacing w:line="276" w:lineRule="auto"/>
        <w:ind w:left="2268" w:hanging="567"/>
        <w:rPr>
          <w:rFonts w:ascii="Arial" w:hAnsi="Arial"/>
          <w:b w:val="0"/>
          <w:sz w:val="24"/>
        </w:rPr>
      </w:pPr>
      <w:r w:rsidRPr="00FE6F99">
        <w:rPr>
          <w:rFonts w:ascii="Arial" w:hAnsi="Arial"/>
          <w:b w:val="0"/>
          <w:sz w:val="24"/>
        </w:rPr>
        <w:t>Paragraph 2.2.10 – “the “Nominated Payee” refers to a PCN, practice or organisation that receives payment of the applicable financial entitlement set out in this Network Contract DES Specification”.</w:t>
      </w:r>
    </w:p>
    <w:p w14:paraId="57FDCAC2" w14:textId="77777777" w:rsidR="008F2758" w:rsidRPr="00FE6F99" w:rsidRDefault="008F2758" w:rsidP="000741C5">
      <w:pPr>
        <w:pStyle w:val="Heading4"/>
        <w:keepNext w:val="0"/>
        <w:numPr>
          <w:ilvl w:val="0"/>
          <w:numId w:val="20"/>
        </w:numPr>
        <w:spacing w:line="276" w:lineRule="auto"/>
        <w:ind w:left="2268" w:hanging="567"/>
        <w:rPr>
          <w:rFonts w:ascii="Arial" w:hAnsi="Arial"/>
          <w:b w:val="0"/>
          <w:sz w:val="24"/>
        </w:rPr>
      </w:pPr>
      <w:bookmarkStart w:id="259" w:name="_Ref34822733"/>
      <w:r w:rsidRPr="00FE6F99">
        <w:rPr>
          <w:rFonts w:ascii="Arial" w:hAnsi="Arial"/>
          <w:b w:val="0"/>
          <w:sz w:val="24"/>
        </w:rPr>
        <w:t>Paragraph 10.1.1 – “A practice participating in the Network Contract DES acknowledges that payments made under the Network Contract DES are dependent on the Core Network Practices of a PCN working together to deliver the requirements of this Network Contract DES.”</w:t>
      </w:r>
    </w:p>
    <w:p w14:paraId="3E5858CE" w14:textId="716F19E4" w:rsidR="008F2758" w:rsidRPr="00FE6F99" w:rsidRDefault="008F2758" w:rsidP="000741C5">
      <w:pPr>
        <w:pStyle w:val="Heading4"/>
        <w:keepNext w:val="0"/>
        <w:numPr>
          <w:ilvl w:val="0"/>
          <w:numId w:val="20"/>
        </w:numPr>
        <w:spacing w:line="276" w:lineRule="auto"/>
        <w:ind w:left="2268" w:hanging="567"/>
        <w:rPr>
          <w:rFonts w:ascii="Arial" w:hAnsi="Arial"/>
          <w:b w:val="0"/>
          <w:sz w:val="24"/>
        </w:rPr>
      </w:pPr>
      <w:r w:rsidRPr="00FE6F99">
        <w:rPr>
          <w:rFonts w:ascii="Arial" w:hAnsi="Arial"/>
          <w:b w:val="0"/>
          <w:sz w:val="24"/>
        </w:rPr>
        <w:t>Paragraph 10.1.6 – “The commissioner must ensure that payments due to a PCN set out in this Network Contract DES are made into the bank account of the Nominated Payee. The PCN must inform the commissioner of the relevant payment details of its Nominated Payee. The PCN will include in the Network Agreement the details of arrangements with the Nominated Payee and may indicate the basis on which the Nominated Payee receives the payments on behalf of the other practices, e.g. as an agent or trustee.”</w:t>
      </w:r>
    </w:p>
    <w:bookmarkEnd w:id="259"/>
    <w:p w14:paraId="4CECC02A" w14:textId="2D3A38E1" w:rsidR="008F2758" w:rsidRPr="00FE6F99" w:rsidRDefault="008F2758" w:rsidP="00084AFF">
      <w:pPr>
        <w:pStyle w:val="h4numbered"/>
      </w:pPr>
      <w:r w:rsidRPr="00FE6F99">
        <w:t>The nominated payee must be party to the PCN’s Network Agreement. This is because the Network Agreement forms the legal agreement between the constitute members of the PCN. It will set out how the PCN has agreed to use the DES funding to support delivery and how the PCN has agreed the funding will be apportioned between the members within the PCN.</w:t>
      </w:r>
    </w:p>
    <w:p w14:paraId="38849D7D" w14:textId="47FCAEBE" w:rsidR="008F2758" w:rsidRPr="00FE6F99" w:rsidRDefault="008F2758" w:rsidP="00084AFF">
      <w:pPr>
        <w:pStyle w:val="h4numbered"/>
      </w:pPr>
      <w:r w:rsidRPr="00FE6F99">
        <w:t>Unlike the requirements over who can hold the Network Contract DES, the nominated payee does not have to hold a registered list and be delivering an essential primary medical services contract. The nominated payee must, however, be party to the Network Agreement.</w:t>
      </w:r>
    </w:p>
    <w:p w14:paraId="0D8293C8" w14:textId="77777777" w:rsidR="008F2758" w:rsidRPr="00FE6F99" w:rsidRDefault="008F2758" w:rsidP="00084AFF">
      <w:pPr>
        <w:pStyle w:val="h4numbered"/>
        <w:rPr>
          <w:bCs/>
        </w:rPr>
      </w:pPr>
      <w:r w:rsidRPr="00FE6F99">
        <w:t xml:space="preserve">An APMS provider (including a provider who holds a hybrid NHS Standard Contract that is delivering primary medical care services under a Schedule 2L arrangement) can therefore be a nominated payee, even if they do not hold the Network Contract DES. As such, it is possible that a GP Federation could be nominated as the payee if </w:t>
      </w:r>
      <w:r w:rsidRPr="00EB6341">
        <w:t>all the Core Network Practices of the PCN agree. It also means that the same GP Federation could be nominated to be the payee for more than one PCN</w:t>
      </w:r>
      <w:r w:rsidRPr="00FE6F99">
        <w:t>.</w:t>
      </w:r>
    </w:p>
    <w:p w14:paraId="019F0911" w14:textId="77777777" w:rsidR="008F2758" w:rsidRPr="00F55944" w:rsidRDefault="008F2758" w:rsidP="00084AFF">
      <w:pPr>
        <w:pStyle w:val="h3numbered"/>
      </w:pPr>
      <w:bookmarkStart w:id="260" w:name="_Network_Contract_DES"/>
      <w:bookmarkStart w:id="261" w:name="_Ref36029437"/>
      <w:bookmarkStart w:id="262" w:name="_Toc36557314"/>
      <w:bookmarkStart w:id="263" w:name="_Toc150156043"/>
      <w:bookmarkStart w:id="264" w:name="_Toc223511164"/>
      <w:bookmarkStart w:id="265" w:name="_Toc223511443"/>
      <w:bookmarkEnd w:id="260"/>
      <w:r w:rsidRPr="00F55944">
        <w:t>Network Contract DES Payments</w:t>
      </w:r>
      <w:bookmarkEnd w:id="261"/>
      <w:bookmarkEnd w:id="262"/>
      <w:bookmarkEnd w:id="263"/>
      <w:bookmarkEnd w:id="264"/>
      <w:bookmarkEnd w:id="265"/>
    </w:p>
    <w:p w14:paraId="0EA69BF1" w14:textId="23C7548F" w:rsidR="008F2758" w:rsidRPr="0035573B" w:rsidRDefault="00FE6F99" w:rsidP="0035573B">
      <w:pPr>
        <w:pStyle w:val="Heading4"/>
        <w:keepNext w:val="0"/>
        <w:spacing w:line="276" w:lineRule="auto"/>
        <w:ind w:left="851"/>
        <w:rPr>
          <w:rFonts w:hint="eastAsia"/>
          <w:sz w:val="24"/>
          <w:szCs w:val="18"/>
        </w:rPr>
      </w:pPr>
      <w:bookmarkStart w:id="266" w:name="_Toc36557316"/>
      <w:bookmarkStart w:id="267" w:name="_Toc150156044"/>
      <w:r w:rsidRPr="0035573B">
        <w:rPr>
          <w:sz w:val="24"/>
          <w:szCs w:val="18"/>
        </w:rPr>
        <w:t>A</w:t>
      </w:r>
      <w:r w:rsidR="008F2758" w:rsidRPr="0035573B">
        <w:rPr>
          <w:sz w:val="24"/>
          <w:szCs w:val="18"/>
        </w:rPr>
        <w:t xml:space="preserve">utomated payment arrangements through </w:t>
      </w:r>
      <w:bookmarkEnd w:id="266"/>
      <w:r w:rsidR="008F2758" w:rsidRPr="0035573B">
        <w:rPr>
          <w:sz w:val="24"/>
          <w:szCs w:val="18"/>
        </w:rPr>
        <w:t>PCSE Online</w:t>
      </w:r>
      <w:bookmarkEnd w:id="267"/>
    </w:p>
    <w:p w14:paraId="63B7BF90" w14:textId="74831781" w:rsidR="008F2758" w:rsidRPr="005C3B04" w:rsidRDefault="004A218C" w:rsidP="00084AFF">
      <w:pPr>
        <w:pStyle w:val="h4numbered"/>
      </w:pPr>
      <w:bookmarkStart w:id="268" w:name="_Ref49425157"/>
      <w:r w:rsidRPr="004A218C">
        <w:rPr>
          <w:highlight w:val="yellow"/>
        </w:rPr>
        <w:t>Three</w:t>
      </w:r>
      <w:r w:rsidR="008F2758" w:rsidRPr="005C3B04">
        <w:t xml:space="preserve"> PCN payment calculations – the Core PCN Funding, Care Home Bed Premium</w:t>
      </w:r>
      <w:r w:rsidR="001D10B2">
        <w:t xml:space="preserve"> </w:t>
      </w:r>
      <w:r w:rsidR="001D10B2" w:rsidRPr="00BE1C90">
        <w:rPr>
          <w:highlight w:val="yellow"/>
        </w:rPr>
        <w:t>and</w:t>
      </w:r>
      <w:r w:rsidR="00C458B7">
        <w:t xml:space="preserve"> </w:t>
      </w:r>
      <w:r w:rsidR="008F2758" w:rsidRPr="005C3B04">
        <w:t xml:space="preserve">Enhanced Access are automated via the PCSE Online. </w:t>
      </w:r>
      <w:bookmarkEnd w:id="268"/>
    </w:p>
    <w:p w14:paraId="0A3B93CC" w14:textId="303168FE" w:rsidR="008F2758" w:rsidRPr="005C3B04" w:rsidRDefault="008F2758" w:rsidP="00084AFF">
      <w:pPr>
        <w:pStyle w:val="h4numbered"/>
      </w:pPr>
      <w:r w:rsidRPr="005C3B04">
        <w:lastRenderedPageBreak/>
        <w:t xml:space="preserve">The NPP will be processed directly by PCSE Online and paid directly to participating GP Practices. </w:t>
      </w:r>
    </w:p>
    <w:p w14:paraId="16B1B050" w14:textId="48488AF2" w:rsidR="008F2758" w:rsidRPr="005C3B04" w:rsidRDefault="008F2758" w:rsidP="00084AFF">
      <w:pPr>
        <w:pStyle w:val="h4numbered"/>
      </w:pPr>
      <w:bookmarkStart w:id="269" w:name="_Hlk36456931"/>
      <w:r w:rsidRPr="005C3B04">
        <w:t xml:space="preserve">PCSE Online will </w:t>
      </w:r>
      <w:r w:rsidRPr="005C3B04">
        <w:rPr>
          <w:rFonts w:cs="Arial"/>
          <w:color w:val="1D1D1D"/>
        </w:rPr>
        <w:t>calculate</w:t>
      </w:r>
      <w:r w:rsidRPr="005C3B04">
        <w:t xml:space="preserve"> these </w:t>
      </w:r>
      <w:r w:rsidR="004A218C" w:rsidRPr="004A218C">
        <w:rPr>
          <w:highlight w:val="yellow"/>
        </w:rPr>
        <w:t>three</w:t>
      </w:r>
      <w:r w:rsidR="23E67A6E" w:rsidRPr="5E3D90E4">
        <w:t xml:space="preserve"> </w:t>
      </w:r>
      <w:r w:rsidRPr="5E3D90E4">
        <w:t>payments using the PCN ODS reference data towards the end of each month. Commissioners should ensure that any changes to the PCN ODS reference data are submitted using the PCN ODS Change Instruction Notice</w:t>
      </w:r>
      <w:r w:rsidRPr="00DA1C9E">
        <w:rPr>
          <w:rStyle w:val="FootnoteReference"/>
          <w:rFonts w:cs="Arial"/>
          <w:szCs w:val="24"/>
        </w:rPr>
        <w:footnoteReference w:id="21"/>
      </w:r>
      <w:r w:rsidRPr="5E3D90E4">
        <w:t xml:space="preserve"> by the last working day on or before the 14</w:t>
      </w:r>
      <w:r w:rsidRPr="5E3D90E4">
        <w:rPr>
          <w:vertAlign w:val="superscript"/>
        </w:rPr>
        <w:t>th</w:t>
      </w:r>
      <w:r w:rsidRPr="5E3D90E4">
        <w:t xml:space="preserve"> day of each month, so as to ensure the changes take effect prior to the PCSE Online payment calculation date.  These changes will take effect in the subsequent month. If the instruction for the new PCN is given to ODS (via the PCN ODS Change Instruction Notice) prior to the last working day on or before the 14</w:t>
      </w:r>
      <w:r w:rsidRPr="5E3D90E4">
        <w:rPr>
          <w:vertAlign w:val="superscript"/>
        </w:rPr>
        <w:t>th</w:t>
      </w:r>
      <w:r w:rsidRPr="5E3D90E4">
        <w:t xml:space="preserve"> of the month, then the PCN change will take effect in the next month’s statement. If the instruction is not provided prior to the last working day on or before the 14</w:t>
      </w:r>
      <w:r w:rsidRPr="5E3D90E4">
        <w:rPr>
          <w:vertAlign w:val="superscript"/>
        </w:rPr>
        <w:t>th</w:t>
      </w:r>
      <w:r w:rsidRPr="5E3D90E4">
        <w:t xml:space="preserve"> of the month, then the PCN must wait until the month after the next to be included in the statements (in the case of late notification, it will be down to commissioners to </w:t>
      </w:r>
      <w:r w:rsidRPr="005C3B04">
        <w:t xml:space="preserve">make a decision on how payments are made for the </w:t>
      </w:r>
      <w:proofErr w:type="spellStart"/>
      <w:r w:rsidRPr="005C3B04">
        <w:t>part</w:t>
      </w:r>
      <w:proofErr w:type="spellEnd"/>
      <w:r w:rsidRPr="005C3B04">
        <w:t xml:space="preserve"> month and proceeding month where relevant).</w:t>
      </w:r>
      <w:r w:rsidRPr="005C3B04">
        <w:rPr>
          <w:i/>
          <w:iCs/>
        </w:rPr>
        <w:t xml:space="preserve"> </w:t>
      </w:r>
      <w:r w:rsidRPr="005C3B04">
        <w:t>The new PCN changes submitted to ODS will be reflected in systems in accordance with these timelines</w:t>
      </w:r>
      <w:bookmarkEnd w:id="269"/>
    </w:p>
    <w:p w14:paraId="46ED8EE9" w14:textId="303A3593" w:rsidR="008F2758" w:rsidRPr="0035573B" w:rsidRDefault="008F2758" w:rsidP="0035573B">
      <w:pPr>
        <w:pStyle w:val="Heading4"/>
        <w:keepNext w:val="0"/>
        <w:spacing w:line="276" w:lineRule="auto"/>
        <w:ind w:left="851"/>
        <w:rPr>
          <w:rFonts w:hint="eastAsia"/>
          <w:sz w:val="24"/>
          <w:szCs w:val="18"/>
        </w:rPr>
      </w:pPr>
      <w:bookmarkStart w:id="270" w:name="_Toc36557317"/>
      <w:bookmarkStart w:id="271" w:name="_Toc150156045"/>
      <w:r w:rsidRPr="0035573B">
        <w:rPr>
          <w:sz w:val="24"/>
          <w:szCs w:val="18"/>
        </w:rPr>
        <w:t>Additional payment information</w:t>
      </w:r>
      <w:bookmarkEnd w:id="270"/>
      <w:bookmarkEnd w:id="271"/>
    </w:p>
    <w:p w14:paraId="22906CC5" w14:textId="03179EF8" w:rsidR="008F2758" w:rsidRPr="005C3B04" w:rsidRDefault="00554ED0" w:rsidP="00084AFF">
      <w:pPr>
        <w:pStyle w:val="h4numbered"/>
        <w:rPr>
          <w:color w:val="1D1D1D"/>
        </w:rPr>
      </w:pPr>
      <w:r w:rsidRPr="005C3B04">
        <w:t xml:space="preserve">Commissioners should use </w:t>
      </w:r>
      <w:r w:rsidR="00D71F27" w:rsidRPr="005C3B04">
        <w:t xml:space="preserve">the manual PCN </w:t>
      </w:r>
      <w:r w:rsidR="00AC4D5D" w:rsidRPr="005C3B04">
        <w:t>V</w:t>
      </w:r>
      <w:r w:rsidR="00D71F27" w:rsidRPr="005C3B04">
        <w:t xml:space="preserve">ariation </w:t>
      </w:r>
      <w:r w:rsidR="00AC4D5D" w:rsidRPr="005C3B04">
        <w:t>T</w:t>
      </w:r>
      <w:r w:rsidR="00D71F27" w:rsidRPr="005C3B04">
        <w:t xml:space="preserve">emplate </w:t>
      </w:r>
      <w:r w:rsidR="00B25777" w:rsidRPr="005C3B04">
        <w:t xml:space="preserve">to instruct </w:t>
      </w:r>
      <w:r w:rsidR="00720C64" w:rsidRPr="005C3B04">
        <w:t>approved ARRS claims for payment</w:t>
      </w:r>
      <w:r w:rsidR="00D03917" w:rsidRPr="005C3B04">
        <w:t xml:space="preserve"> via PCSE </w:t>
      </w:r>
      <w:r w:rsidR="003733E4" w:rsidRPr="005C3B04">
        <w:t>O</w:t>
      </w:r>
      <w:r w:rsidR="00D03917" w:rsidRPr="005C3B04">
        <w:t>nline</w:t>
      </w:r>
      <w:r w:rsidR="008F2758" w:rsidRPr="005C3B04">
        <w:t>.</w:t>
      </w:r>
      <w:r w:rsidR="003733E4" w:rsidRPr="005C3B04">
        <w:t xml:space="preserve"> Claims shou</w:t>
      </w:r>
      <w:r w:rsidR="009F5CD0" w:rsidRPr="005C3B04">
        <w:t xml:space="preserve">ld still be submitted to </w:t>
      </w:r>
      <w:r w:rsidR="00DC0F98" w:rsidRPr="005C3B04">
        <w:t>the online ARRS claims portal by the PCN</w:t>
      </w:r>
      <w:r w:rsidR="00EF54F0" w:rsidRPr="005C3B04">
        <w:t xml:space="preserve"> and reviewed by the Commissioner. </w:t>
      </w:r>
      <w:r w:rsidR="000F177A" w:rsidRPr="005C3B04">
        <w:t xml:space="preserve">In order to instruct </w:t>
      </w:r>
      <w:r w:rsidR="00664A69" w:rsidRPr="005C3B04">
        <w:t xml:space="preserve">that the claim is ready for payment, </w:t>
      </w:r>
      <w:r w:rsidR="007229FC" w:rsidRPr="005C3B04">
        <w:t xml:space="preserve">ICBs will need to </w:t>
      </w:r>
      <w:r w:rsidR="00AC4D5D" w:rsidRPr="005C3B04">
        <w:t xml:space="preserve">complete the PCN Variation Template. </w:t>
      </w:r>
      <w:r w:rsidR="00CE7F18" w:rsidRPr="005C3B04">
        <w:t xml:space="preserve">Primary Care Support England’s </w:t>
      </w:r>
      <w:r w:rsidR="00802F82" w:rsidRPr="005C3B04">
        <w:t xml:space="preserve">PCN Variation Template User Guide </w:t>
      </w:r>
      <w:r w:rsidR="00B22B86" w:rsidRPr="005C3B04">
        <w:t xml:space="preserve">provides support for managing </w:t>
      </w:r>
      <w:r w:rsidR="001B603D" w:rsidRPr="005C3B04">
        <w:t xml:space="preserve">a PCNs monthly payment schedule </w:t>
      </w:r>
      <w:r w:rsidR="0020785A" w:rsidRPr="005C3B04">
        <w:t xml:space="preserve">through PCSE online. </w:t>
      </w:r>
    </w:p>
    <w:p w14:paraId="60AA6E8E" w14:textId="209611ED" w:rsidR="008F2758" w:rsidRPr="0035573B" w:rsidRDefault="008F2758" w:rsidP="0035573B">
      <w:pPr>
        <w:pStyle w:val="Heading4"/>
        <w:keepNext w:val="0"/>
        <w:spacing w:line="276" w:lineRule="auto"/>
        <w:ind w:left="851"/>
        <w:rPr>
          <w:rFonts w:hint="eastAsia"/>
          <w:sz w:val="24"/>
          <w:szCs w:val="18"/>
        </w:rPr>
      </w:pPr>
      <w:bookmarkStart w:id="272" w:name="_Toc150156046"/>
      <w:r w:rsidRPr="0035573B">
        <w:rPr>
          <w:sz w:val="24"/>
          <w:szCs w:val="18"/>
        </w:rPr>
        <w:t>Any nominated payee</w:t>
      </w:r>
      <w:bookmarkEnd w:id="272"/>
    </w:p>
    <w:p w14:paraId="54C5675E" w14:textId="31282F65" w:rsidR="008F2758" w:rsidRPr="00EB6341" w:rsidRDefault="008F2758" w:rsidP="00084AFF">
      <w:pPr>
        <w:pStyle w:val="h4numbered"/>
        <w:rPr>
          <w:bCs/>
        </w:rPr>
      </w:pPr>
      <w:r w:rsidRPr="5E3D90E4">
        <w:t>Work has been completed to support the introduction of ‘any nominated payee’. This allows for a non-GP provider to be a PCN’s nominated payee and/or for a separate bank account to be link to the PCN ODS code.</w:t>
      </w:r>
    </w:p>
    <w:p w14:paraId="1C3302E8" w14:textId="0934DD62" w:rsidR="008F2758" w:rsidRPr="0035573B" w:rsidRDefault="008F2758" w:rsidP="0035573B">
      <w:pPr>
        <w:pStyle w:val="Heading4"/>
        <w:keepNext w:val="0"/>
        <w:spacing w:line="276" w:lineRule="auto"/>
        <w:ind w:left="851"/>
        <w:rPr>
          <w:rFonts w:hint="eastAsia"/>
          <w:sz w:val="24"/>
          <w:szCs w:val="18"/>
        </w:rPr>
      </w:pPr>
      <w:bookmarkStart w:id="273" w:name="_Toc26957676"/>
      <w:bookmarkStart w:id="274" w:name="_Toc36557319"/>
      <w:bookmarkStart w:id="275" w:name="_Toc150156047"/>
      <w:r w:rsidRPr="0035573B">
        <w:rPr>
          <w:sz w:val="24"/>
          <w:szCs w:val="18"/>
        </w:rPr>
        <w:t>National subjective and finance system codes for Network Contract DES</w:t>
      </w:r>
      <w:bookmarkEnd w:id="273"/>
      <w:bookmarkEnd w:id="274"/>
      <w:bookmarkEnd w:id="275"/>
    </w:p>
    <w:p w14:paraId="6C03466F" w14:textId="77E5A996" w:rsidR="008F2758" w:rsidRPr="00BB5C7D" w:rsidRDefault="008F2758" w:rsidP="00084AFF">
      <w:pPr>
        <w:pStyle w:val="h4numbered"/>
      </w:pPr>
      <w:bookmarkStart w:id="276" w:name="_Ref34823672"/>
      <w:bookmarkStart w:id="277" w:name="_Ref35879164"/>
      <w:r w:rsidRPr="5E3D90E4">
        <w:rPr>
          <w:rFonts w:cs="Arial"/>
        </w:rPr>
        <w:t xml:space="preserve">Table 3 </w:t>
      </w:r>
      <w:r w:rsidRPr="5E3D90E4">
        <w:t xml:space="preserve">sets out the relevant subject and finance </w:t>
      </w:r>
      <w:r w:rsidRPr="0080630B">
        <w:t>system codes that commissioners will be required to use</w:t>
      </w:r>
      <w:bookmarkEnd w:id="276"/>
      <w:r w:rsidRPr="0080630B">
        <w:t xml:space="preserve"> to support all payments under the </w:t>
      </w:r>
      <w:r w:rsidR="00384011">
        <w:t>2026/27</w:t>
      </w:r>
      <w:r w:rsidRPr="0080630B">
        <w:t xml:space="preserve"> Network Contract DES.</w:t>
      </w:r>
      <w:bookmarkEnd w:id="277"/>
    </w:p>
    <w:p w14:paraId="54B20D74" w14:textId="77777777" w:rsidR="008F2758" w:rsidRPr="00BB5C7D" w:rsidRDefault="008F2758" w:rsidP="0035573B">
      <w:pPr>
        <w:spacing w:after="0" w:line="276" w:lineRule="auto"/>
        <w:ind w:left="851"/>
        <w:rPr>
          <w:rFonts w:cs="Arial"/>
          <w:bCs/>
          <w:u w:val="single"/>
        </w:rPr>
      </w:pPr>
    </w:p>
    <w:p w14:paraId="4DBB022B" w14:textId="588D7750" w:rsidR="008F2758" w:rsidRPr="00091CF5" w:rsidRDefault="008F2758" w:rsidP="0035573B">
      <w:pPr>
        <w:spacing w:after="0" w:line="276" w:lineRule="auto"/>
        <w:ind w:left="851"/>
        <w:rPr>
          <w:rFonts w:cs="Arial"/>
          <w:bCs/>
          <w:u w:val="single"/>
        </w:rPr>
      </w:pPr>
      <w:bookmarkStart w:id="278" w:name="_Toc26957677"/>
      <w:bookmarkStart w:id="279" w:name="_Toc36557320"/>
      <w:r w:rsidRPr="00091CF5">
        <w:rPr>
          <w:rFonts w:cs="Arial"/>
          <w:bCs/>
          <w:u w:val="single"/>
        </w:rPr>
        <w:t>Table 3: National subjective and finance system codes for Network Contract DES payments</w:t>
      </w:r>
    </w:p>
    <w:p w14:paraId="1A4EFC19" w14:textId="77777777" w:rsidR="008F2758" w:rsidRPr="00091CF5" w:rsidRDefault="008F2758" w:rsidP="0035573B">
      <w:pPr>
        <w:spacing w:line="276" w:lineRule="auto"/>
        <w:ind w:left="851"/>
      </w:pPr>
    </w:p>
    <w:tbl>
      <w:tblPr>
        <w:tblW w:w="8788" w:type="dxa"/>
        <w:tblInd w:w="8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71"/>
        <w:gridCol w:w="1310"/>
        <w:gridCol w:w="3548"/>
        <w:gridCol w:w="1559"/>
      </w:tblGrid>
      <w:tr w:rsidR="008F2758" w:rsidRPr="001279A6" w14:paraId="12CBFFF2" w14:textId="77777777" w:rsidTr="0035573B">
        <w:trPr>
          <w:trHeight w:val="936"/>
        </w:trPr>
        <w:tc>
          <w:tcPr>
            <w:tcW w:w="2371" w:type="dxa"/>
            <w:vAlign w:val="center"/>
            <w:hideMark/>
          </w:tcPr>
          <w:p w14:paraId="632A01B4" w14:textId="33585762" w:rsidR="008F2758" w:rsidRPr="001279A6" w:rsidRDefault="008F2758" w:rsidP="00E36FE2">
            <w:pPr>
              <w:shd w:val="clear" w:color="auto" w:fill="C2F3FF" w:themeFill="accent4" w:themeFillTint="33"/>
              <w:spacing w:after="0" w:line="276" w:lineRule="auto"/>
              <w:rPr>
                <w:rFonts w:cs="Arial"/>
                <w:b/>
                <w:bCs/>
                <w:lang w:eastAsia="en-GB"/>
              </w:rPr>
            </w:pPr>
            <w:r w:rsidRPr="001279A6">
              <w:rPr>
                <w:rFonts w:cs="Arial"/>
                <w:b/>
                <w:bCs/>
                <w:lang w:eastAsia="en-GB"/>
              </w:rPr>
              <w:t>Payments</w:t>
            </w:r>
          </w:p>
        </w:tc>
        <w:tc>
          <w:tcPr>
            <w:tcW w:w="1310" w:type="dxa"/>
            <w:vAlign w:val="center"/>
            <w:hideMark/>
          </w:tcPr>
          <w:p w14:paraId="5D904030" w14:textId="77777777" w:rsidR="008F2758" w:rsidRPr="001279A6" w:rsidRDefault="008F2758" w:rsidP="00E36FE2">
            <w:pPr>
              <w:shd w:val="clear" w:color="auto" w:fill="C2F3FF" w:themeFill="accent4" w:themeFillTint="33"/>
              <w:spacing w:after="0" w:line="276" w:lineRule="auto"/>
              <w:rPr>
                <w:rFonts w:cs="Arial"/>
                <w:b/>
                <w:bCs/>
                <w:lang w:eastAsia="en-GB"/>
              </w:rPr>
            </w:pPr>
            <w:proofErr w:type="spellStart"/>
            <w:r w:rsidRPr="001279A6">
              <w:rPr>
                <w:rFonts w:cs="Arial"/>
                <w:b/>
                <w:bCs/>
                <w:lang w:eastAsia="en-GB"/>
              </w:rPr>
              <w:t>Paycode</w:t>
            </w:r>
            <w:proofErr w:type="spellEnd"/>
            <w:r w:rsidRPr="001279A6">
              <w:rPr>
                <w:rFonts w:cs="Arial"/>
                <w:b/>
                <w:bCs/>
                <w:lang w:eastAsia="en-GB"/>
              </w:rPr>
              <w:br/>
            </w:r>
          </w:p>
        </w:tc>
        <w:tc>
          <w:tcPr>
            <w:tcW w:w="3548" w:type="dxa"/>
            <w:vAlign w:val="center"/>
            <w:hideMark/>
          </w:tcPr>
          <w:p w14:paraId="01FB5D90" w14:textId="77777777" w:rsidR="008F2758" w:rsidRPr="001279A6" w:rsidRDefault="008F2758" w:rsidP="00E36FE2">
            <w:pPr>
              <w:shd w:val="clear" w:color="auto" w:fill="C2F3FF" w:themeFill="accent4" w:themeFillTint="33"/>
              <w:spacing w:after="0" w:line="276" w:lineRule="auto"/>
              <w:rPr>
                <w:rFonts w:cs="Arial"/>
                <w:b/>
                <w:bCs/>
                <w:lang w:eastAsia="en-GB"/>
              </w:rPr>
            </w:pPr>
            <w:proofErr w:type="spellStart"/>
            <w:r w:rsidRPr="001279A6">
              <w:rPr>
                <w:rFonts w:cs="Arial"/>
                <w:b/>
                <w:bCs/>
                <w:lang w:eastAsia="en-GB"/>
              </w:rPr>
              <w:t>Paycode</w:t>
            </w:r>
            <w:proofErr w:type="spellEnd"/>
            <w:r w:rsidRPr="001279A6">
              <w:rPr>
                <w:rFonts w:cs="Arial"/>
                <w:b/>
                <w:bCs/>
                <w:lang w:eastAsia="en-GB"/>
              </w:rPr>
              <w:t xml:space="preserve"> description</w:t>
            </w:r>
          </w:p>
        </w:tc>
        <w:tc>
          <w:tcPr>
            <w:tcW w:w="1559" w:type="dxa"/>
            <w:vAlign w:val="center"/>
            <w:hideMark/>
          </w:tcPr>
          <w:p w14:paraId="234114E9" w14:textId="77777777" w:rsidR="008F2758" w:rsidRPr="001279A6" w:rsidRDefault="008F2758" w:rsidP="00E36FE2">
            <w:pPr>
              <w:shd w:val="clear" w:color="auto" w:fill="C2F3FF" w:themeFill="accent4" w:themeFillTint="33"/>
              <w:spacing w:after="0" w:line="276" w:lineRule="auto"/>
              <w:rPr>
                <w:rFonts w:cs="Arial"/>
                <w:b/>
                <w:bCs/>
                <w:lang w:eastAsia="en-GB"/>
              </w:rPr>
            </w:pPr>
            <w:r w:rsidRPr="001279A6">
              <w:rPr>
                <w:rFonts w:cs="Arial"/>
                <w:b/>
                <w:bCs/>
                <w:lang w:eastAsia="en-GB"/>
              </w:rPr>
              <w:t>Subjective Code</w:t>
            </w:r>
          </w:p>
        </w:tc>
      </w:tr>
      <w:tr w:rsidR="008F2758" w:rsidRPr="001279A6" w14:paraId="101B5AC1" w14:textId="77777777" w:rsidTr="0035573B">
        <w:trPr>
          <w:trHeight w:val="312"/>
        </w:trPr>
        <w:tc>
          <w:tcPr>
            <w:tcW w:w="2371" w:type="dxa"/>
            <w:vAlign w:val="center"/>
            <w:hideMark/>
          </w:tcPr>
          <w:p w14:paraId="3726B477" w14:textId="77777777" w:rsidR="008F2758" w:rsidRPr="001279A6" w:rsidRDefault="008F2758" w:rsidP="00E36FE2">
            <w:pPr>
              <w:shd w:val="clear" w:color="auto" w:fill="C2F3FF" w:themeFill="accent4" w:themeFillTint="33"/>
              <w:spacing w:after="0" w:line="276" w:lineRule="auto"/>
              <w:rPr>
                <w:rFonts w:cs="Arial"/>
                <w:lang w:eastAsia="en-GB"/>
              </w:rPr>
            </w:pPr>
            <w:r w:rsidRPr="001279A6">
              <w:rPr>
                <w:rFonts w:cs="Arial"/>
                <w:lang w:eastAsia="en-GB"/>
              </w:rPr>
              <w:t>PCN Support Payment</w:t>
            </w:r>
          </w:p>
        </w:tc>
        <w:tc>
          <w:tcPr>
            <w:tcW w:w="1310" w:type="dxa"/>
            <w:vAlign w:val="center"/>
            <w:hideMark/>
          </w:tcPr>
          <w:p w14:paraId="62E612FE" w14:textId="77777777" w:rsidR="008F2758" w:rsidRPr="001279A6" w:rsidRDefault="008F2758" w:rsidP="00E36FE2">
            <w:pPr>
              <w:shd w:val="clear" w:color="auto" w:fill="C2F3FF" w:themeFill="accent4" w:themeFillTint="33"/>
              <w:spacing w:after="0" w:line="276" w:lineRule="auto"/>
              <w:jc w:val="center"/>
              <w:rPr>
                <w:rFonts w:cs="Arial"/>
                <w:lang w:eastAsia="en-GB"/>
              </w:rPr>
            </w:pPr>
            <w:r w:rsidRPr="001279A6">
              <w:rPr>
                <w:rFonts w:cs="Arial"/>
                <w:lang w:eastAsia="en-GB"/>
              </w:rPr>
              <w:t>NCDSUP</w:t>
            </w:r>
          </w:p>
        </w:tc>
        <w:tc>
          <w:tcPr>
            <w:tcW w:w="3548" w:type="dxa"/>
            <w:vAlign w:val="center"/>
            <w:hideMark/>
          </w:tcPr>
          <w:p w14:paraId="2F738B57" w14:textId="77777777" w:rsidR="008F2758" w:rsidRPr="001279A6" w:rsidRDefault="008F2758" w:rsidP="00E36FE2">
            <w:pPr>
              <w:shd w:val="clear" w:color="auto" w:fill="C2F3FF" w:themeFill="accent4" w:themeFillTint="33"/>
              <w:spacing w:after="0" w:line="276" w:lineRule="auto"/>
              <w:rPr>
                <w:rFonts w:cs="Arial"/>
                <w:lang w:eastAsia="en-GB"/>
              </w:rPr>
            </w:pPr>
            <w:r w:rsidRPr="001279A6">
              <w:rPr>
                <w:rFonts w:cs="Arial"/>
                <w:lang w:eastAsia="en-GB"/>
              </w:rPr>
              <w:t>NCD Support Payment</w:t>
            </w:r>
          </w:p>
        </w:tc>
        <w:tc>
          <w:tcPr>
            <w:tcW w:w="1559" w:type="dxa"/>
            <w:noWrap/>
            <w:vAlign w:val="bottom"/>
            <w:hideMark/>
          </w:tcPr>
          <w:p w14:paraId="7EB5661D" w14:textId="77777777" w:rsidR="008F2758" w:rsidRPr="001279A6" w:rsidRDefault="008F2758" w:rsidP="00E36FE2">
            <w:pPr>
              <w:shd w:val="clear" w:color="auto" w:fill="C2F3FF" w:themeFill="accent4" w:themeFillTint="33"/>
              <w:spacing w:after="0" w:line="276" w:lineRule="auto"/>
              <w:rPr>
                <w:rFonts w:cs="Arial"/>
                <w:lang w:eastAsia="en-GB"/>
              </w:rPr>
            </w:pPr>
            <w:r w:rsidRPr="001279A6">
              <w:rPr>
                <w:rFonts w:cs="Arial"/>
                <w:lang w:eastAsia="en-GB"/>
              </w:rPr>
              <w:t>5216108K</w:t>
            </w:r>
          </w:p>
        </w:tc>
      </w:tr>
      <w:tr w:rsidR="008F2758" w:rsidRPr="001279A6" w14:paraId="07A7CA12" w14:textId="77777777" w:rsidTr="0035573B">
        <w:trPr>
          <w:trHeight w:val="312"/>
        </w:trPr>
        <w:tc>
          <w:tcPr>
            <w:tcW w:w="2371" w:type="dxa"/>
            <w:vAlign w:val="center"/>
            <w:hideMark/>
          </w:tcPr>
          <w:p w14:paraId="0D0918A7" w14:textId="77777777" w:rsidR="008F2758" w:rsidRPr="001279A6" w:rsidRDefault="008F2758" w:rsidP="00E36FE2">
            <w:pPr>
              <w:shd w:val="clear" w:color="auto" w:fill="C2F3FF" w:themeFill="accent4" w:themeFillTint="33"/>
              <w:spacing w:after="0" w:line="276" w:lineRule="auto"/>
              <w:rPr>
                <w:rFonts w:cs="Arial"/>
                <w:lang w:eastAsia="en-GB"/>
              </w:rPr>
            </w:pPr>
            <w:r w:rsidRPr="001279A6">
              <w:rPr>
                <w:rFonts w:cs="Arial"/>
                <w:lang w:eastAsia="en-GB"/>
              </w:rPr>
              <w:t>Care home premium</w:t>
            </w:r>
          </w:p>
        </w:tc>
        <w:tc>
          <w:tcPr>
            <w:tcW w:w="1310" w:type="dxa"/>
            <w:noWrap/>
            <w:vAlign w:val="center"/>
            <w:hideMark/>
          </w:tcPr>
          <w:p w14:paraId="31037092" w14:textId="77777777" w:rsidR="008F2758" w:rsidRPr="001279A6" w:rsidRDefault="008F2758" w:rsidP="00E36FE2">
            <w:pPr>
              <w:shd w:val="clear" w:color="auto" w:fill="C2F3FF" w:themeFill="accent4" w:themeFillTint="33"/>
              <w:spacing w:after="0" w:line="276" w:lineRule="auto"/>
              <w:jc w:val="center"/>
              <w:rPr>
                <w:rFonts w:cs="Arial"/>
                <w:lang w:eastAsia="en-GB"/>
              </w:rPr>
            </w:pPr>
            <w:r w:rsidRPr="001279A6">
              <w:rPr>
                <w:rFonts w:cs="Arial"/>
                <w:lang w:eastAsia="en-GB"/>
              </w:rPr>
              <w:t>NCDCHP</w:t>
            </w:r>
          </w:p>
        </w:tc>
        <w:tc>
          <w:tcPr>
            <w:tcW w:w="3548" w:type="dxa"/>
            <w:vAlign w:val="center"/>
            <w:hideMark/>
          </w:tcPr>
          <w:p w14:paraId="6C0269D4" w14:textId="77777777" w:rsidR="008F2758" w:rsidRPr="001279A6" w:rsidRDefault="008F2758" w:rsidP="00E36FE2">
            <w:pPr>
              <w:shd w:val="clear" w:color="auto" w:fill="C2F3FF" w:themeFill="accent4" w:themeFillTint="33"/>
              <w:spacing w:after="0" w:line="276" w:lineRule="auto"/>
              <w:rPr>
                <w:rFonts w:cs="Arial"/>
                <w:lang w:eastAsia="en-GB"/>
              </w:rPr>
            </w:pPr>
            <w:r w:rsidRPr="001279A6">
              <w:rPr>
                <w:rFonts w:cs="Arial"/>
                <w:lang w:eastAsia="en-GB"/>
              </w:rPr>
              <w:t>NCD Care Home Premium</w:t>
            </w:r>
          </w:p>
        </w:tc>
        <w:tc>
          <w:tcPr>
            <w:tcW w:w="1559" w:type="dxa"/>
            <w:noWrap/>
            <w:vAlign w:val="center"/>
            <w:hideMark/>
          </w:tcPr>
          <w:p w14:paraId="33A2CD39" w14:textId="77777777" w:rsidR="008F2758" w:rsidRPr="001279A6" w:rsidRDefault="008F2758" w:rsidP="00E36FE2">
            <w:pPr>
              <w:shd w:val="clear" w:color="auto" w:fill="C2F3FF" w:themeFill="accent4" w:themeFillTint="33"/>
              <w:spacing w:after="0" w:line="276" w:lineRule="auto"/>
              <w:rPr>
                <w:rFonts w:cs="Arial"/>
                <w:lang w:eastAsia="en-GB"/>
              </w:rPr>
            </w:pPr>
            <w:r w:rsidRPr="001279A6">
              <w:rPr>
                <w:rFonts w:cs="Arial"/>
                <w:lang w:eastAsia="en-GB"/>
              </w:rPr>
              <w:t>5216108G</w:t>
            </w:r>
          </w:p>
        </w:tc>
      </w:tr>
      <w:tr w:rsidR="008F2758" w:rsidRPr="001279A6" w14:paraId="53C2EC03" w14:textId="77777777" w:rsidTr="0035573B">
        <w:trPr>
          <w:trHeight w:val="600"/>
        </w:trPr>
        <w:tc>
          <w:tcPr>
            <w:tcW w:w="2371" w:type="dxa"/>
            <w:vAlign w:val="center"/>
            <w:hideMark/>
          </w:tcPr>
          <w:p w14:paraId="4AFFB728" w14:textId="378B722C" w:rsidR="008F2758" w:rsidRPr="001279A6" w:rsidRDefault="008F2758" w:rsidP="00E36FE2">
            <w:pPr>
              <w:shd w:val="clear" w:color="auto" w:fill="C2F3FF" w:themeFill="accent4" w:themeFillTint="33"/>
              <w:spacing w:after="0" w:line="276" w:lineRule="auto"/>
              <w:rPr>
                <w:rFonts w:cs="Arial"/>
                <w:lang w:eastAsia="en-GB"/>
              </w:rPr>
            </w:pPr>
            <w:r w:rsidRPr="001279A6">
              <w:rPr>
                <w:rFonts w:cs="Arial"/>
                <w:lang w:eastAsia="en-GB"/>
              </w:rPr>
              <w:t>Enhanced access</w:t>
            </w:r>
            <w:r w:rsidR="00DE0577">
              <w:rPr>
                <w:rFonts w:cs="Arial"/>
                <w:lang w:eastAsia="en-GB"/>
              </w:rPr>
              <w:t xml:space="preserve"> </w:t>
            </w:r>
            <w:r w:rsidR="000241F0" w:rsidRPr="001279A6">
              <w:rPr>
                <w:rFonts w:cs="Arial"/>
                <w:lang w:eastAsia="en-GB"/>
              </w:rPr>
              <w:t>payment</w:t>
            </w:r>
            <w:r w:rsidRPr="001279A6">
              <w:rPr>
                <w:rFonts w:cs="Arial"/>
                <w:lang w:eastAsia="en-GB"/>
              </w:rPr>
              <w:t xml:space="preserve">. </w:t>
            </w:r>
          </w:p>
        </w:tc>
        <w:tc>
          <w:tcPr>
            <w:tcW w:w="1310" w:type="dxa"/>
            <w:noWrap/>
            <w:vAlign w:val="center"/>
            <w:hideMark/>
          </w:tcPr>
          <w:p w14:paraId="4F225039" w14:textId="77777777" w:rsidR="008F2758" w:rsidRPr="001279A6" w:rsidRDefault="008F2758" w:rsidP="00E36FE2">
            <w:pPr>
              <w:shd w:val="clear" w:color="auto" w:fill="C2F3FF" w:themeFill="accent4" w:themeFillTint="33"/>
              <w:spacing w:after="0" w:line="276" w:lineRule="auto"/>
              <w:jc w:val="center"/>
              <w:rPr>
                <w:rFonts w:cs="Arial"/>
                <w:lang w:eastAsia="en-GB"/>
              </w:rPr>
            </w:pPr>
            <w:r w:rsidRPr="001279A6">
              <w:rPr>
                <w:rFonts w:cs="Arial"/>
                <w:lang w:eastAsia="en-GB"/>
              </w:rPr>
              <w:t>NCDENA</w:t>
            </w:r>
          </w:p>
        </w:tc>
        <w:tc>
          <w:tcPr>
            <w:tcW w:w="3548" w:type="dxa"/>
            <w:vAlign w:val="center"/>
            <w:hideMark/>
          </w:tcPr>
          <w:p w14:paraId="726C7A9D" w14:textId="77777777" w:rsidR="008F2758" w:rsidRPr="001279A6" w:rsidRDefault="008F2758" w:rsidP="00E36FE2">
            <w:pPr>
              <w:shd w:val="clear" w:color="auto" w:fill="C2F3FF" w:themeFill="accent4" w:themeFillTint="33"/>
              <w:spacing w:after="0" w:line="276" w:lineRule="auto"/>
              <w:rPr>
                <w:rFonts w:cs="Arial"/>
                <w:lang w:eastAsia="en-GB"/>
              </w:rPr>
            </w:pPr>
            <w:r w:rsidRPr="001279A6">
              <w:rPr>
                <w:rFonts w:cs="Arial"/>
                <w:lang w:eastAsia="en-GB"/>
              </w:rPr>
              <w:t>NCD Enhanced Access</w:t>
            </w:r>
          </w:p>
        </w:tc>
        <w:tc>
          <w:tcPr>
            <w:tcW w:w="1559" w:type="dxa"/>
            <w:noWrap/>
            <w:vAlign w:val="center"/>
            <w:hideMark/>
          </w:tcPr>
          <w:p w14:paraId="46A8C60E" w14:textId="77777777" w:rsidR="008F2758" w:rsidRPr="001279A6" w:rsidRDefault="008F2758" w:rsidP="00E36FE2">
            <w:pPr>
              <w:shd w:val="clear" w:color="auto" w:fill="C2F3FF" w:themeFill="accent4" w:themeFillTint="33"/>
              <w:spacing w:after="0" w:line="276" w:lineRule="auto"/>
              <w:rPr>
                <w:rFonts w:cs="Arial"/>
                <w:lang w:eastAsia="en-GB"/>
              </w:rPr>
            </w:pPr>
            <w:r w:rsidRPr="001279A6">
              <w:rPr>
                <w:rFonts w:cs="Arial"/>
                <w:lang w:eastAsia="en-GB"/>
              </w:rPr>
              <w:t xml:space="preserve">521610B9 </w:t>
            </w:r>
          </w:p>
        </w:tc>
      </w:tr>
      <w:tr w:rsidR="008F2758" w:rsidRPr="00091CF5" w14:paraId="5D6F5475" w14:textId="77777777" w:rsidTr="0035573B">
        <w:trPr>
          <w:trHeight w:val="312"/>
        </w:trPr>
        <w:tc>
          <w:tcPr>
            <w:tcW w:w="2371" w:type="dxa"/>
            <w:vAlign w:val="center"/>
          </w:tcPr>
          <w:p w14:paraId="77E522A0" w14:textId="77777777" w:rsidR="008F2758" w:rsidRPr="001279A6" w:rsidRDefault="008F2758" w:rsidP="00E36FE2">
            <w:pPr>
              <w:shd w:val="clear" w:color="auto" w:fill="C2F3FF" w:themeFill="accent4" w:themeFillTint="33"/>
              <w:spacing w:after="0" w:line="276" w:lineRule="auto"/>
              <w:rPr>
                <w:rFonts w:cs="Arial"/>
                <w:lang w:eastAsia="en-GB"/>
              </w:rPr>
            </w:pPr>
            <w:r w:rsidRPr="001279A6">
              <w:rPr>
                <w:rFonts w:cs="Arial"/>
                <w:lang w:eastAsia="en-GB"/>
              </w:rPr>
              <w:t>IIF Achievement Payment</w:t>
            </w:r>
          </w:p>
        </w:tc>
        <w:tc>
          <w:tcPr>
            <w:tcW w:w="1310" w:type="dxa"/>
            <w:noWrap/>
            <w:vAlign w:val="center"/>
          </w:tcPr>
          <w:p w14:paraId="2C6E57C7" w14:textId="77777777" w:rsidR="008F2758" w:rsidRPr="001279A6" w:rsidRDefault="008F2758" w:rsidP="00E36FE2">
            <w:pPr>
              <w:shd w:val="clear" w:color="auto" w:fill="C2F3FF" w:themeFill="accent4" w:themeFillTint="33"/>
              <w:spacing w:after="0" w:line="276" w:lineRule="auto"/>
              <w:jc w:val="center"/>
              <w:rPr>
                <w:rFonts w:cs="Arial"/>
                <w:lang w:eastAsia="en-GB"/>
              </w:rPr>
            </w:pPr>
            <w:r w:rsidRPr="001279A6">
              <w:rPr>
                <w:rFonts w:cs="Arial"/>
                <w:lang w:eastAsia="en-GB"/>
              </w:rPr>
              <w:t>NCDACH</w:t>
            </w:r>
          </w:p>
        </w:tc>
        <w:tc>
          <w:tcPr>
            <w:tcW w:w="3548" w:type="dxa"/>
            <w:vAlign w:val="center"/>
          </w:tcPr>
          <w:p w14:paraId="202A2651" w14:textId="77777777" w:rsidR="008F2758" w:rsidRPr="001279A6" w:rsidRDefault="008F2758" w:rsidP="00E36FE2">
            <w:pPr>
              <w:shd w:val="clear" w:color="auto" w:fill="C2F3FF" w:themeFill="accent4" w:themeFillTint="33"/>
              <w:spacing w:after="0" w:line="276" w:lineRule="auto"/>
              <w:rPr>
                <w:rFonts w:cs="Arial"/>
                <w:lang w:eastAsia="en-GB"/>
              </w:rPr>
            </w:pPr>
            <w:r w:rsidRPr="001279A6">
              <w:rPr>
                <w:rFonts w:cs="Arial"/>
                <w:lang w:eastAsia="en-GB"/>
              </w:rPr>
              <w:t xml:space="preserve">NCD IIF achievement </w:t>
            </w:r>
          </w:p>
        </w:tc>
        <w:tc>
          <w:tcPr>
            <w:tcW w:w="1559" w:type="dxa"/>
            <w:noWrap/>
            <w:vAlign w:val="center"/>
          </w:tcPr>
          <w:p w14:paraId="0C0CADAC" w14:textId="77777777" w:rsidR="008F2758" w:rsidRPr="00091CF5" w:rsidRDefault="008F2758" w:rsidP="00E36FE2">
            <w:pPr>
              <w:shd w:val="clear" w:color="auto" w:fill="C2F3FF" w:themeFill="accent4" w:themeFillTint="33"/>
              <w:spacing w:after="0" w:line="276" w:lineRule="auto"/>
              <w:rPr>
                <w:rFonts w:cs="Arial"/>
                <w:lang w:eastAsia="en-GB"/>
              </w:rPr>
            </w:pPr>
            <w:r w:rsidRPr="001279A6">
              <w:rPr>
                <w:rFonts w:cs="Arial"/>
                <w:lang w:eastAsia="en-GB"/>
              </w:rPr>
              <w:t>5216108I</w:t>
            </w:r>
          </w:p>
        </w:tc>
      </w:tr>
    </w:tbl>
    <w:p w14:paraId="1307F675" w14:textId="77777777" w:rsidR="008F2758" w:rsidRPr="00091CF5" w:rsidRDefault="008F2758" w:rsidP="0035573B">
      <w:pPr>
        <w:spacing w:line="276" w:lineRule="auto"/>
        <w:ind w:left="851"/>
      </w:pPr>
    </w:p>
    <w:p w14:paraId="338693D6" w14:textId="77777777" w:rsidR="008F2758" w:rsidRPr="00091CF5" w:rsidRDefault="008F2758" w:rsidP="0035573B">
      <w:pPr>
        <w:spacing w:line="276" w:lineRule="auto"/>
        <w:ind w:left="851"/>
      </w:pPr>
      <w:r w:rsidRPr="00091CF5">
        <w:t>From 1</w:t>
      </w:r>
      <w:r w:rsidRPr="00091CF5">
        <w:rPr>
          <w:vertAlign w:val="superscript"/>
        </w:rPr>
        <w:t>st</w:t>
      </w:r>
      <w:r w:rsidRPr="00091CF5">
        <w:t xml:space="preserve"> November 2022, Network Participation Payments will continue to be paid to GP practices and not to a PCN.</w:t>
      </w:r>
    </w:p>
    <w:tbl>
      <w:tblPr>
        <w:tblW w:w="8797" w:type="dxa"/>
        <w:tblInd w:w="846" w:type="dxa"/>
        <w:tblLook w:val="04A0" w:firstRow="1" w:lastRow="0" w:firstColumn="1" w:lastColumn="0" w:noHBand="0" w:noVBand="1"/>
      </w:tblPr>
      <w:tblGrid>
        <w:gridCol w:w="1689"/>
        <w:gridCol w:w="1275"/>
        <w:gridCol w:w="3415"/>
        <w:gridCol w:w="1417"/>
        <w:gridCol w:w="1001"/>
      </w:tblGrid>
      <w:tr w:rsidR="008F2758" w:rsidRPr="006C6E54" w14:paraId="27D57518" w14:textId="77777777" w:rsidTr="0035573B">
        <w:trPr>
          <w:trHeight w:val="936"/>
        </w:trPr>
        <w:tc>
          <w:tcPr>
            <w:tcW w:w="1689" w:type="dxa"/>
            <w:tcBorders>
              <w:top w:val="single" w:sz="4" w:space="0" w:color="auto"/>
              <w:left w:val="single" w:sz="4" w:space="0" w:color="auto"/>
              <w:bottom w:val="single" w:sz="4" w:space="0" w:color="auto"/>
              <w:right w:val="single" w:sz="4" w:space="0" w:color="auto"/>
            </w:tcBorders>
            <w:vAlign w:val="center"/>
            <w:hideMark/>
          </w:tcPr>
          <w:p w14:paraId="4CE24E76" w14:textId="77777777" w:rsidR="008F2758" w:rsidRPr="006C6E54" w:rsidRDefault="008F2758" w:rsidP="00E36FE2">
            <w:pPr>
              <w:shd w:val="clear" w:color="auto" w:fill="C2F3FF" w:themeFill="accent4" w:themeFillTint="33"/>
              <w:spacing w:after="0" w:line="276" w:lineRule="auto"/>
              <w:rPr>
                <w:rFonts w:cs="Arial"/>
                <w:b/>
                <w:bCs/>
                <w:lang w:eastAsia="en-GB"/>
              </w:rPr>
            </w:pPr>
            <w:r w:rsidRPr="006C6E54">
              <w:rPr>
                <w:rFonts w:cs="Arial"/>
                <w:b/>
                <w:bCs/>
                <w:lang w:eastAsia="en-GB"/>
              </w:rPr>
              <w:t>Payments</w:t>
            </w:r>
          </w:p>
        </w:tc>
        <w:tc>
          <w:tcPr>
            <w:tcW w:w="1275" w:type="dxa"/>
            <w:tcBorders>
              <w:top w:val="single" w:sz="4" w:space="0" w:color="auto"/>
              <w:left w:val="nil"/>
              <w:bottom w:val="single" w:sz="4" w:space="0" w:color="auto"/>
              <w:right w:val="single" w:sz="4" w:space="0" w:color="auto"/>
            </w:tcBorders>
            <w:vAlign w:val="center"/>
            <w:hideMark/>
          </w:tcPr>
          <w:p w14:paraId="20E8D6EA" w14:textId="77777777" w:rsidR="008F2758" w:rsidRPr="006C6E54" w:rsidRDefault="008F2758" w:rsidP="00E36FE2">
            <w:pPr>
              <w:shd w:val="clear" w:color="auto" w:fill="C2F3FF" w:themeFill="accent4" w:themeFillTint="33"/>
              <w:spacing w:after="0" w:line="276" w:lineRule="auto"/>
              <w:rPr>
                <w:rFonts w:cs="Arial"/>
                <w:b/>
                <w:bCs/>
                <w:lang w:eastAsia="en-GB"/>
              </w:rPr>
            </w:pPr>
            <w:proofErr w:type="spellStart"/>
            <w:r w:rsidRPr="006C6E54">
              <w:rPr>
                <w:rFonts w:cs="Arial"/>
                <w:b/>
                <w:bCs/>
                <w:lang w:eastAsia="en-GB"/>
              </w:rPr>
              <w:t>Paycode</w:t>
            </w:r>
            <w:proofErr w:type="spellEnd"/>
            <w:r w:rsidRPr="006C6E54">
              <w:rPr>
                <w:rFonts w:cs="Arial"/>
                <w:b/>
                <w:bCs/>
                <w:lang w:eastAsia="en-GB"/>
              </w:rPr>
              <w:br/>
            </w:r>
          </w:p>
        </w:tc>
        <w:tc>
          <w:tcPr>
            <w:tcW w:w="3415" w:type="dxa"/>
            <w:tcBorders>
              <w:top w:val="single" w:sz="4" w:space="0" w:color="auto"/>
              <w:left w:val="nil"/>
              <w:bottom w:val="single" w:sz="4" w:space="0" w:color="auto"/>
              <w:right w:val="single" w:sz="4" w:space="0" w:color="auto"/>
            </w:tcBorders>
            <w:vAlign w:val="center"/>
            <w:hideMark/>
          </w:tcPr>
          <w:p w14:paraId="1F89A4E1" w14:textId="77777777" w:rsidR="008F2758" w:rsidRPr="006C6E54" w:rsidRDefault="008F2758" w:rsidP="00E36FE2">
            <w:pPr>
              <w:shd w:val="clear" w:color="auto" w:fill="C2F3FF" w:themeFill="accent4" w:themeFillTint="33"/>
              <w:spacing w:after="0" w:line="276" w:lineRule="auto"/>
              <w:rPr>
                <w:rFonts w:cs="Arial"/>
                <w:b/>
                <w:bCs/>
                <w:lang w:eastAsia="en-GB"/>
              </w:rPr>
            </w:pPr>
            <w:proofErr w:type="spellStart"/>
            <w:r w:rsidRPr="006C6E54">
              <w:rPr>
                <w:rFonts w:cs="Arial"/>
                <w:b/>
                <w:bCs/>
                <w:lang w:eastAsia="en-GB"/>
              </w:rPr>
              <w:t>Paycode</w:t>
            </w:r>
            <w:proofErr w:type="spellEnd"/>
            <w:r w:rsidRPr="006C6E54">
              <w:rPr>
                <w:rFonts w:cs="Arial"/>
                <w:b/>
                <w:bCs/>
                <w:lang w:eastAsia="en-GB"/>
              </w:rPr>
              <w:t xml:space="preserve"> description</w:t>
            </w:r>
          </w:p>
        </w:tc>
        <w:tc>
          <w:tcPr>
            <w:tcW w:w="1417" w:type="dxa"/>
            <w:tcBorders>
              <w:top w:val="single" w:sz="4" w:space="0" w:color="auto"/>
              <w:left w:val="nil"/>
              <w:bottom w:val="single" w:sz="4" w:space="0" w:color="auto"/>
              <w:right w:val="single" w:sz="4" w:space="0" w:color="auto"/>
            </w:tcBorders>
            <w:vAlign w:val="center"/>
            <w:hideMark/>
          </w:tcPr>
          <w:p w14:paraId="7E87055B" w14:textId="77777777" w:rsidR="008F2758" w:rsidRPr="006C6E54" w:rsidRDefault="008F2758" w:rsidP="00E36FE2">
            <w:pPr>
              <w:shd w:val="clear" w:color="auto" w:fill="C2F3FF" w:themeFill="accent4" w:themeFillTint="33"/>
              <w:spacing w:after="0" w:line="276" w:lineRule="auto"/>
              <w:rPr>
                <w:rFonts w:cs="Arial"/>
                <w:b/>
                <w:bCs/>
                <w:lang w:eastAsia="en-GB"/>
              </w:rPr>
            </w:pPr>
            <w:r w:rsidRPr="006C6E54">
              <w:rPr>
                <w:rFonts w:cs="Arial"/>
                <w:b/>
                <w:bCs/>
                <w:lang w:eastAsia="en-GB"/>
              </w:rPr>
              <w:t>Subjective Code</w:t>
            </w:r>
          </w:p>
        </w:tc>
        <w:tc>
          <w:tcPr>
            <w:tcW w:w="1001" w:type="dxa"/>
            <w:tcBorders>
              <w:top w:val="single" w:sz="4" w:space="0" w:color="auto"/>
              <w:left w:val="nil"/>
              <w:bottom w:val="single" w:sz="4" w:space="0" w:color="auto"/>
              <w:right w:val="single" w:sz="4" w:space="0" w:color="auto"/>
            </w:tcBorders>
          </w:tcPr>
          <w:p w14:paraId="1CE5680D" w14:textId="77777777" w:rsidR="008F2758" w:rsidRPr="006C6E54" w:rsidRDefault="008F2758" w:rsidP="00E36FE2">
            <w:pPr>
              <w:shd w:val="clear" w:color="auto" w:fill="C2F3FF" w:themeFill="accent4" w:themeFillTint="33"/>
              <w:spacing w:after="0" w:line="276" w:lineRule="auto"/>
              <w:rPr>
                <w:rFonts w:cs="Arial"/>
                <w:b/>
                <w:bCs/>
                <w:lang w:eastAsia="en-GB"/>
              </w:rPr>
            </w:pPr>
            <w:r w:rsidRPr="006C6E54">
              <w:rPr>
                <w:rFonts w:cs="Arial"/>
                <w:b/>
                <w:bCs/>
                <w:sz w:val="22"/>
              </w:rPr>
              <w:t>APMS/ GMS/ PMS</w:t>
            </w:r>
          </w:p>
        </w:tc>
      </w:tr>
      <w:tr w:rsidR="008F2758" w:rsidRPr="006C6E54" w14:paraId="19284970" w14:textId="77777777" w:rsidTr="0035573B">
        <w:trPr>
          <w:trHeight w:val="312"/>
        </w:trPr>
        <w:tc>
          <w:tcPr>
            <w:tcW w:w="1689" w:type="dxa"/>
            <w:vMerge w:val="restart"/>
            <w:tcBorders>
              <w:top w:val="nil"/>
              <w:left w:val="single" w:sz="4" w:space="0" w:color="auto"/>
              <w:bottom w:val="single" w:sz="4" w:space="0" w:color="000000"/>
              <w:right w:val="single" w:sz="4" w:space="0" w:color="auto"/>
            </w:tcBorders>
            <w:vAlign w:val="center"/>
            <w:hideMark/>
          </w:tcPr>
          <w:p w14:paraId="42F9E04D" w14:textId="77777777" w:rsidR="008F2758" w:rsidRPr="006C6E54" w:rsidRDefault="008F2758" w:rsidP="00E36FE2">
            <w:pPr>
              <w:shd w:val="clear" w:color="auto" w:fill="C2F3FF" w:themeFill="accent4" w:themeFillTint="33"/>
              <w:spacing w:after="0" w:line="276" w:lineRule="auto"/>
              <w:rPr>
                <w:rFonts w:cs="Arial"/>
                <w:lang w:eastAsia="en-GB"/>
              </w:rPr>
            </w:pPr>
            <w:r w:rsidRPr="006C6E54">
              <w:rPr>
                <w:rFonts w:cs="Arial"/>
                <w:lang w:eastAsia="en-GB"/>
              </w:rPr>
              <w:t>Network Participation Payment</w:t>
            </w:r>
          </w:p>
        </w:tc>
        <w:tc>
          <w:tcPr>
            <w:tcW w:w="1275" w:type="dxa"/>
            <w:tcBorders>
              <w:top w:val="nil"/>
              <w:left w:val="nil"/>
              <w:bottom w:val="nil"/>
              <w:right w:val="single" w:sz="4" w:space="0" w:color="auto"/>
            </w:tcBorders>
            <w:noWrap/>
            <w:vAlign w:val="center"/>
            <w:hideMark/>
          </w:tcPr>
          <w:p w14:paraId="071EC7DD" w14:textId="77777777" w:rsidR="008F2758" w:rsidRPr="006C6E54" w:rsidRDefault="008F2758" w:rsidP="00E36FE2">
            <w:pPr>
              <w:shd w:val="clear" w:color="auto" w:fill="C2F3FF" w:themeFill="accent4" w:themeFillTint="33"/>
              <w:spacing w:after="0" w:line="276" w:lineRule="auto"/>
              <w:jc w:val="center"/>
              <w:rPr>
                <w:rFonts w:cs="Arial"/>
                <w:lang w:eastAsia="en-GB"/>
              </w:rPr>
            </w:pPr>
            <w:r w:rsidRPr="006C6E54">
              <w:rPr>
                <w:rFonts w:cs="Arial"/>
                <w:lang w:eastAsia="en-GB"/>
              </w:rPr>
              <w:t>DESPRA</w:t>
            </w:r>
          </w:p>
        </w:tc>
        <w:tc>
          <w:tcPr>
            <w:tcW w:w="3415" w:type="dxa"/>
            <w:vMerge w:val="restart"/>
            <w:tcBorders>
              <w:top w:val="single" w:sz="4" w:space="0" w:color="auto"/>
              <w:left w:val="single" w:sz="4" w:space="0" w:color="auto"/>
              <w:bottom w:val="single" w:sz="4" w:space="0" w:color="auto"/>
              <w:right w:val="single" w:sz="4" w:space="0" w:color="auto"/>
            </w:tcBorders>
            <w:noWrap/>
            <w:vAlign w:val="center"/>
            <w:hideMark/>
          </w:tcPr>
          <w:p w14:paraId="42E60D40" w14:textId="77777777" w:rsidR="008F2758" w:rsidRPr="006C6E54" w:rsidRDefault="008F2758" w:rsidP="00E36FE2">
            <w:pPr>
              <w:shd w:val="clear" w:color="auto" w:fill="C2F3FF" w:themeFill="accent4" w:themeFillTint="33"/>
              <w:spacing w:after="0" w:line="276" w:lineRule="auto"/>
              <w:rPr>
                <w:rFonts w:cs="Arial"/>
                <w:lang w:eastAsia="en-GB"/>
              </w:rPr>
            </w:pPr>
            <w:r w:rsidRPr="006C6E54">
              <w:rPr>
                <w:rFonts w:cs="Arial"/>
                <w:lang w:eastAsia="en-GB"/>
              </w:rPr>
              <w:t>DES Participation in the PCN</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E973149" w14:textId="77777777" w:rsidR="008F2758" w:rsidRPr="006C6E54" w:rsidRDefault="008F2758" w:rsidP="00E36FE2">
            <w:pPr>
              <w:shd w:val="clear" w:color="auto" w:fill="C2F3FF" w:themeFill="accent4" w:themeFillTint="33"/>
              <w:spacing w:after="0" w:line="276" w:lineRule="auto"/>
              <w:rPr>
                <w:rFonts w:cs="Arial"/>
                <w:lang w:eastAsia="en-GB"/>
              </w:rPr>
            </w:pPr>
            <w:r w:rsidRPr="006C6E54">
              <w:rPr>
                <w:rFonts w:cs="Arial"/>
                <w:lang w:eastAsia="en-GB"/>
              </w:rPr>
              <w:t>521610XO</w:t>
            </w:r>
          </w:p>
        </w:tc>
        <w:tc>
          <w:tcPr>
            <w:tcW w:w="1001" w:type="dxa"/>
            <w:tcBorders>
              <w:top w:val="single" w:sz="4" w:space="0" w:color="auto"/>
              <w:left w:val="single" w:sz="4" w:space="0" w:color="auto"/>
              <w:bottom w:val="single" w:sz="4" w:space="0" w:color="auto"/>
              <w:right w:val="single" w:sz="4" w:space="0" w:color="auto"/>
            </w:tcBorders>
          </w:tcPr>
          <w:p w14:paraId="594A799C" w14:textId="77777777" w:rsidR="008F2758" w:rsidRPr="006C6E54" w:rsidRDefault="008F2758" w:rsidP="00E36FE2">
            <w:pPr>
              <w:shd w:val="clear" w:color="auto" w:fill="C2F3FF" w:themeFill="accent4" w:themeFillTint="33"/>
              <w:spacing w:after="0" w:line="276" w:lineRule="auto"/>
              <w:jc w:val="center"/>
              <w:rPr>
                <w:rFonts w:cs="Arial"/>
                <w:lang w:eastAsia="en-GB"/>
              </w:rPr>
            </w:pPr>
            <w:r w:rsidRPr="006C6E54">
              <w:rPr>
                <w:rFonts w:cs="Arial"/>
                <w:lang w:eastAsia="en-GB"/>
              </w:rPr>
              <w:t>A</w:t>
            </w:r>
          </w:p>
        </w:tc>
      </w:tr>
      <w:tr w:rsidR="008F2758" w:rsidRPr="006C6E54" w14:paraId="3477B15A" w14:textId="77777777" w:rsidTr="0035573B">
        <w:trPr>
          <w:trHeight w:val="312"/>
        </w:trPr>
        <w:tc>
          <w:tcPr>
            <w:tcW w:w="1689" w:type="dxa"/>
            <w:vMerge/>
            <w:tcBorders>
              <w:top w:val="nil"/>
              <w:left w:val="single" w:sz="4" w:space="0" w:color="auto"/>
              <w:bottom w:val="single" w:sz="4" w:space="0" w:color="000000"/>
              <w:right w:val="single" w:sz="4" w:space="0" w:color="auto"/>
            </w:tcBorders>
            <w:vAlign w:val="center"/>
            <w:hideMark/>
          </w:tcPr>
          <w:p w14:paraId="39961984" w14:textId="77777777" w:rsidR="008F2758" w:rsidRPr="006C6E54" w:rsidRDefault="008F2758" w:rsidP="00E36FE2">
            <w:pPr>
              <w:shd w:val="clear" w:color="auto" w:fill="C2F3FF" w:themeFill="accent4" w:themeFillTint="33"/>
              <w:spacing w:after="0" w:line="276" w:lineRule="auto"/>
              <w:rPr>
                <w:rFonts w:cs="Arial"/>
                <w:lang w:eastAsia="en-GB"/>
              </w:rPr>
            </w:pPr>
          </w:p>
        </w:tc>
        <w:tc>
          <w:tcPr>
            <w:tcW w:w="1275" w:type="dxa"/>
            <w:tcBorders>
              <w:top w:val="nil"/>
              <w:left w:val="nil"/>
              <w:bottom w:val="nil"/>
              <w:right w:val="single" w:sz="4" w:space="0" w:color="auto"/>
            </w:tcBorders>
            <w:noWrap/>
            <w:vAlign w:val="center"/>
            <w:hideMark/>
          </w:tcPr>
          <w:p w14:paraId="4E5DAFE6" w14:textId="77777777" w:rsidR="008F2758" w:rsidRPr="006C6E54" w:rsidRDefault="008F2758" w:rsidP="00E36FE2">
            <w:pPr>
              <w:shd w:val="clear" w:color="auto" w:fill="C2F3FF" w:themeFill="accent4" w:themeFillTint="33"/>
              <w:spacing w:after="0" w:line="276" w:lineRule="auto"/>
              <w:jc w:val="center"/>
              <w:rPr>
                <w:rFonts w:cs="Arial"/>
                <w:lang w:eastAsia="en-GB"/>
              </w:rPr>
            </w:pPr>
            <w:r w:rsidRPr="006C6E54">
              <w:rPr>
                <w:rFonts w:cs="Arial"/>
                <w:lang w:eastAsia="en-GB"/>
              </w:rPr>
              <w:t>DESPRG</w:t>
            </w:r>
          </w:p>
        </w:tc>
        <w:tc>
          <w:tcPr>
            <w:tcW w:w="3415" w:type="dxa"/>
            <w:vMerge/>
            <w:tcBorders>
              <w:top w:val="single" w:sz="4" w:space="0" w:color="auto"/>
              <w:left w:val="single" w:sz="4" w:space="0" w:color="auto"/>
              <w:bottom w:val="single" w:sz="4" w:space="0" w:color="auto"/>
              <w:right w:val="single" w:sz="4" w:space="0" w:color="auto"/>
            </w:tcBorders>
            <w:vAlign w:val="center"/>
            <w:hideMark/>
          </w:tcPr>
          <w:p w14:paraId="7B31E750" w14:textId="77777777" w:rsidR="008F2758" w:rsidRPr="006C6E54" w:rsidRDefault="008F2758" w:rsidP="00E36FE2">
            <w:pPr>
              <w:shd w:val="clear" w:color="auto" w:fill="C2F3FF" w:themeFill="accent4" w:themeFillTint="33"/>
              <w:spacing w:after="0" w:line="276" w:lineRule="auto"/>
              <w:rPr>
                <w:rFonts w:cs="Arial"/>
                <w:lang w:eastAsia="en-GB"/>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83E352" w14:textId="77777777" w:rsidR="008F2758" w:rsidRPr="006C6E54" w:rsidRDefault="008F2758" w:rsidP="00E36FE2">
            <w:pPr>
              <w:shd w:val="clear" w:color="auto" w:fill="C2F3FF" w:themeFill="accent4" w:themeFillTint="33"/>
              <w:spacing w:after="0" w:line="276" w:lineRule="auto"/>
              <w:rPr>
                <w:rFonts w:cs="Arial"/>
                <w:lang w:eastAsia="en-GB"/>
              </w:rPr>
            </w:pPr>
            <w:r w:rsidRPr="006C6E54">
              <w:rPr>
                <w:rFonts w:cs="Arial"/>
                <w:lang w:eastAsia="en-GB"/>
              </w:rPr>
              <w:t>521610XW</w:t>
            </w:r>
          </w:p>
        </w:tc>
        <w:tc>
          <w:tcPr>
            <w:tcW w:w="1001" w:type="dxa"/>
            <w:tcBorders>
              <w:top w:val="single" w:sz="4" w:space="0" w:color="auto"/>
              <w:left w:val="single" w:sz="4" w:space="0" w:color="auto"/>
              <w:bottom w:val="single" w:sz="4" w:space="0" w:color="auto"/>
              <w:right w:val="single" w:sz="4" w:space="0" w:color="auto"/>
            </w:tcBorders>
          </w:tcPr>
          <w:p w14:paraId="12B492FD" w14:textId="77777777" w:rsidR="008F2758" w:rsidRPr="006C6E54" w:rsidRDefault="008F2758" w:rsidP="00E36FE2">
            <w:pPr>
              <w:shd w:val="clear" w:color="auto" w:fill="C2F3FF" w:themeFill="accent4" w:themeFillTint="33"/>
              <w:spacing w:after="0" w:line="276" w:lineRule="auto"/>
              <w:jc w:val="center"/>
              <w:rPr>
                <w:rFonts w:cs="Arial"/>
                <w:lang w:eastAsia="en-GB"/>
              </w:rPr>
            </w:pPr>
            <w:r w:rsidRPr="006C6E54">
              <w:rPr>
                <w:rFonts w:cs="Arial"/>
                <w:lang w:eastAsia="en-GB"/>
              </w:rPr>
              <w:t>G</w:t>
            </w:r>
          </w:p>
        </w:tc>
      </w:tr>
      <w:tr w:rsidR="008F2758" w:rsidRPr="00091CF5" w14:paraId="4498AFE7" w14:textId="77777777" w:rsidTr="0035573B">
        <w:trPr>
          <w:trHeight w:val="324"/>
        </w:trPr>
        <w:tc>
          <w:tcPr>
            <w:tcW w:w="1689" w:type="dxa"/>
            <w:vMerge/>
            <w:tcBorders>
              <w:top w:val="nil"/>
              <w:left w:val="single" w:sz="4" w:space="0" w:color="auto"/>
              <w:bottom w:val="single" w:sz="4" w:space="0" w:color="000000"/>
              <w:right w:val="single" w:sz="4" w:space="0" w:color="auto"/>
            </w:tcBorders>
            <w:vAlign w:val="center"/>
            <w:hideMark/>
          </w:tcPr>
          <w:p w14:paraId="6EDBA16F" w14:textId="77777777" w:rsidR="008F2758" w:rsidRPr="006C6E54" w:rsidRDefault="008F2758" w:rsidP="00E36FE2">
            <w:pPr>
              <w:shd w:val="clear" w:color="auto" w:fill="C2F3FF" w:themeFill="accent4" w:themeFillTint="33"/>
              <w:spacing w:after="0" w:line="276" w:lineRule="auto"/>
              <w:rPr>
                <w:rFonts w:cs="Arial"/>
                <w:lang w:eastAsia="en-GB"/>
              </w:rPr>
            </w:pPr>
          </w:p>
        </w:tc>
        <w:tc>
          <w:tcPr>
            <w:tcW w:w="1275" w:type="dxa"/>
            <w:tcBorders>
              <w:top w:val="nil"/>
              <w:left w:val="nil"/>
              <w:bottom w:val="single" w:sz="4" w:space="0" w:color="auto"/>
              <w:right w:val="single" w:sz="4" w:space="0" w:color="auto"/>
            </w:tcBorders>
            <w:noWrap/>
            <w:vAlign w:val="center"/>
            <w:hideMark/>
          </w:tcPr>
          <w:p w14:paraId="7ACD140F" w14:textId="77777777" w:rsidR="008F2758" w:rsidRPr="006C6E54" w:rsidRDefault="008F2758" w:rsidP="00E36FE2">
            <w:pPr>
              <w:shd w:val="clear" w:color="auto" w:fill="C2F3FF" w:themeFill="accent4" w:themeFillTint="33"/>
              <w:spacing w:after="0" w:line="276" w:lineRule="auto"/>
              <w:jc w:val="center"/>
              <w:rPr>
                <w:rFonts w:cs="Arial"/>
                <w:lang w:eastAsia="en-GB"/>
              </w:rPr>
            </w:pPr>
            <w:r w:rsidRPr="006C6E54">
              <w:rPr>
                <w:rFonts w:cs="Arial"/>
                <w:lang w:eastAsia="en-GB"/>
              </w:rPr>
              <w:t>DESPRP</w:t>
            </w:r>
          </w:p>
        </w:tc>
        <w:tc>
          <w:tcPr>
            <w:tcW w:w="3415" w:type="dxa"/>
            <w:vMerge/>
            <w:tcBorders>
              <w:top w:val="single" w:sz="4" w:space="0" w:color="auto"/>
              <w:left w:val="single" w:sz="4" w:space="0" w:color="auto"/>
              <w:bottom w:val="single" w:sz="4" w:space="0" w:color="auto"/>
              <w:right w:val="single" w:sz="4" w:space="0" w:color="auto"/>
            </w:tcBorders>
            <w:vAlign w:val="center"/>
            <w:hideMark/>
          </w:tcPr>
          <w:p w14:paraId="288783A7" w14:textId="77777777" w:rsidR="008F2758" w:rsidRPr="006C6E54" w:rsidRDefault="008F2758" w:rsidP="00E36FE2">
            <w:pPr>
              <w:shd w:val="clear" w:color="auto" w:fill="C2F3FF" w:themeFill="accent4" w:themeFillTint="33"/>
              <w:spacing w:after="0" w:line="276" w:lineRule="auto"/>
              <w:rPr>
                <w:rFonts w:cs="Arial"/>
                <w:lang w:eastAsia="en-GB"/>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D26F69" w14:textId="77777777" w:rsidR="008F2758" w:rsidRPr="006C6E54" w:rsidRDefault="008F2758" w:rsidP="00E36FE2">
            <w:pPr>
              <w:shd w:val="clear" w:color="auto" w:fill="C2F3FF" w:themeFill="accent4" w:themeFillTint="33"/>
              <w:spacing w:after="0" w:line="276" w:lineRule="auto"/>
              <w:rPr>
                <w:rFonts w:cs="Arial"/>
                <w:lang w:eastAsia="en-GB"/>
              </w:rPr>
            </w:pPr>
            <w:r w:rsidRPr="006C6E54">
              <w:rPr>
                <w:rFonts w:cs="Arial"/>
                <w:lang w:eastAsia="en-GB"/>
              </w:rPr>
              <w:t>521610YD</w:t>
            </w:r>
          </w:p>
        </w:tc>
        <w:tc>
          <w:tcPr>
            <w:tcW w:w="1001" w:type="dxa"/>
            <w:tcBorders>
              <w:top w:val="single" w:sz="4" w:space="0" w:color="auto"/>
              <w:left w:val="single" w:sz="4" w:space="0" w:color="auto"/>
              <w:bottom w:val="single" w:sz="4" w:space="0" w:color="auto"/>
              <w:right w:val="single" w:sz="4" w:space="0" w:color="auto"/>
            </w:tcBorders>
          </w:tcPr>
          <w:p w14:paraId="310915DE" w14:textId="77777777" w:rsidR="008F2758" w:rsidRPr="00091CF5" w:rsidRDefault="008F2758" w:rsidP="00E36FE2">
            <w:pPr>
              <w:shd w:val="clear" w:color="auto" w:fill="C2F3FF" w:themeFill="accent4" w:themeFillTint="33"/>
              <w:spacing w:after="0" w:line="276" w:lineRule="auto"/>
              <w:jc w:val="center"/>
              <w:rPr>
                <w:rFonts w:cs="Arial"/>
                <w:lang w:eastAsia="en-GB"/>
              </w:rPr>
            </w:pPr>
            <w:r w:rsidRPr="006C6E54">
              <w:rPr>
                <w:rFonts w:cs="Arial"/>
                <w:lang w:eastAsia="en-GB"/>
              </w:rPr>
              <w:t>P</w:t>
            </w:r>
          </w:p>
        </w:tc>
      </w:tr>
    </w:tbl>
    <w:p w14:paraId="30A10AFC" w14:textId="77777777" w:rsidR="008F2758" w:rsidRPr="00091CF5" w:rsidRDefault="008F2758" w:rsidP="0035573B">
      <w:pPr>
        <w:spacing w:line="276" w:lineRule="auto"/>
        <w:ind w:left="851"/>
      </w:pPr>
    </w:p>
    <w:p w14:paraId="2D2F25C3" w14:textId="63E96D63" w:rsidR="008F2758" w:rsidRPr="00091CF5" w:rsidRDefault="008F2758" w:rsidP="0035573B">
      <w:pPr>
        <w:spacing w:line="276" w:lineRule="auto"/>
        <w:ind w:left="851"/>
      </w:pPr>
      <w:r w:rsidRPr="00091CF5">
        <w:t>ARRS/Staff Reimbursement Scheme:</w:t>
      </w:r>
    </w:p>
    <w:p w14:paraId="04C876DF" w14:textId="77777777" w:rsidR="008F2758" w:rsidRPr="00091CF5" w:rsidRDefault="008F2758" w:rsidP="0035573B">
      <w:pPr>
        <w:spacing w:line="276" w:lineRule="auto"/>
        <w:ind w:left="851"/>
      </w:pPr>
      <w:r w:rsidRPr="00091CF5">
        <w:t xml:space="preserve">ARRS payments should continue to be paid via the previous method using the current GPP </w:t>
      </w:r>
      <w:proofErr w:type="spellStart"/>
      <w:r w:rsidRPr="00091CF5">
        <w:t>paycodes</w:t>
      </w:r>
      <w:proofErr w:type="spellEnd"/>
      <w:r w:rsidRPr="00091CF5">
        <w:t xml:space="preserve">, with payments made to the lead GP Practice. </w:t>
      </w:r>
    </w:p>
    <w:p w14:paraId="1984F200" w14:textId="1722A28F" w:rsidR="008F2758" w:rsidRPr="00091CF5" w:rsidRDefault="008F2758" w:rsidP="0035573B">
      <w:pPr>
        <w:spacing w:line="276" w:lineRule="auto"/>
        <w:ind w:left="851"/>
      </w:pPr>
      <w:proofErr w:type="spellStart"/>
      <w:r w:rsidRPr="00091CF5">
        <w:t>Paycodes</w:t>
      </w:r>
      <w:proofErr w:type="spellEnd"/>
      <w:r w:rsidRPr="00091CF5">
        <w:t xml:space="preserve"> (instruction via GPP and paid to lead GP Practice):</w:t>
      </w:r>
    </w:p>
    <w:tbl>
      <w:tblPr>
        <w:tblStyle w:val="TableGrid3"/>
        <w:tblW w:w="8647" w:type="dxa"/>
        <w:tblInd w:w="846" w:type="dxa"/>
        <w:tblLayout w:type="fixed"/>
        <w:tblLook w:val="04A0" w:firstRow="1" w:lastRow="0" w:firstColumn="1" w:lastColumn="0" w:noHBand="0" w:noVBand="1"/>
      </w:tblPr>
      <w:tblGrid>
        <w:gridCol w:w="1952"/>
        <w:gridCol w:w="1399"/>
        <w:gridCol w:w="980"/>
        <w:gridCol w:w="2898"/>
        <w:gridCol w:w="1418"/>
      </w:tblGrid>
      <w:tr w:rsidR="008F2758" w:rsidRPr="00972F97" w14:paraId="308D2AD4" w14:textId="77777777" w:rsidTr="0035573B">
        <w:trPr>
          <w:tblHeader/>
        </w:trPr>
        <w:tc>
          <w:tcPr>
            <w:tcW w:w="1952" w:type="dxa"/>
            <w:shd w:val="clear" w:color="auto" w:fill="005EB8" w:themeFill="text2"/>
          </w:tcPr>
          <w:p w14:paraId="1C44AB31" w14:textId="77777777" w:rsidR="008F2758" w:rsidRPr="00972F97" w:rsidRDefault="008F2758" w:rsidP="00E36FE2">
            <w:pPr>
              <w:shd w:val="clear" w:color="auto" w:fill="C2F3FF" w:themeFill="accent4" w:themeFillTint="33"/>
              <w:spacing w:line="276" w:lineRule="auto"/>
              <w:rPr>
                <w:rFonts w:eastAsia="Times New Roman" w:cs="Arial"/>
                <w:b/>
                <w:bCs/>
                <w:sz w:val="22"/>
                <w:szCs w:val="22"/>
              </w:rPr>
            </w:pPr>
            <w:r w:rsidRPr="00972F97">
              <w:rPr>
                <w:rFonts w:eastAsia="Times New Roman" w:cs="Arial"/>
                <w:b/>
                <w:bCs/>
                <w:sz w:val="22"/>
                <w:szCs w:val="22"/>
              </w:rPr>
              <w:t>Payments</w:t>
            </w:r>
          </w:p>
        </w:tc>
        <w:tc>
          <w:tcPr>
            <w:tcW w:w="1399" w:type="dxa"/>
            <w:shd w:val="clear" w:color="auto" w:fill="005EB8" w:themeFill="text2"/>
          </w:tcPr>
          <w:p w14:paraId="11682B54" w14:textId="77777777" w:rsidR="008F2758" w:rsidRPr="00972F97" w:rsidRDefault="008F2758" w:rsidP="00E36FE2">
            <w:pPr>
              <w:shd w:val="clear" w:color="auto" w:fill="C2F3FF" w:themeFill="accent4" w:themeFillTint="33"/>
              <w:spacing w:line="276" w:lineRule="auto"/>
              <w:rPr>
                <w:rFonts w:eastAsia="Times New Roman" w:cs="Arial"/>
                <w:b/>
                <w:bCs/>
                <w:sz w:val="22"/>
                <w:szCs w:val="22"/>
              </w:rPr>
            </w:pPr>
            <w:proofErr w:type="spellStart"/>
            <w:r w:rsidRPr="00972F97">
              <w:rPr>
                <w:rFonts w:eastAsia="Times New Roman" w:cs="Arial"/>
                <w:b/>
                <w:bCs/>
                <w:sz w:val="22"/>
                <w:szCs w:val="22"/>
              </w:rPr>
              <w:t>Paycode</w:t>
            </w:r>
            <w:proofErr w:type="spellEnd"/>
          </w:p>
        </w:tc>
        <w:tc>
          <w:tcPr>
            <w:tcW w:w="980" w:type="dxa"/>
            <w:shd w:val="clear" w:color="auto" w:fill="005EB8" w:themeFill="text2"/>
          </w:tcPr>
          <w:p w14:paraId="6452F5A7" w14:textId="77777777" w:rsidR="008F2758" w:rsidRPr="00972F97" w:rsidRDefault="008F2758" w:rsidP="00E36FE2">
            <w:pPr>
              <w:shd w:val="clear" w:color="auto" w:fill="C2F3FF" w:themeFill="accent4" w:themeFillTint="33"/>
              <w:spacing w:line="276" w:lineRule="auto"/>
              <w:rPr>
                <w:rFonts w:eastAsia="Times New Roman" w:cs="Arial"/>
                <w:b/>
                <w:bCs/>
                <w:sz w:val="22"/>
                <w:szCs w:val="22"/>
              </w:rPr>
            </w:pPr>
            <w:r w:rsidRPr="00972F97">
              <w:rPr>
                <w:rFonts w:eastAsia="Times New Roman" w:cs="Arial"/>
                <w:b/>
                <w:bCs/>
                <w:sz w:val="22"/>
                <w:szCs w:val="22"/>
              </w:rPr>
              <w:t>APMS/ GMS/ PMS</w:t>
            </w:r>
          </w:p>
        </w:tc>
        <w:tc>
          <w:tcPr>
            <w:tcW w:w="2898" w:type="dxa"/>
            <w:shd w:val="clear" w:color="auto" w:fill="005EB8" w:themeFill="text2"/>
          </w:tcPr>
          <w:p w14:paraId="5DA6F416" w14:textId="77777777" w:rsidR="008F2758" w:rsidRPr="00972F97" w:rsidRDefault="008F2758" w:rsidP="00E36FE2">
            <w:pPr>
              <w:shd w:val="clear" w:color="auto" w:fill="C2F3FF" w:themeFill="accent4" w:themeFillTint="33"/>
              <w:spacing w:line="276" w:lineRule="auto"/>
              <w:rPr>
                <w:rFonts w:eastAsia="Times New Roman" w:cs="Arial"/>
                <w:b/>
                <w:bCs/>
                <w:sz w:val="22"/>
                <w:szCs w:val="22"/>
              </w:rPr>
            </w:pPr>
            <w:proofErr w:type="spellStart"/>
            <w:r w:rsidRPr="00972F97">
              <w:rPr>
                <w:rFonts w:eastAsia="Times New Roman" w:cs="Arial"/>
                <w:b/>
                <w:bCs/>
                <w:sz w:val="22"/>
                <w:szCs w:val="22"/>
              </w:rPr>
              <w:t>Paycode</w:t>
            </w:r>
            <w:proofErr w:type="spellEnd"/>
            <w:r w:rsidRPr="00972F97">
              <w:rPr>
                <w:rFonts w:eastAsia="Times New Roman" w:cs="Arial"/>
                <w:b/>
                <w:bCs/>
                <w:sz w:val="22"/>
                <w:szCs w:val="22"/>
              </w:rPr>
              <w:t xml:space="preserve"> Description</w:t>
            </w:r>
          </w:p>
        </w:tc>
        <w:tc>
          <w:tcPr>
            <w:tcW w:w="1418" w:type="dxa"/>
            <w:shd w:val="clear" w:color="auto" w:fill="005EB8" w:themeFill="text2"/>
          </w:tcPr>
          <w:p w14:paraId="68EEE9D3" w14:textId="77777777" w:rsidR="008F2758" w:rsidRPr="00972F97" w:rsidRDefault="008F2758" w:rsidP="00E36FE2">
            <w:pPr>
              <w:shd w:val="clear" w:color="auto" w:fill="C2F3FF" w:themeFill="accent4" w:themeFillTint="33"/>
              <w:spacing w:line="276" w:lineRule="auto"/>
              <w:rPr>
                <w:rFonts w:eastAsia="Times New Roman" w:cs="Arial"/>
                <w:b/>
                <w:bCs/>
                <w:sz w:val="22"/>
                <w:szCs w:val="22"/>
              </w:rPr>
            </w:pPr>
            <w:r w:rsidRPr="00972F97">
              <w:rPr>
                <w:rFonts w:eastAsia="Times New Roman" w:cs="Arial"/>
                <w:b/>
                <w:bCs/>
                <w:sz w:val="22"/>
                <w:szCs w:val="22"/>
              </w:rPr>
              <w:t>Subjective code</w:t>
            </w:r>
          </w:p>
        </w:tc>
      </w:tr>
      <w:tr w:rsidR="008F2758" w:rsidRPr="00972F97" w14:paraId="6074E50B" w14:textId="77777777" w:rsidTr="0035573B">
        <w:tc>
          <w:tcPr>
            <w:tcW w:w="1952" w:type="dxa"/>
            <w:vMerge w:val="restart"/>
          </w:tcPr>
          <w:p w14:paraId="32B0E56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Staff reimbursements </w:t>
            </w:r>
          </w:p>
        </w:tc>
        <w:tc>
          <w:tcPr>
            <w:tcW w:w="1399" w:type="dxa"/>
          </w:tcPr>
          <w:p w14:paraId="475E5B5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CPHARA</w:t>
            </w:r>
          </w:p>
        </w:tc>
        <w:tc>
          <w:tcPr>
            <w:tcW w:w="980" w:type="dxa"/>
          </w:tcPr>
          <w:p w14:paraId="09E3032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64FCD43F"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C&amp;M-APMS PCN DES Clin Pharmacist</w:t>
            </w:r>
          </w:p>
        </w:tc>
        <w:tc>
          <w:tcPr>
            <w:tcW w:w="1418" w:type="dxa"/>
          </w:tcPr>
          <w:p w14:paraId="5267500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521610UD</w:t>
            </w:r>
          </w:p>
        </w:tc>
      </w:tr>
      <w:tr w:rsidR="008F2758" w:rsidRPr="00972F97" w14:paraId="12523E74" w14:textId="77777777" w:rsidTr="0035573B">
        <w:tc>
          <w:tcPr>
            <w:tcW w:w="1952" w:type="dxa"/>
            <w:vMerge/>
          </w:tcPr>
          <w:p w14:paraId="7F83B70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7B1268A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CPHARG</w:t>
            </w:r>
          </w:p>
        </w:tc>
        <w:tc>
          <w:tcPr>
            <w:tcW w:w="980" w:type="dxa"/>
          </w:tcPr>
          <w:p w14:paraId="0C46B7E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1009C08F"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C&amp;M-GMS PCN DES Clin Pharmacist</w:t>
            </w:r>
          </w:p>
        </w:tc>
        <w:tc>
          <w:tcPr>
            <w:tcW w:w="1418" w:type="dxa"/>
          </w:tcPr>
          <w:p w14:paraId="612CE4C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521610UE</w:t>
            </w:r>
          </w:p>
        </w:tc>
      </w:tr>
      <w:tr w:rsidR="008F2758" w:rsidRPr="00972F97" w14:paraId="0CBD0418" w14:textId="77777777" w:rsidTr="0035573B">
        <w:tc>
          <w:tcPr>
            <w:tcW w:w="1952" w:type="dxa"/>
            <w:vMerge/>
          </w:tcPr>
          <w:p w14:paraId="7832A18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496BE3D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CPHARP</w:t>
            </w:r>
          </w:p>
        </w:tc>
        <w:tc>
          <w:tcPr>
            <w:tcW w:w="980" w:type="dxa"/>
          </w:tcPr>
          <w:p w14:paraId="4B110F5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68875593"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C&amp;M-PMS PCN DES Clin Pharmacist</w:t>
            </w:r>
          </w:p>
        </w:tc>
        <w:tc>
          <w:tcPr>
            <w:tcW w:w="1418" w:type="dxa"/>
          </w:tcPr>
          <w:p w14:paraId="2AEACCB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521610UO</w:t>
            </w:r>
          </w:p>
        </w:tc>
      </w:tr>
      <w:tr w:rsidR="008F2758" w:rsidRPr="00972F97" w14:paraId="6ABB8F77" w14:textId="77777777" w:rsidTr="0035573B">
        <w:tc>
          <w:tcPr>
            <w:tcW w:w="1952" w:type="dxa"/>
            <w:vMerge/>
          </w:tcPr>
          <w:p w14:paraId="4A52BE3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6359533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SPRESA</w:t>
            </w:r>
          </w:p>
        </w:tc>
        <w:tc>
          <w:tcPr>
            <w:tcW w:w="980" w:type="dxa"/>
          </w:tcPr>
          <w:p w14:paraId="74D99CF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5B67E74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C&amp;M-APMS PCN DES Soc Prescribing </w:t>
            </w:r>
          </w:p>
        </w:tc>
        <w:tc>
          <w:tcPr>
            <w:tcW w:w="1418" w:type="dxa"/>
          </w:tcPr>
          <w:p w14:paraId="3C21761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521610VD</w:t>
            </w:r>
          </w:p>
        </w:tc>
      </w:tr>
      <w:tr w:rsidR="008F2758" w:rsidRPr="00972F97" w14:paraId="5A5D11EF" w14:textId="77777777" w:rsidTr="0035573B">
        <w:tc>
          <w:tcPr>
            <w:tcW w:w="1952" w:type="dxa"/>
            <w:vMerge/>
          </w:tcPr>
          <w:p w14:paraId="387BBCE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7E0A6FE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SPRESG</w:t>
            </w:r>
          </w:p>
        </w:tc>
        <w:tc>
          <w:tcPr>
            <w:tcW w:w="980" w:type="dxa"/>
          </w:tcPr>
          <w:p w14:paraId="71742BD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10C39E9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C&amp;M-GMS PCN DES Soc Prescribing </w:t>
            </w:r>
          </w:p>
        </w:tc>
        <w:tc>
          <w:tcPr>
            <w:tcW w:w="1418" w:type="dxa"/>
          </w:tcPr>
          <w:p w14:paraId="3BA8EB71"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521610VE</w:t>
            </w:r>
          </w:p>
        </w:tc>
      </w:tr>
      <w:tr w:rsidR="008F2758" w:rsidRPr="00972F97" w14:paraId="3A094042" w14:textId="77777777" w:rsidTr="0035573B">
        <w:tc>
          <w:tcPr>
            <w:tcW w:w="1952" w:type="dxa"/>
            <w:vMerge/>
          </w:tcPr>
          <w:p w14:paraId="3F85ED6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0FF100E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SPRESP</w:t>
            </w:r>
          </w:p>
        </w:tc>
        <w:tc>
          <w:tcPr>
            <w:tcW w:w="980" w:type="dxa"/>
          </w:tcPr>
          <w:p w14:paraId="2BBD57A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19D81CB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C&amp;M-PMS PCN DES Soc Prescribing </w:t>
            </w:r>
          </w:p>
        </w:tc>
        <w:tc>
          <w:tcPr>
            <w:tcW w:w="1418" w:type="dxa"/>
          </w:tcPr>
          <w:p w14:paraId="12D2BF8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521610VI</w:t>
            </w:r>
          </w:p>
        </w:tc>
      </w:tr>
      <w:tr w:rsidR="008F2758" w:rsidRPr="00972F97" w14:paraId="10D5E4B2" w14:textId="77777777" w:rsidTr="0035573B">
        <w:tc>
          <w:tcPr>
            <w:tcW w:w="1952" w:type="dxa"/>
            <w:vMerge/>
          </w:tcPr>
          <w:p w14:paraId="0FF2E4A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743A380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PHYSIA</w:t>
            </w:r>
          </w:p>
        </w:tc>
        <w:tc>
          <w:tcPr>
            <w:tcW w:w="980" w:type="dxa"/>
          </w:tcPr>
          <w:p w14:paraId="788527B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275134A1"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C&amp;M-APMS PCN DES Physiotherapist</w:t>
            </w:r>
          </w:p>
        </w:tc>
        <w:tc>
          <w:tcPr>
            <w:tcW w:w="1418" w:type="dxa"/>
          </w:tcPr>
          <w:p w14:paraId="715CD14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521610VO</w:t>
            </w:r>
          </w:p>
        </w:tc>
      </w:tr>
      <w:tr w:rsidR="008F2758" w:rsidRPr="00972F97" w14:paraId="6F1B6E14" w14:textId="77777777" w:rsidTr="0035573B">
        <w:tc>
          <w:tcPr>
            <w:tcW w:w="1952" w:type="dxa"/>
            <w:vMerge/>
          </w:tcPr>
          <w:p w14:paraId="78B327D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0C0CAFF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PHYSIG</w:t>
            </w:r>
          </w:p>
        </w:tc>
        <w:tc>
          <w:tcPr>
            <w:tcW w:w="980" w:type="dxa"/>
          </w:tcPr>
          <w:p w14:paraId="5DC73B3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3F37BEC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Physiotherapist</w:t>
            </w:r>
          </w:p>
        </w:tc>
        <w:tc>
          <w:tcPr>
            <w:tcW w:w="1418" w:type="dxa"/>
          </w:tcPr>
          <w:p w14:paraId="589F375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521610WD</w:t>
            </w:r>
          </w:p>
        </w:tc>
      </w:tr>
      <w:tr w:rsidR="008F2758" w:rsidRPr="00972F97" w14:paraId="1991C341" w14:textId="77777777" w:rsidTr="0035573B">
        <w:tc>
          <w:tcPr>
            <w:tcW w:w="1952" w:type="dxa"/>
            <w:vMerge/>
          </w:tcPr>
          <w:p w14:paraId="0A5AF52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5E7C4ED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PHYSIP</w:t>
            </w:r>
          </w:p>
        </w:tc>
        <w:tc>
          <w:tcPr>
            <w:tcW w:w="980" w:type="dxa"/>
          </w:tcPr>
          <w:p w14:paraId="61EA186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6CB6F00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C&amp;M-PMS PCN DES </w:t>
            </w:r>
          </w:p>
          <w:p w14:paraId="4122F06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Physiotherapist</w:t>
            </w:r>
          </w:p>
        </w:tc>
        <w:tc>
          <w:tcPr>
            <w:tcW w:w="1418" w:type="dxa"/>
          </w:tcPr>
          <w:p w14:paraId="746D20D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521610WE</w:t>
            </w:r>
          </w:p>
        </w:tc>
      </w:tr>
      <w:tr w:rsidR="008F2758" w:rsidRPr="00972F97" w14:paraId="5BDA6A4A" w14:textId="77777777" w:rsidTr="0035573B">
        <w:tc>
          <w:tcPr>
            <w:tcW w:w="1952" w:type="dxa"/>
            <w:vMerge/>
          </w:tcPr>
          <w:p w14:paraId="07FC64D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78B63A5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PASSOA</w:t>
            </w:r>
          </w:p>
        </w:tc>
        <w:tc>
          <w:tcPr>
            <w:tcW w:w="980" w:type="dxa"/>
          </w:tcPr>
          <w:p w14:paraId="01E9F7F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07D9E9FE"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 xml:space="preserve">C&amp;M-APMS PCN DES </w:t>
            </w:r>
          </w:p>
          <w:p w14:paraId="4DF2580B" w14:textId="0F492051" w:rsidR="008F2758" w:rsidRPr="00BE1C90" w:rsidRDefault="008F2758" w:rsidP="00E36FE2">
            <w:pPr>
              <w:shd w:val="clear" w:color="auto" w:fill="C2F3FF" w:themeFill="accent4" w:themeFillTint="33"/>
              <w:spacing w:line="276" w:lineRule="auto"/>
              <w:rPr>
                <w:lang w:val="fr-FR"/>
              </w:rPr>
            </w:pPr>
            <w:r w:rsidRPr="00784732">
              <w:rPr>
                <w:rFonts w:cs="Arial"/>
                <w:bCs/>
                <w:sz w:val="22"/>
                <w:szCs w:val="22"/>
                <w:lang w:val="fr-FR"/>
              </w:rPr>
              <w:t xml:space="preserve">Physician </w:t>
            </w:r>
            <w:r w:rsidR="009E5080" w:rsidRPr="008C5BD5">
              <w:rPr>
                <w:highlight w:val="yellow"/>
                <w:lang w:val="fr-FR"/>
              </w:rPr>
              <w:t>A</w:t>
            </w:r>
            <w:r w:rsidR="00345972" w:rsidRPr="008C5BD5">
              <w:rPr>
                <w:highlight w:val="yellow"/>
                <w:lang w:val="fr-FR"/>
              </w:rPr>
              <w:t>ss</w:t>
            </w:r>
            <w:r w:rsidR="00226794" w:rsidRPr="008C5BD5">
              <w:rPr>
                <w:highlight w:val="yellow"/>
                <w:lang w:val="fr-FR"/>
              </w:rPr>
              <w:t>istants (aka Physician</w:t>
            </w:r>
            <w:r w:rsidR="00226794">
              <w:rPr>
                <w:lang w:val="fr-FR"/>
              </w:rPr>
              <w:t xml:space="preserve"> Associate</w:t>
            </w:r>
            <w:r w:rsidR="008C5BD5">
              <w:rPr>
                <w:lang w:val="fr-FR"/>
              </w:rPr>
              <w:t>s</w:t>
            </w:r>
            <w:r w:rsidR="008C5BD5" w:rsidRPr="008C5BD5">
              <w:rPr>
                <w:highlight w:val="yellow"/>
                <w:lang w:val="fr-FR"/>
              </w:rPr>
              <w:t>)</w:t>
            </w:r>
          </w:p>
        </w:tc>
        <w:tc>
          <w:tcPr>
            <w:tcW w:w="1418" w:type="dxa"/>
          </w:tcPr>
          <w:p w14:paraId="65287341"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521610WI</w:t>
            </w:r>
          </w:p>
        </w:tc>
      </w:tr>
      <w:tr w:rsidR="008F2758" w:rsidRPr="00972F97" w14:paraId="6683EDE8" w14:textId="77777777" w:rsidTr="0035573B">
        <w:tc>
          <w:tcPr>
            <w:tcW w:w="1952" w:type="dxa"/>
            <w:vMerge/>
          </w:tcPr>
          <w:p w14:paraId="652C8561"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7805B4A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PASSOG</w:t>
            </w:r>
          </w:p>
        </w:tc>
        <w:tc>
          <w:tcPr>
            <w:tcW w:w="980" w:type="dxa"/>
          </w:tcPr>
          <w:p w14:paraId="0DF133E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796103D9" w14:textId="27720704"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 xml:space="preserve">C&amp;M-GMS PCN DES </w:t>
            </w:r>
            <w:r w:rsidR="008C5BD5" w:rsidRPr="00784732">
              <w:rPr>
                <w:rFonts w:cs="Arial"/>
                <w:bCs/>
                <w:sz w:val="22"/>
                <w:szCs w:val="22"/>
                <w:lang w:val="fr-FR"/>
              </w:rPr>
              <w:t xml:space="preserve">Physician </w:t>
            </w:r>
            <w:r w:rsidR="008C5BD5" w:rsidRPr="008C5BD5">
              <w:rPr>
                <w:highlight w:val="yellow"/>
                <w:lang w:val="fr-FR"/>
              </w:rPr>
              <w:t>Assistants (aka Physician</w:t>
            </w:r>
            <w:r w:rsidR="008C5BD5">
              <w:rPr>
                <w:lang w:val="fr-FR"/>
              </w:rPr>
              <w:t xml:space="preserve"> Associates</w:t>
            </w:r>
            <w:r w:rsidR="008C5BD5" w:rsidRPr="008C5BD5">
              <w:rPr>
                <w:highlight w:val="yellow"/>
                <w:lang w:val="fr-FR"/>
              </w:rPr>
              <w:t>)</w:t>
            </w:r>
          </w:p>
        </w:tc>
        <w:tc>
          <w:tcPr>
            <w:tcW w:w="1418" w:type="dxa"/>
          </w:tcPr>
          <w:p w14:paraId="19DDA15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521610WO</w:t>
            </w:r>
          </w:p>
        </w:tc>
      </w:tr>
      <w:tr w:rsidR="008F2758" w:rsidRPr="00972F97" w14:paraId="1C938733" w14:textId="77777777" w:rsidTr="0035573B">
        <w:tc>
          <w:tcPr>
            <w:tcW w:w="1952" w:type="dxa"/>
            <w:vMerge/>
          </w:tcPr>
          <w:p w14:paraId="6E4AD2E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478A61F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PASSOP</w:t>
            </w:r>
          </w:p>
        </w:tc>
        <w:tc>
          <w:tcPr>
            <w:tcW w:w="980" w:type="dxa"/>
          </w:tcPr>
          <w:p w14:paraId="22DCACB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06DB224E" w14:textId="4A7551D2"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 xml:space="preserve">C&amp;M-PMS PCN DES </w:t>
            </w:r>
            <w:r w:rsidR="008C5BD5" w:rsidRPr="00784732">
              <w:rPr>
                <w:rFonts w:cs="Arial"/>
                <w:bCs/>
                <w:sz w:val="22"/>
                <w:szCs w:val="22"/>
                <w:lang w:val="fr-FR"/>
              </w:rPr>
              <w:t xml:space="preserve">Physician </w:t>
            </w:r>
            <w:r w:rsidR="008C5BD5" w:rsidRPr="008C5BD5">
              <w:rPr>
                <w:highlight w:val="yellow"/>
                <w:lang w:val="fr-FR"/>
              </w:rPr>
              <w:t>Assistants (aka Physician</w:t>
            </w:r>
            <w:r w:rsidR="008C5BD5">
              <w:rPr>
                <w:lang w:val="fr-FR"/>
              </w:rPr>
              <w:t xml:space="preserve"> Associates</w:t>
            </w:r>
            <w:r w:rsidR="008C5BD5" w:rsidRPr="008C5BD5">
              <w:rPr>
                <w:highlight w:val="yellow"/>
                <w:lang w:val="fr-FR"/>
              </w:rPr>
              <w:t>)</w:t>
            </w:r>
          </w:p>
        </w:tc>
        <w:tc>
          <w:tcPr>
            <w:tcW w:w="1418" w:type="dxa"/>
          </w:tcPr>
          <w:p w14:paraId="1FBFCFC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521610XA</w:t>
            </w:r>
          </w:p>
        </w:tc>
      </w:tr>
      <w:tr w:rsidR="008F2758" w:rsidRPr="00972F97" w14:paraId="323013B8" w14:textId="77777777" w:rsidTr="0035573B">
        <w:tc>
          <w:tcPr>
            <w:tcW w:w="1952" w:type="dxa"/>
            <w:vMerge/>
          </w:tcPr>
          <w:p w14:paraId="62B66AF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0B31A15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DIETIA</w:t>
            </w:r>
          </w:p>
        </w:tc>
        <w:tc>
          <w:tcPr>
            <w:tcW w:w="980" w:type="dxa"/>
          </w:tcPr>
          <w:p w14:paraId="0A06DE1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4482281D"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C&amp;M-APMS PCN DES Dieticians</w:t>
            </w:r>
          </w:p>
        </w:tc>
        <w:tc>
          <w:tcPr>
            <w:tcW w:w="1418" w:type="dxa"/>
            <w:vMerge w:val="restart"/>
          </w:tcPr>
          <w:p w14:paraId="5049B6A1"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5216108A</w:t>
            </w:r>
          </w:p>
          <w:p w14:paraId="36F00D0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D34E87" w14:paraId="4E31691C" w14:textId="77777777" w:rsidTr="0035573B">
        <w:tc>
          <w:tcPr>
            <w:tcW w:w="1952" w:type="dxa"/>
            <w:vMerge/>
          </w:tcPr>
          <w:p w14:paraId="7971355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071806A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DIETIG</w:t>
            </w:r>
          </w:p>
        </w:tc>
        <w:tc>
          <w:tcPr>
            <w:tcW w:w="980" w:type="dxa"/>
          </w:tcPr>
          <w:p w14:paraId="3FC2EEA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344993C5"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C&amp;M-GMS PCN DES Dieticians</w:t>
            </w:r>
          </w:p>
        </w:tc>
        <w:tc>
          <w:tcPr>
            <w:tcW w:w="1418" w:type="dxa"/>
            <w:vMerge/>
          </w:tcPr>
          <w:p w14:paraId="05B6BB05"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p>
        </w:tc>
      </w:tr>
      <w:tr w:rsidR="008F2758" w:rsidRPr="00D34E87" w14:paraId="03D9DFA1" w14:textId="77777777" w:rsidTr="0035573B">
        <w:tc>
          <w:tcPr>
            <w:tcW w:w="1952" w:type="dxa"/>
            <w:vMerge/>
          </w:tcPr>
          <w:p w14:paraId="589A3D26" w14:textId="77777777" w:rsidR="008F2758" w:rsidRPr="005A2C28" w:rsidRDefault="008F2758" w:rsidP="00E36FE2">
            <w:pPr>
              <w:shd w:val="clear" w:color="auto" w:fill="C2F3FF" w:themeFill="accent4" w:themeFillTint="33"/>
              <w:spacing w:line="276" w:lineRule="auto"/>
              <w:rPr>
                <w:rFonts w:eastAsia="Times New Roman" w:cs="Arial"/>
                <w:bCs/>
                <w:sz w:val="22"/>
                <w:szCs w:val="22"/>
                <w:lang w:val="fr-FR"/>
              </w:rPr>
            </w:pPr>
          </w:p>
        </w:tc>
        <w:tc>
          <w:tcPr>
            <w:tcW w:w="1399" w:type="dxa"/>
          </w:tcPr>
          <w:p w14:paraId="3028BCD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DIETIP</w:t>
            </w:r>
          </w:p>
        </w:tc>
        <w:tc>
          <w:tcPr>
            <w:tcW w:w="980" w:type="dxa"/>
          </w:tcPr>
          <w:p w14:paraId="25E0418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273E4982"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C&amp;M-PMS PCN DES Dieticians</w:t>
            </w:r>
          </w:p>
        </w:tc>
        <w:tc>
          <w:tcPr>
            <w:tcW w:w="1418" w:type="dxa"/>
            <w:vMerge/>
          </w:tcPr>
          <w:p w14:paraId="1B96D0ED"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p>
        </w:tc>
      </w:tr>
      <w:tr w:rsidR="008F2758" w:rsidRPr="00972F97" w14:paraId="528BBDC8" w14:textId="77777777" w:rsidTr="0035573B">
        <w:tc>
          <w:tcPr>
            <w:tcW w:w="1952" w:type="dxa"/>
            <w:vMerge/>
          </w:tcPr>
          <w:p w14:paraId="5864DA8F" w14:textId="77777777" w:rsidR="008F2758" w:rsidRPr="005A2C28" w:rsidRDefault="008F2758" w:rsidP="00E36FE2">
            <w:pPr>
              <w:shd w:val="clear" w:color="auto" w:fill="C2F3FF" w:themeFill="accent4" w:themeFillTint="33"/>
              <w:spacing w:line="276" w:lineRule="auto"/>
              <w:rPr>
                <w:rFonts w:eastAsia="Times New Roman" w:cs="Arial"/>
                <w:bCs/>
                <w:sz w:val="22"/>
                <w:szCs w:val="22"/>
                <w:lang w:val="fr-FR"/>
              </w:rPr>
            </w:pPr>
          </w:p>
        </w:tc>
        <w:tc>
          <w:tcPr>
            <w:tcW w:w="1399" w:type="dxa"/>
          </w:tcPr>
          <w:p w14:paraId="30218D3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PHARTA</w:t>
            </w:r>
          </w:p>
        </w:tc>
        <w:tc>
          <w:tcPr>
            <w:tcW w:w="980" w:type="dxa"/>
          </w:tcPr>
          <w:p w14:paraId="12328A9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37FA7028"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C&amp;M-APMS PCN DES Pharmacy technicians</w:t>
            </w:r>
          </w:p>
        </w:tc>
        <w:tc>
          <w:tcPr>
            <w:tcW w:w="1418" w:type="dxa"/>
            <w:vMerge w:val="restart"/>
          </w:tcPr>
          <w:p w14:paraId="1DAD911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5216108B</w:t>
            </w:r>
          </w:p>
          <w:p w14:paraId="26A2E72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D34E87" w14:paraId="775CD0B7" w14:textId="77777777" w:rsidTr="0035573B">
        <w:tc>
          <w:tcPr>
            <w:tcW w:w="1952" w:type="dxa"/>
            <w:vMerge/>
          </w:tcPr>
          <w:p w14:paraId="55FC74F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5120740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PHARTG</w:t>
            </w:r>
          </w:p>
        </w:tc>
        <w:tc>
          <w:tcPr>
            <w:tcW w:w="980" w:type="dxa"/>
          </w:tcPr>
          <w:p w14:paraId="65114A1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63549B70"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C&amp;M-GMS PCN DES Pharmacy technicians</w:t>
            </w:r>
          </w:p>
        </w:tc>
        <w:tc>
          <w:tcPr>
            <w:tcW w:w="1418" w:type="dxa"/>
            <w:vMerge/>
          </w:tcPr>
          <w:p w14:paraId="3FDC0947"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p>
        </w:tc>
      </w:tr>
      <w:tr w:rsidR="008F2758" w:rsidRPr="00D34E87" w14:paraId="58AE75D7" w14:textId="77777777" w:rsidTr="0035573B">
        <w:tc>
          <w:tcPr>
            <w:tcW w:w="1952" w:type="dxa"/>
            <w:vMerge/>
          </w:tcPr>
          <w:p w14:paraId="3EBFFA36" w14:textId="77777777" w:rsidR="008F2758" w:rsidRPr="005A2C28" w:rsidRDefault="008F2758" w:rsidP="00E36FE2">
            <w:pPr>
              <w:shd w:val="clear" w:color="auto" w:fill="C2F3FF" w:themeFill="accent4" w:themeFillTint="33"/>
              <w:spacing w:line="276" w:lineRule="auto"/>
              <w:rPr>
                <w:rFonts w:eastAsia="Times New Roman" w:cs="Arial"/>
                <w:bCs/>
                <w:sz w:val="22"/>
                <w:szCs w:val="22"/>
                <w:lang w:val="fr-FR"/>
              </w:rPr>
            </w:pPr>
          </w:p>
        </w:tc>
        <w:tc>
          <w:tcPr>
            <w:tcW w:w="1399" w:type="dxa"/>
          </w:tcPr>
          <w:p w14:paraId="65EEBBA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PHARTP</w:t>
            </w:r>
          </w:p>
        </w:tc>
        <w:tc>
          <w:tcPr>
            <w:tcW w:w="980" w:type="dxa"/>
          </w:tcPr>
          <w:p w14:paraId="12A23EA1"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7549601B"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C&amp;M-PMS PCN DES Pharmacy technicians</w:t>
            </w:r>
          </w:p>
        </w:tc>
        <w:tc>
          <w:tcPr>
            <w:tcW w:w="1418" w:type="dxa"/>
            <w:vMerge/>
          </w:tcPr>
          <w:p w14:paraId="1AF8DFCD"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p>
        </w:tc>
      </w:tr>
      <w:tr w:rsidR="008F2758" w:rsidRPr="00972F97" w14:paraId="529E6944" w14:textId="77777777" w:rsidTr="0035573B">
        <w:tc>
          <w:tcPr>
            <w:tcW w:w="1952" w:type="dxa"/>
            <w:vMerge/>
          </w:tcPr>
          <w:p w14:paraId="37EBA60D" w14:textId="77777777" w:rsidR="008F2758" w:rsidRPr="005A2C28" w:rsidRDefault="008F2758" w:rsidP="00E36FE2">
            <w:pPr>
              <w:shd w:val="clear" w:color="auto" w:fill="C2F3FF" w:themeFill="accent4" w:themeFillTint="33"/>
              <w:spacing w:line="276" w:lineRule="auto"/>
              <w:rPr>
                <w:rFonts w:eastAsia="Times New Roman" w:cs="Arial"/>
                <w:bCs/>
                <w:sz w:val="22"/>
                <w:szCs w:val="22"/>
                <w:lang w:val="fr-FR"/>
              </w:rPr>
            </w:pPr>
          </w:p>
        </w:tc>
        <w:tc>
          <w:tcPr>
            <w:tcW w:w="1399" w:type="dxa"/>
          </w:tcPr>
          <w:p w14:paraId="664E1E9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PODIAA</w:t>
            </w:r>
          </w:p>
        </w:tc>
        <w:tc>
          <w:tcPr>
            <w:tcW w:w="980" w:type="dxa"/>
          </w:tcPr>
          <w:p w14:paraId="5DF9110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370E0E08" w14:textId="77777777" w:rsidR="008F2758" w:rsidRPr="00D8158D" w:rsidRDefault="008F2758" w:rsidP="00E36FE2">
            <w:pPr>
              <w:shd w:val="clear" w:color="auto" w:fill="C2F3FF" w:themeFill="accent4" w:themeFillTint="33"/>
              <w:spacing w:line="276" w:lineRule="auto"/>
              <w:rPr>
                <w:rFonts w:eastAsia="Times New Roman" w:cs="Arial"/>
                <w:bCs/>
                <w:sz w:val="22"/>
                <w:szCs w:val="22"/>
                <w:lang w:val="pt-BR"/>
              </w:rPr>
            </w:pPr>
            <w:r w:rsidRPr="00D8158D">
              <w:rPr>
                <w:rFonts w:eastAsia="Times New Roman" w:cs="Arial"/>
                <w:bCs/>
                <w:sz w:val="22"/>
                <w:szCs w:val="22"/>
                <w:lang w:val="pt-BR"/>
              </w:rPr>
              <w:t>C&amp;M-APMS PCN DES Podiatrist</w:t>
            </w:r>
          </w:p>
        </w:tc>
        <w:tc>
          <w:tcPr>
            <w:tcW w:w="1418" w:type="dxa"/>
            <w:vMerge w:val="restart"/>
          </w:tcPr>
          <w:p w14:paraId="313D2B5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5216108C</w:t>
            </w:r>
          </w:p>
          <w:p w14:paraId="12B55C3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D8158D" w14:paraId="21F1014C" w14:textId="77777777" w:rsidTr="0035573B">
        <w:tc>
          <w:tcPr>
            <w:tcW w:w="1952" w:type="dxa"/>
            <w:vMerge/>
          </w:tcPr>
          <w:p w14:paraId="223928A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05D9451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PODIAG</w:t>
            </w:r>
          </w:p>
        </w:tc>
        <w:tc>
          <w:tcPr>
            <w:tcW w:w="980" w:type="dxa"/>
          </w:tcPr>
          <w:p w14:paraId="7B3B7211"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3293EEA9" w14:textId="77777777" w:rsidR="008F2758" w:rsidRPr="00D8158D" w:rsidRDefault="008F2758" w:rsidP="00E36FE2">
            <w:pPr>
              <w:shd w:val="clear" w:color="auto" w:fill="C2F3FF" w:themeFill="accent4" w:themeFillTint="33"/>
              <w:spacing w:line="276" w:lineRule="auto"/>
              <w:rPr>
                <w:rFonts w:eastAsia="Times New Roman" w:cs="Arial"/>
                <w:bCs/>
                <w:sz w:val="22"/>
                <w:szCs w:val="22"/>
                <w:lang w:val="pt-BR"/>
              </w:rPr>
            </w:pPr>
            <w:r w:rsidRPr="00D8158D">
              <w:rPr>
                <w:rFonts w:eastAsia="Times New Roman" w:cs="Arial"/>
                <w:bCs/>
                <w:sz w:val="22"/>
                <w:szCs w:val="22"/>
                <w:lang w:val="pt-BR"/>
              </w:rPr>
              <w:t>C&amp;M-GMS PCN DES Podiatrist</w:t>
            </w:r>
          </w:p>
        </w:tc>
        <w:tc>
          <w:tcPr>
            <w:tcW w:w="1418" w:type="dxa"/>
            <w:vMerge/>
          </w:tcPr>
          <w:p w14:paraId="7037A63A" w14:textId="77777777" w:rsidR="008F2758" w:rsidRPr="00D8158D" w:rsidRDefault="008F2758" w:rsidP="00E36FE2">
            <w:pPr>
              <w:shd w:val="clear" w:color="auto" w:fill="C2F3FF" w:themeFill="accent4" w:themeFillTint="33"/>
              <w:spacing w:line="276" w:lineRule="auto"/>
              <w:rPr>
                <w:rFonts w:eastAsia="Times New Roman" w:cs="Arial"/>
                <w:bCs/>
                <w:sz w:val="22"/>
                <w:szCs w:val="22"/>
                <w:lang w:val="pt-BR"/>
              </w:rPr>
            </w:pPr>
          </w:p>
        </w:tc>
      </w:tr>
      <w:tr w:rsidR="008F2758" w:rsidRPr="00D8158D" w14:paraId="3F1FA011" w14:textId="77777777" w:rsidTr="0035573B">
        <w:tc>
          <w:tcPr>
            <w:tcW w:w="1952" w:type="dxa"/>
            <w:vMerge/>
          </w:tcPr>
          <w:p w14:paraId="35CB8EC3" w14:textId="77777777" w:rsidR="008F2758" w:rsidRPr="00D8158D" w:rsidRDefault="008F2758" w:rsidP="00E36FE2">
            <w:pPr>
              <w:shd w:val="clear" w:color="auto" w:fill="C2F3FF" w:themeFill="accent4" w:themeFillTint="33"/>
              <w:spacing w:line="276" w:lineRule="auto"/>
              <w:rPr>
                <w:rFonts w:eastAsia="Times New Roman" w:cs="Arial"/>
                <w:bCs/>
                <w:sz w:val="22"/>
                <w:szCs w:val="22"/>
                <w:lang w:val="pt-BR"/>
              </w:rPr>
            </w:pPr>
          </w:p>
        </w:tc>
        <w:tc>
          <w:tcPr>
            <w:tcW w:w="1399" w:type="dxa"/>
          </w:tcPr>
          <w:p w14:paraId="5D30939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PODIAP</w:t>
            </w:r>
          </w:p>
        </w:tc>
        <w:tc>
          <w:tcPr>
            <w:tcW w:w="980" w:type="dxa"/>
          </w:tcPr>
          <w:p w14:paraId="2B9C313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22193838" w14:textId="77777777" w:rsidR="008F2758" w:rsidRPr="00D8158D" w:rsidRDefault="008F2758" w:rsidP="00E36FE2">
            <w:pPr>
              <w:shd w:val="clear" w:color="auto" w:fill="C2F3FF" w:themeFill="accent4" w:themeFillTint="33"/>
              <w:spacing w:line="276" w:lineRule="auto"/>
              <w:rPr>
                <w:rFonts w:eastAsia="Times New Roman" w:cs="Arial"/>
                <w:bCs/>
                <w:sz w:val="22"/>
                <w:szCs w:val="22"/>
                <w:lang w:val="pt-BR"/>
              </w:rPr>
            </w:pPr>
            <w:r w:rsidRPr="00D8158D">
              <w:rPr>
                <w:rFonts w:eastAsia="Times New Roman" w:cs="Arial"/>
                <w:bCs/>
                <w:sz w:val="22"/>
                <w:szCs w:val="22"/>
                <w:lang w:val="pt-BR"/>
              </w:rPr>
              <w:t>C&amp;M-PMS PCN DES Podiatrist</w:t>
            </w:r>
          </w:p>
        </w:tc>
        <w:tc>
          <w:tcPr>
            <w:tcW w:w="1418" w:type="dxa"/>
            <w:vMerge/>
          </w:tcPr>
          <w:p w14:paraId="3C8E6E06" w14:textId="77777777" w:rsidR="008F2758" w:rsidRPr="00D8158D" w:rsidRDefault="008F2758" w:rsidP="00E36FE2">
            <w:pPr>
              <w:shd w:val="clear" w:color="auto" w:fill="C2F3FF" w:themeFill="accent4" w:themeFillTint="33"/>
              <w:spacing w:line="276" w:lineRule="auto"/>
              <w:rPr>
                <w:rFonts w:eastAsia="Times New Roman" w:cs="Arial"/>
                <w:bCs/>
                <w:sz w:val="22"/>
                <w:szCs w:val="22"/>
                <w:lang w:val="pt-BR"/>
              </w:rPr>
            </w:pPr>
          </w:p>
        </w:tc>
      </w:tr>
      <w:tr w:rsidR="008F2758" w:rsidRPr="00972F97" w14:paraId="3A910C8D" w14:textId="77777777" w:rsidTr="0035573B">
        <w:tc>
          <w:tcPr>
            <w:tcW w:w="1952" w:type="dxa"/>
            <w:vMerge/>
          </w:tcPr>
          <w:p w14:paraId="3B4C7562" w14:textId="77777777" w:rsidR="008F2758" w:rsidRPr="00D8158D" w:rsidRDefault="008F2758" w:rsidP="00E36FE2">
            <w:pPr>
              <w:shd w:val="clear" w:color="auto" w:fill="C2F3FF" w:themeFill="accent4" w:themeFillTint="33"/>
              <w:spacing w:line="276" w:lineRule="auto"/>
              <w:rPr>
                <w:rFonts w:eastAsia="Times New Roman" w:cs="Arial"/>
                <w:bCs/>
                <w:sz w:val="22"/>
                <w:szCs w:val="22"/>
                <w:lang w:val="pt-BR"/>
              </w:rPr>
            </w:pPr>
          </w:p>
        </w:tc>
        <w:tc>
          <w:tcPr>
            <w:tcW w:w="1399" w:type="dxa"/>
          </w:tcPr>
          <w:p w14:paraId="7F3FF5D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OCCTHA</w:t>
            </w:r>
          </w:p>
        </w:tc>
        <w:tc>
          <w:tcPr>
            <w:tcW w:w="980" w:type="dxa"/>
          </w:tcPr>
          <w:p w14:paraId="53C6E64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107D6CB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C&amp;M-APMS PCN DES Occupational Therapists</w:t>
            </w:r>
          </w:p>
        </w:tc>
        <w:tc>
          <w:tcPr>
            <w:tcW w:w="1418" w:type="dxa"/>
            <w:vMerge w:val="restart"/>
          </w:tcPr>
          <w:p w14:paraId="36C16FE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5216108D</w:t>
            </w:r>
          </w:p>
          <w:p w14:paraId="35EF5B5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4E465AE9" w14:textId="77777777" w:rsidTr="0035573B">
        <w:tc>
          <w:tcPr>
            <w:tcW w:w="1952" w:type="dxa"/>
            <w:vMerge/>
          </w:tcPr>
          <w:p w14:paraId="699B4A2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057968B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OCCTHG</w:t>
            </w:r>
          </w:p>
        </w:tc>
        <w:tc>
          <w:tcPr>
            <w:tcW w:w="980" w:type="dxa"/>
          </w:tcPr>
          <w:p w14:paraId="1DB3933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0D248C0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Occupational Therapists</w:t>
            </w:r>
          </w:p>
        </w:tc>
        <w:tc>
          <w:tcPr>
            <w:tcW w:w="1418" w:type="dxa"/>
            <w:vMerge/>
          </w:tcPr>
          <w:p w14:paraId="4E1D1F4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1935F62C" w14:textId="77777777" w:rsidTr="0035573B">
        <w:tc>
          <w:tcPr>
            <w:tcW w:w="1952" w:type="dxa"/>
            <w:vMerge/>
          </w:tcPr>
          <w:p w14:paraId="7C1A6E3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1D0412F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OCCTHP</w:t>
            </w:r>
          </w:p>
        </w:tc>
        <w:tc>
          <w:tcPr>
            <w:tcW w:w="980" w:type="dxa"/>
          </w:tcPr>
          <w:p w14:paraId="4057A04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7CABF5B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Occupational Therapists</w:t>
            </w:r>
          </w:p>
        </w:tc>
        <w:tc>
          <w:tcPr>
            <w:tcW w:w="1418" w:type="dxa"/>
            <w:vMerge/>
          </w:tcPr>
          <w:p w14:paraId="6BFE635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6E13AE8D" w14:textId="77777777" w:rsidTr="0035573B">
        <w:tc>
          <w:tcPr>
            <w:tcW w:w="1952" w:type="dxa"/>
            <w:vMerge/>
          </w:tcPr>
          <w:p w14:paraId="4631A94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7A3925C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HWELLA</w:t>
            </w:r>
          </w:p>
        </w:tc>
        <w:tc>
          <w:tcPr>
            <w:tcW w:w="980" w:type="dxa"/>
          </w:tcPr>
          <w:p w14:paraId="7D6BE4B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2F331A9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C&amp;M-APMS PCN DES Health and Wellbeing Coach</w:t>
            </w:r>
          </w:p>
        </w:tc>
        <w:tc>
          <w:tcPr>
            <w:tcW w:w="1418" w:type="dxa"/>
            <w:vMerge w:val="restart"/>
          </w:tcPr>
          <w:p w14:paraId="568F533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5216108E</w:t>
            </w:r>
          </w:p>
          <w:p w14:paraId="5379433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3EF86E6B" w14:textId="77777777" w:rsidTr="0035573B">
        <w:tc>
          <w:tcPr>
            <w:tcW w:w="1952" w:type="dxa"/>
            <w:vMerge/>
          </w:tcPr>
          <w:p w14:paraId="041C4BD1"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4C953651"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HWELLG</w:t>
            </w:r>
          </w:p>
        </w:tc>
        <w:tc>
          <w:tcPr>
            <w:tcW w:w="980" w:type="dxa"/>
          </w:tcPr>
          <w:p w14:paraId="13518D6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3AAA894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Health and Wellbeing Coach</w:t>
            </w:r>
          </w:p>
        </w:tc>
        <w:tc>
          <w:tcPr>
            <w:tcW w:w="1418" w:type="dxa"/>
            <w:vMerge/>
          </w:tcPr>
          <w:p w14:paraId="3B62237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6A3CC0ED" w14:textId="77777777" w:rsidTr="0035573B">
        <w:tc>
          <w:tcPr>
            <w:tcW w:w="1952" w:type="dxa"/>
            <w:vMerge/>
          </w:tcPr>
          <w:p w14:paraId="5BB0C9F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2840494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HWELLP</w:t>
            </w:r>
          </w:p>
        </w:tc>
        <w:tc>
          <w:tcPr>
            <w:tcW w:w="980" w:type="dxa"/>
          </w:tcPr>
          <w:p w14:paraId="4547955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6637EF3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Health and Wellbeing Coach</w:t>
            </w:r>
          </w:p>
        </w:tc>
        <w:tc>
          <w:tcPr>
            <w:tcW w:w="1418" w:type="dxa"/>
            <w:vMerge/>
          </w:tcPr>
          <w:p w14:paraId="0AE0B99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047E4B37" w14:textId="77777777" w:rsidTr="0035573B">
        <w:tc>
          <w:tcPr>
            <w:tcW w:w="1952" w:type="dxa"/>
            <w:vMerge/>
          </w:tcPr>
          <w:p w14:paraId="37C2339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30420C7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CARECA</w:t>
            </w:r>
          </w:p>
        </w:tc>
        <w:tc>
          <w:tcPr>
            <w:tcW w:w="980" w:type="dxa"/>
          </w:tcPr>
          <w:p w14:paraId="70E5C8B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3A51DBE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C&amp;M-APMS PCN DES Care Coordinator</w:t>
            </w:r>
          </w:p>
        </w:tc>
        <w:tc>
          <w:tcPr>
            <w:tcW w:w="1418" w:type="dxa"/>
            <w:vMerge w:val="restart"/>
          </w:tcPr>
          <w:p w14:paraId="716D715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5216108F</w:t>
            </w:r>
          </w:p>
          <w:p w14:paraId="0EA2540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31191BC4" w14:textId="77777777" w:rsidTr="0035573B">
        <w:tc>
          <w:tcPr>
            <w:tcW w:w="1952" w:type="dxa"/>
            <w:vMerge/>
          </w:tcPr>
          <w:p w14:paraId="7C18391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48525B4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CARECG</w:t>
            </w:r>
          </w:p>
        </w:tc>
        <w:tc>
          <w:tcPr>
            <w:tcW w:w="980" w:type="dxa"/>
          </w:tcPr>
          <w:p w14:paraId="1A858B3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103B7D1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Care Coordinator</w:t>
            </w:r>
          </w:p>
        </w:tc>
        <w:tc>
          <w:tcPr>
            <w:tcW w:w="1418" w:type="dxa"/>
            <w:vMerge/>
          </w:tcPr>
          <w:p w14:paraId="553A1A8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508FB11D" w14:textId="77777777" w:rsidTr="0035573B">
        <w:tc>
          <w:tcPr>
            <w:tcW w:w="1952" w:type="dxa"/>
            <w:vMerge/>
          </w:tcPr>
          <w:p w14:paraId="2B4AFCC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c>
          <w:tcPr>
            <w:tcW w:w="1399" w:type="dxa"/>
          </w:tcPr>
          <w:p w14:paraId="76D1331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CARECP</w:t>
            </w:r>
          </w:p>
        </w:tc>
        <w:tc>
          <w:tcPr>
            <w:tcW w:w="980" w:type="dxa"/>
          </w:tcPr>
          <w:p w14:paraId="52A0F0E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0346FD7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Care Coordinator</w:t>
            </w:r>
          </w:p>
        </w:tc>
        <w:tc>
          <w:tcPr>
            <w:tcW w:w="1418" w:type="dxa"/>
            <w:vMerge/>
          </w:tcPr>
          <w:p w14:paraId="5576FB3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1D3D1A6E" w14:textId="77777777" w:rsidTr="0035573B">
        <w:tc>
          <w:tcPr>
            <w:tcW w:w="1952" w:type="dxa"/>
            <w:vMerge/>
          </w:tcPr>
          <w:p w14:paraId="338A915C"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65F7388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HOMRRA</w:t>
            </w:r>
          </w:p>
        </w:tc>
        <w:tc>
          <w:tcPr>
            <w:tcW w:w="980" w:type="dxa"/>
          </w:tcPr>
          <w:p w14:paraId="583FB50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1F0FE92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C&amp;M-APMS PCN DES Home/RR paramedic </w:t>
            </w:r>
          </w:p>
        </w:tc>
        <w:tc>
          <w:tcPr>
            <w:tcW w:w="1418" w:type="dxa"/>
          </w:tcPr>
          <w:p w14:paraId="406FD4A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521610XD</w:t>
            </w:r>
          </w:p>
        </w:tc>
      </w:tr>
      <w:tr w:rsidR="008F2758" w:rsidRPr="00972F97" w14:paraId="727B581C" w14:textId="77777777" w:rsidTr="0035573B">
        <w:tc>
          <w:tcPr>
            <w:tcW w:w="1952" w:type="dxa"/>
            <w:vMerge/>
          </w:tcPr>
          <w:p w14:paraId="4C2B9DB1"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404D5DD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HOMRRG</w:t>
            </w:r>
          </w:p>
        </w:tc>
        <w:tc>
          <w:tcPr>
            <w:tcW w:w="980" w:type="dxa"/>
          </w:tcPr>
          <w:p w14:paraId="73154F4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138F38A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C&amp;M-GMS PCN DES Home/RR paramedic </w:t>
            </w:r>
          </w:p>
        </w:tc>
        <w:tc>
          <w:tcPr>
            <w:tcW w:w="1418" w:type="dxa"/>
          </w:tcPr>
          <w:p w14:paraId="787D1AD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521610XE</w:t>
            </w:r>
          </w:p>
        </w:tc>
      </w:tr>
      <w:tr w:rsidR="008F2758" w:rsidRPr="00972F97" w14:paraId="0E109BBB" w14:textId="77777777" w:rsidTr="0035573B">
        <w:tc>
          <w:tcPr>
            <w:tcW w:w="1952" w:type="dxa"/>
            <w:vMerge/>
          </w:tcPr>
          <w:p w14:paraId="00F01865"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15E495A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HOMRRP</w:t>
            </w:r>
          </w:p>
        </w:tc>
        <w:tc>
          <w:tcPr>
            <w:tcW w:w="980" w:type="dxa"/>
          </w:tcPr>
          <w:p w14:paraId="7D4E4C5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3FD4543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C&amp;M-PMS PCN DES Home/RR paramedic </w:t>
            </w:r>
          </w:p>
        </w:tc>
        <w:tc>
          <w:tcPr>
            <w:tcW w:w="1418" w:type="dxa"/>
          </w:tcPr>
          <w:p w14:paraId="4FAF2AF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521610XI</w:t>
            </w:r>
          </w:p>
        </w:tc>
      </w:tr>
      <w:tr w:rsidR="008F2758" w:rsidRPr="00972F97" w14:paraId="7B7FC732" w14:textId="77777777" w:rsidTr="0035573B">
        <w:tc>
          <w:tcPr>
            <w:tcW w:w="1952" w:type="dxa"/>
            <w:vMerge/>
          </w:tcPr>
          <w:p w14:paraId="2E32FF6B"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757D855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NURSAA</w:t>
            </w:r>
          </w:p>
        </w:tc>
        <w:tc>
          <w:tcPr>
            <w:tcW w:w="980" w:type="dxa"/>
          </w:tcPr>
          <w:p w14:paraId="6B71096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6A83D56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C&amp;M-APMS PCN DES Nursing Associate</w:t>
            </w:r>
          </w:p>
        </w:tc>
        <w:tc>
          <w:tcPr>
            <w:tcW w:w="1418" w:type="dxa"/>
            <w:vMerge w:val="restart"/>
          </w:tcPr>
          <w:p w14:paraId="5E9E571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5216108L</w:t>
            </w:r>
          </w:p>
        </w:tc>
      </w:tr>
      <w:tr w:rsidR="008F2758" w:rsidRPr="00D34E87" w14:paraId="5A73E1D2" w14:textId="77777777" w:rsidTr="0035573B">
        <w:tc>
          <w:tcPr>
            <w:tcW w:w="1952" w:type="dxa"/>
            <w:vMerge/>
          </w:tcPr>
          <w:p w14:paraId="7009D20E"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43CC5DE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NURSAG</w:t>
            </w:r>
          </w:p>
        </w:tc>
        <w:tc>
          <w:tcPr>
            <w:tcW w:w="980" w:type="dxa"/>
          </w:tcPr>
          <w:p w14:paraId="123AE8F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79073BB7"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r w:rsidRPr="00784732">
              <w:rPr>
                <w:rFonts w:cs="Arial"/>
                <w:bCs/>
                <w:sz w:val="22"/>
                <w:szCs w:val="22"/>
                <w:lang w:val="fr-FR"/>
              </w:rPr>
              <w:t>C&amp;M-GMS PCN DES Nursing Associate</w:t>
            </w:r>
          </w:p>
        </w:tc>
        <w:tc>
          <w:tcPr>
            <w:tcW w:w="1418" w:type="dxa"/>
            <w:vMerge/>
          </w:tcPr>
          <w:p w14:paraId="258AD757" w14:textId="77777777" w:rsidR="008F2758" w:rsidRPr="00784732" w:rsidRDefault="008F2758" w:rsidP="00E36FE2">
            <w:pPr>
              <w:shd w:val="clear" w:color="auto" w:fill="C2F3FF" w:themeFill="accent4" w:themeFillTint="33"/>
              <w:spacing w:line="276" w:lineRule="auto"/>
              <w:rPr>
                <w:rFonts w:eastAsia="Times New Roman" w:cs="Arial"/>
                <w:bCs/>
                <w:sz w:val="22"/>
                <w:szCs w:val="22"/>
                <w:lang w:val="fr-FR"/>
              </w:rPr>
            </w:pPr>
          </w:p>
        </w:tc>
      </w:tr>
      <w:tr w:rsidR="008F2758" w:rsidRPr="00972F97" w14:paraId="23993EC0" w14:textId="77777777" w:rsidTr="0035573B">
        <w:tc>
          <w:tcPr>
            <w:tcW w:w="1952" w:type="dxa"/>
            <w:vMerge/>
          </w:tcPr>
          <w:p w14:paraId="2AAB1E7D" w14:textId="77777777" w:rsidR="008F2758" w:rsidRPr="005A2C28" w:rsidRDefault="008F2758" w:rsidP="00E36FE2">
            <w:pPr>
              <w:shd w:val="clear" w:color="auto" w:fill="C2F3FF" w:themeFill="accent4" w:themeFillTint="33"/>
              <w:spacing w:line="276" w:lineRule="auto"/>
              <w:rPr>
                <w:rFonts w:eastAsia="Times New Roman" w:cs="Arial"/>
                <w:bCs/>
                <w:sz w:val="22"/>
                <w:lang w:val="fr-FR"/>
              </w:rPr>
            </w:pPr>
          </w:p>
        </w:tc>
        <w:tc>
          <w:tcPr>
            <w:tcW w:w="1399" w:type="dxa"/>
          </w:tcPr>
          <w:p w14:paraId="01BD7C2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NURSAP</w:t>
            </w:r>
          </w:p>
        </w:tc>
        <w:tc>
          <w:tcPr>
            <w:tcW w:w="980" w:type="dxa"/>
          </w:tcPr>
          <w:p w14:paraId="5D50965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77A588D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Nursing Associate</w:t>
            </w:r>
          </w:p>
        </w:tc>
        <w:tc>
          <w:tcPr>
            <w:tcW w:w="1418" w:type="dxa"/>
            <w:vMerge/>
          </w:tcPr>
          <w:p w14:paraId="247E7D4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32A1E3DC" w14:textId="77777777" w:rsidTr="0035573B">
        <w:tc>
          <w:tcPr>
            <w:tcW w:w="1952" w:type="dxa"/>
            <w:vMerge/>
          </w:tcPr>
          <w:p w14:paraId="49090E70"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7B7BAB7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TNURSA</w:t>
            </w:r>
          </w:p>
        </w:tc>
        <w:tc>
          <w:tcPr>
            <w:tcW w:w="980" w:type="dxa"/>
          </w:tcPr>
          <w:p w14:paraId="526EBB3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7D1120E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C&amp;M-APMS PCN DES Trainee Nursing Associate</w:t>
            </w:r>
          </w:p>
        </w:tc>
        <w:tc>
          <w:tcPr>
            <w:tcW w:w="1418" w:type="dxa"/>
            <w:vMerge w:val="restart"/>
          </w:tcPr>
          <w:p w14:paraId="1527CAF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5216108M</w:t>
            </w:r>
          </w:p>
        </w:tc>
      </w:tr>
      <w:tr w:rsidR="008F2758" w:rsidRPr="00972F97" w14:paraId="54F52099" w14:textId="77777777" w:rsidTr="0035573B">
        <w:tc>
          <w:tcPr>
            <w:tcW w:w="1952" w:type="dxa"/>
            <w:vMerge/>
          </w:tcPr>
          <w:p w14:paraId="07AF3402"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676AF65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TNURSG</w:t>
            </w:r>
          </w:p>
        </w:tc>
        <w:tc>
          <w:tcPr>
            <w:tcW w:w="980" w:type="dxa"/>
          </w:tcPr>
          <w:p w14:paraId="0D79114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7898373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Trainee Nursing Associate</w:t>
            </w:r>
          </w:p>
        </w:tc>
        <w:tc>
          <w:tcPr>
            <w:tcW w:w="1418" w:type="dxa"/>
            <w:vMerge/>
          </w:tcPr>
          <w:p w14:paraId="028C21B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608E2A3D" w14:textId="77777777" w:rsidTr="0035573B">
        <w:tc>
          <w:tcPr>
            <w:tcW w:w="1952" w:type="dxa"/>
            <w:vMerge/>
          </w:tcPr>
          <w:p w14:paraId="5AF0683F"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53DC217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TNURSP</w:t>
            </w:r>
          </w:p>
        </w:tc>
        <w:tc>
          <w:tcPr>
            <w:tcW w:w="980" w:type="dxa"/>
          </w:tcPr>
          <w:p w14:paraId="3EFD81C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1E680F6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Trainee Nursing Associate</w:t>
            </w:r>
          </w:p>
        </w:tc>
        <w:tc>
          <w:tcPr>
            <w:tcW w:w="1418" w:type="dxa"/>
            <w:vMerge/>
          </w:tcPr>
          <w:p w14:paraId="1922A12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66A10555" w14:textId="77777777" w:rsidTr="0035573B">
        <w:tc>
          <w:tcPr>
            <w:tcW w:w="1952" w:type="dxa"/>
            <w:vMerge/>
          </w:tcPr>
          <w:p w14:paraId="48F75FC5"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5521DAD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CPHAPA</w:t>
            </w:r>
          </w:p>
        </w:tc>
        <w:tc>
          <w:tcPr>
            <w:tcW w:w="980" w:type="dxa"/>
          </w:tcPr>
          <w:p w14:paraId="0ED52E8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2366519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C&amp;M-APMS PCN DES Clinical Pharmacist Advanced Practitioner </w:t>
            </w:r>
          </w:p>
        </w:tc>
        <w:tc>
          <w:tcPr>
            <w:tcW w:w="1418" w:type="dxa"/>
            <w:vMerge w:val="restart"/>
          </w:tcPr>
          <w:p w14:paraId="2754432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5216107S</w:t>
            </w:r>
          </w:p>
        </w:tc>
      </w:tr>
      <w:tr w:rsidR="008F2758" w:rsidRPr="00972F97" w14:paraId="2E362BC4" w14:textId="77777777" w:rsidTr="0035573B">
        <w:tc>
          <w:tcPr>
            <w:tcW w:w="1952" w:type="dxa"/>
            <w:vMerge/>
          </w:tcPr>
          <w:p w14:paraId="4A5689BC"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74EED4C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CPHAPG</w:t>
            </w:r>
          </w:p>
        </w:tc>
        <w:tc>
          <w:tcPr>
            <w:tcW w:w="980" w:type="dxa"/>
          </w:tcPr>
          <w:p w14:paraId="09669EB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40E33E5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Clinical Pharmacist Advanced Practitioner</w:t>
            </w:r>
          </w:p>
        </w:tc>
        <w:tc>
          <w:tcPr>
            <w:tcW w:w="1418" w:type="dxa"/>
            <w:vMerge/>
          </w:tcPr>
          <w:p w14:paraId="68DAD54F"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r>
      <w:tr w:rsidR="008F2758" w:rsidRPr="00972F97" w14:paraId="7BB7E4FB" w14:textId="77777777" w:rsidTr="0035573B">
        <w:tc>
          <w:tcPr>
            <w:tcW w:w="1952" w:type="dxa"/>
            <w:vMerge/>
          </w:tcPr>
          <w:p w14:paraId="6F39BF8A"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1575F9F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CPHAPP</w:t>
            </w:r>
          </w:p>
        </w:tc>
        <w:tc>
          <w:tcPr>
            <w:tcW w:w="980" w:type="dxa"/>
          </w:tcPr>
          <w:p w14:paraId="6A030A5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11B0796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Clinical Pharmacist Advanced Practitioner</w:t>
            </w:r>
          </w:p>
        </w:tc>
        <w:tc>
          <w:tcPr>
            <w:tcW w:w="1418" w:type="dxa"/>
            <w:vMerge/>
          </w:tcPr>
          <w:p w14:paraId="3A2D6CE8"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r>
      <w:tr w:rsidR="008F2758" w:rsidRPr="00972F97" w14:paraId="68EFAB55" w14:textId="77777777" w:rsidTr="0035573B">
        <w:tc>
          <w:tcPr>
            <w:tcW w:w="1952" w:type="dxa"/>
            <w:vMerge/>
          </w:tcPr>
          <w:p w14:paraId="58D8762E"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033AAC7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PHYAPA</w:t>
            </w:r>
          </w:p>
        </w:tc>
        <w:tc>
          <w:tcPr>
            <w:tcW w:w="980" w:type="dxa"/>
          </w:tcPr>
          <w:p w14:paraId="7CF6037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04F0416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C&amp;M-APMS PCN DES Physiotherapist Advanced Practitioner </w:t>
            </w:r>
          </w:p>
        </w:tc>
        <w:tc>
          <w:tcPr>
            <w:tcW w:w="1418" w:type="dxa"/>
            <w:vMerge w:val="restart"/>
          </w:tcPr>
          <w:p w14:paraId="1009F45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5216107T</w:t>
            </w:r>
          </w:p>
        </w:tc>
      </w:tr>
      <w:tr w:rsidR="008F2758" w:rsidRPr="00972F97" w14:paraId="0B516C5E" w14:textId="77777777" w:rsidTr="0035573B">
        <w:tc>
          <w:tcPr>
            <w:tcW w:w="1952" w:type="dxa"/>
            <w:vMerge/>
          </w:tcPr>
          <w:p w14:paraId="4D8CD423"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2EB3310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PHYAPG</w:t>
            </w:r>
          </w:p>
        </w:tc>
        <w:tc>
          <w:tcPr>
            <w:tcW w:w="980" w:type="dxa"/>
          </w:tcPr>
          <w:p w14:paraId="2B6C01F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6993BA8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Physiotherapist Advanced Practitioner</w:t>
            </w:r>
          </w:p>
        </w:tc>
        <w:tc>
          <w:tcPr>
            <w:tcW w:w="1418" w:type="dxa"/>
            <w:vMerge/>
          </w:tcPr>
          <w:p w14:paraId="636741B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4DFFC3EB" w14:textId="77777777" w:rsidTr="0035573B">
        <w:tc>
          <w:tcPr>
            <w:tcW w:w="1952" w:type="dxa"/>
            <w:vMerge/>
          </w:tcPr>
          <w:p w14:paraId="4DB705EC"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016B1C4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PHYAPP</w:t>
            </w:r>
          </w:p>
        </w:tc>
        <w:tc>
          <w:tcPr>
            <w:tcW w:w="980" w:type="dxa"/>
          </w:tcPr>
          <w:p w14:paraId="0528BF11"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0736988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Physiotherapist Advanced Practitioner</w:t>
            </w:r>
          </w:p>
        </w:tc>
        <w:tc>
          <w:tcPr>
            <w:tcW w:w="1418" w:type="dxa"/>
            <w:vMerge/>
          </w:tcPr>
          <w:p w14:paraId="5486AF4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7BB5DA5E" w14:textId="77777777" w:rsidTr="0035573B">
        <w:tc>
          <w:tcPr>
            <w:tcW w:w="1952" w:type="dxa"/>
            <w:vMerge/>
          </w:tcPr>
          <w:p w14:paraId="680BDB18"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29E127E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DIEAPA</w:t>
            </w:r>
          </w:p>
        </w:tc>
        <w:tc>
          <w:tcPr>
            <w:tcW w:w="980" w:type="dxa"/>
          </w:tcPr>
          <w:p w14:paraId="3DC55A6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572A212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C&amp;M-APMS PCN DES Dietician Advanced Practitioner </w:t>
            </w:r>
          </w:p>
        </w:tc>
        <w:tc>
          <w:tcPr>
            <w:tcW w:w="1418" w:type="dxa"/>
            <w:vMerge w:val="restart"/>
          </w:tcPr>
          <w:p w14:paraId="0647633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5216107U</w:t>
            </w:r>
          </w:p>
        </w:tc>
      </w:tr>
      <w:tr w:rsidR="008F2758" w:rsidRPr="00972F97" w14:paraId="39FC9985" w14:textId="77777777" w:rsidTr="0035573B">
        <w:tc>
          <w:tcPr>
            <w:tcW w:w="1952" w:type="dxa"/>
            <w:vMerge/>
          </w:tcPr>
          <w:p w14:paraId="0A873A7E"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00DBAE7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DIEAPG</w:t>
            </w:r>
          </w:p>
        </w:tc>
        <w:tc>
          <w:tcPr>
            <w:tcW w:w="980" w:type="dxa"/>
          </w:tcPr>
          <w:p w14:paraId="06C0078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0FECD3A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Dietician Advanced Practitioner</w:t>
            </w:r>
          </w:p>
        </w:tc>
        <w:tc>
          <w:tcPr>
            <w:tcW w:w="1418" w:type="dxa"/>
            <w:vMerge/>
          </w:tcPr>
          <w:p w14:paraId="0B7F9ED2"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r>
      <w:tr w:rsidR="008F2758" w:rsidRPr="00972F97" w14:paraId="249A3295" w14:textId="77777777" w:rsidTr="0035573B">
        <w:tc>
          <w:tcPr>
            <w:tcW w:w="1952" w:type="dxa"/>
            <w:vMerge/>
          </w:tcPr>
          <w:p w14:paraId="2A9A607E"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7F74836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DIEAPP</w:t>
            </w:r>
          </w:p>
        </w:tc>
        <w:tc>
          <w:tcPr>
            <w:tcW w:w="980" w:type="dxa"/>
          </w:tcPr>
          <w:p w14:paraId="33E2317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0791098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Dietician Advanced Practitioner</w:t>
            </w:r>
          </w:p>
        </w:tc>
        <w:tc>
          <w:tcPr>
            <w:tcW w:w="1418" w:type="dxa"/>
            <w:vMerge/>
          </w:tcPr>
          <w:p w14:paraId="62279C0B"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r>
      <w:tr w:rsidR="008F2758" w:rsidRPr="00972F97" w14:paraId="15F8BE0C" w14:textId="77777777" w:rsidTr="0035573B">
        <w:tc>
          <w:tcPr>
            <w:tcW w:w="1952" w:type="dxa"/>
            <w:vMerge/>
          </w:tcPr>
          <w:p w14:paraId="4A9336C6"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0CA9300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PODAPA</w:t>
            </w:r>
          </w:p>
        </w:tc>
        <w:tc>
          <w:tcPr>
            <w:tcW w:w="980" w:type="dxa"/>
          </w:tcPr>
          <w:p w14:paraId="51A5790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5420E99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C&amp;M-APMS PCN DES Podiatrist Advanced Practitioner </w:t>
            </w:r>
          </w:p>
        </w:tc>
        <w:tc>
          <w:tcPr>
            <w:tcW w:w="1418" w:type="dxa"/>
            <w:vMerge w:val="restart"/>
          </w:tcPr>
          <w:p w14:paraId="0DAF37B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5216107V</w:t>
            </w:r>
          </w:p>
        </w:tc>
      </w:tr>
      <w:tr w:rsidR="008F2758" w:rsidRPr="00972F97" w14:paraId="0644F715" w14:textId="77777777" w:rsidTr="0035573B">
        <w:tc>
          <w:tcPr>
            <w:tcW w:w="1952" w:type="dxa"/>
            <w:vMerge/>
          </w:tcPr>
          <w:p w14:paraId="029F9B0B"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400BAFD1"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PODAPG</w:t>
            </w:r>
          </w:p>
        </w:tc>
        <w:tc>
          <w:tcPr>
            <w:tcW w:w="980" w:type="dxa"/>
          </w:tcPr>
          <w:p w14:paraId="1B64AEF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0098C92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Podiatrist Advanced Practitioner</w:t>
            </w:r>
          </w:p>
        </w:tc>
        <w:tc>
          <w:tcPr>
            <w:tcW w:w="1418" w:type="dxa"/>
            <w:vMerge/>
          </w:tcPr>
          <w:p w14:paraId="006A3A2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67609883" w14:textId="77777777" w:rsidTr="0035573B">
        <w:tc>
          <w:tcPr>
            <w:tcW w:w="1952" w:type="dxa"/>
            <w:vMerge/>
          </w:tcPr>
          <w:p w14:paraId="1EC79F9B"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6B42C6A2"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PODAPP</w:t>
            </w:r>
          </w:p>
        </w:tc>
        <w:tc>
          <w:tcPr>
            <w:tcW w:w="980" w:type="dxa"/>
          </w:tcPr>
          <w:p w14:paraId="7BCB26F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3BA2C42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Podiatrist Advanced Practitioner</w:t>
            </w:r>
          </w:p>
        </w:tc>
        <w:tc>
          <w:tcPr>
            <w:tcW w:w="1418" w:type="dxa"/>
            <w:vMerge/>
          </w:tcPr>
          <w:p w14:paraId="6E4BA75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1D591C14" w14:textId="77777777" w:rsidTr="0035573B">
        <w:tc>
          <w:tcPr>
            <w:tcW w:w="1952" w:type="dxa"/>
            <w:vMerge/>
          </w:tcPr>
          <w:p w14:paraId="7FC7D1FF"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2FD01FD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OCTAPA</w:t>
            </w:r>
          </w:p>
        </w:tc>
        <w:tc>
          <w:tcPr>
            <w:tcW w:w="980" w:type="dxa"/>
          </w:tcPr>
          <w:p w14:paraId="5E6367C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26913F3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C&amp;M-APMS PCN DES Occupational Therapist Advanced Practitioner </w:t>
            </w:r>
          </w:p>
        </w:tc>
        <w:tc>
          <w:tcPr>
            <w:tcW w:w="1418" w:type="dxa"/>
            <w:vMerge w:val="restart"/>
          </w:tcPr>
          <w:p w14:paraId="2D331FD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5216107W</w:t>
            </w:r>
          </w:p>
        </w:tc>
      </w:tr>
      <w:tr w:rsidR="008F2758" w:rsidRPr="00972F97" w14:paraId="22A448F2" w14:textId="77777777" w:rsidTr="0035573B">
        <w:tc>
          <w:tcPr>
            <w:tcW w:w="1952" w:type="dxa"/>
            <w:vMerge/>
          </w:tcPr>
          <w:p w14:paraId="7E96DBBE"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7C78F5D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OCTAPG</w:t>
            </w:r>
          </w:p>
        </w:tc>
        <w:tc>
          <w:tcPr>
            <w:tcW w:w="980" w:type="dxa"/>
          </w:tcPr>
          <w:p w14:paraId="477D2A9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27D73D0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Occupational Therapist Advanced Practitioner</w:t>
            </w:r>
          </w:p>
        </w:tc>
        <w:tc>
          <w:tcPr>
            <w:tcW w:w="1418" w:type="dxa"/>
            <w:vMerge/>
          </w:tcPr>
          <w:p w14:paraId="074CA6B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5E03DCCD" w14:textId="77777777" w:rsidTr="0035573B">
        <w:tc>
          <w:tcPr>
            <w:tcW w:w="1952" w:type="dxa"/>
            <w:vMerge/>
          </w:tcPr>
          <w:p w14:paraId="138F2191"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75076D3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OCTAPP</w:t>
            </w:r>
          </w:p>
        </w:tc>
        <w:tc>
          <w:tcPr>
            <w:tcW w:w="980" w:type="dxa"/>
          </w:tcPr>
          <w:p w14:paraId="38F7053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77900E9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Occupational Therapist Advanced Practitioner</w:t>
            </w:r>
          </w:p>
        </w:tc>
        <w:tc>
          <w:tcPr>
            <w:tcW w:w="1418" w:type="dxa"/>
            <w:vMerge/>
          </w:tcPr>
          <w:p w14:paraId="6C8C50C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20738DE5" w14:textId="77777777" w:rsidTr="0035573B">
        <w:tc>
          <w:tcPr>
            <w:tcW w:w="1952" w:type="dxa"/>
            <w:vMerge/>
          </w:tcPr>
          <w:p w14:paraId="553A7DB6"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3FF595C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PARAPA</w:t>
            </w:r>
          </w:p>
        </w:tc>
        <w:tc>
          <w:tcPr>
            <w:tcW w:w="980" w:type="dxa"/>
          </w:tcPr>
          <w:p w14:paraId="4B7F7A9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748DB18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C&amp;M-APMS PCN DES Paramedic Advanced Practitioner </w:t>
            </w:r>
          </w:p>
        </w:tc>
        <w:tc>
          <w:tcPr>
            <w:tcW w:w="1418" w:type="dxa"/>
            <w:vMerge w:val="restart"/>
          </w:tcPr>
          <w:p w14:paraId="7AE0E30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5216107X</w:t>
            </w:r>
          </w:p>
        </w:tc>
      </w:tr>
      <w:tr w:rsidR="008F2758" w:rsidRPr="00972F97" w14:paraId="7EDEE753" w14:textId="77777777" w:rsidTr="0035573B">
        <w:tc>
          <w:tcPr>
            <w:tcW w:w="1952" w:type="dxa"/>
            <w:vMerge/>
          </w:tcPr>
          <w:p w14:paraId="0C173CC6"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72831C5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PARAPG</w:t>
            </w:r>
          </w:p>
        </w:tc>
        <w:tc>
          <w:tcPr>
            <w:tcW w:w="980" w:type="dxa"/>
          </w:tcPr>
          <w:p w14:paraId="2AE3407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6B2C459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Paramedic Advanced Practitioner</w:t>
            </w:r>
          </w:p>
        </w:tc>
        <w:tc>
          <w:tcPr>
            <w:tcW w:w="1418" w:type="dxa"/>
            <w:vMerge/>
          </w:tcPr>
          <w:p w14:paraId="1C763BC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52B462AA" w14:textId="77777777" w:rsidTr="0035573B">
        <w:tc>
          <w:tcPr>
            <w:tcW w:w="1952" w:type="dxa"/>
            <w:vMerge/>
          </w:tcPr>
          <w:p w14:paraId="485D4C4B"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3E44BDE0"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PARAPP</w:t>
            </w:r>
          </w:p>
        </w:tc>
        <w:tc>
          <w:tcPr>
            <w:tcW w:w="980" w:type="dxa"/>
          </w:tcPr>
          <w:p w14:paraId="6E35120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0501F768"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Paramedic Advanced Practitioner</w:t>
            </w:r>
          </w:p>
        </w:tc>
        <w:tc>
          <w:tcPr>
            <w:tcW w:w="1418" w:type="dxa"/>
            <w:vMerge/>
          </w:tcPr>
          <w:p w14:paraId="377D084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0A6EBEE5" w14:textId="77777777" w:rsidTr="0035573B">
        <w:tc>
          <w:tcPr>
            <w:tcW w:w="1952" w:type="dxa"/>
            <w:vMerge/>
          </w:tcPr>
          <w:p w14:paraId="6D39F4CA"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6370CBD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ADMHPA</w:t>
            </w:r>
          </w:p>
        </w:tc>
        <w:tc>
          <w:tcPr>
            <w:tcW w:w="980" w:type="dxa"/>
          </w:tcPr>
          <w:p w14:paraId="7948C4A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77AD3AC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C&amp;M-APMS PCN DES Adult Mental Health Practitioner </w:t>
            </w:r>
          </w:p>
        </w:tc>
        <w:tc>
          <w:tcPr>
            <w:tcW w:w="1418" w:type="dxa"/>
            <w:vMerge w:val="restart"/>
          </w:tcPr>
          <w:p w14:paraId="4BB56EF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5216107Y</w:t>
            </w:r>
          </w:p>
        </w:tc>
      </w:tr>
      <w:tr w:rsidR="008F2758" w:rsidRPr="00972F97" w14:paraId="4D0726E0" w14:textId="77777777" w:rsidTr="0035573B">
        <w:tc>
          <w:tcPr>
            <w:tcW w:w="1952" w:type="dxa"/>
            <w:vMerge/>
          </w:tcPr>
          <w:p w14:paraId="559DFD67"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290F4AA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ADMHPG</w:t>
            </w:r>
          </w:p>
        </w:tc>
        <w:tc>
          <w:tcPr>
            <w:tcW w:w="980" w:type="dxa"/>
          </w:tcPr>
          <w:p w14:paraId="4AB0F57D"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01C6950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Adult Mental Health Practitioner</w:t>
            </w:r>
          </w:p>
        </w:tc>
        <w:tc>
          <w:tcPr>
            <w:tcW w:w="1418" w:type="dxa"/>
            <w:vMerge/>
          </w:tcPr>
          <w:p w14:paraId="3A50E8FE"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52126BF2" w14:textId="77777777" w:rsidTr="0035573B">
        <w:tc>
          <w:tcPr>
            <w:tcW w:w="1952" w:type="dxa"/>
            <w:vMerge/>
          </w:tcPr>
          <w:p w14:paraId="266B3E9C"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7B4DBB56"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ADMHPP</w:t>
            </w:r>
          </w:p>
        </w:tc>
        <w:tc>
          <w:tcPr>
            <w:tcW w:w="980" w:type="dxa"/>
          </w:tcPr>
          <w:p w14:paraId="7018DC2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04C3E05A"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Adult Mental Health Practitioner</w:t>
            </w:r>
          </w:p>
        </w:tc>
        <w:tc>
          <w:tcPr>
            <w:tcW w:w="1418" w:type="dxa"/>
            <w:vMerge/>
          </w:tcPr>
          <w:p w14:paraId="6982981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02A12EDE" w14:textId="77777777" w:rsidTr="0035573B">
        <w:tc>
          <w:tcPr>
            <w:tcW w:w="1952" w:type="dxa"/>
            <w:vMerge/>
          </w:tcPr>
          <w:p w14:paraId="27C413D5"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2839A1F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CYPMHA</w:t>
            </w:r>
          </w:p>
        </w:tc>
        <w:tc>
          <w:tcPr>
            <w:tcW w:w="980" w:type="dxa"/>
          </w:tcPr>
          <w:p w14:paraId="4606E3B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A</w:t>
            </w:r>
          </w:p>
        </w:tc>
        <w:tc>
          <w:tcPr>
            <w:tcW w:w="2898" w:type="dxa"/>
          </w:tcPr>
          <w:p w14:paraId="115B71D3"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 xml:space="preserve">C&amp;M-APMS PCN DES CYP Mental Health Practitioner </w:t>
            </w:r>
          </w:p>
        </w:tc>
        <w:tc>
          <w:tcPr>
            <w:tcW w:w="1418" w:type="dxa"/>
            <w:vMerge w:val="restart"/>
          </w:tcPr>
          <w:p w14:paraId="7C2A6CE9"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5216107Z</w:t>
            </w:r>
          </w:p>
        </w:tc>
      </w:tr>
      <w:tr w:rsidR="008F2758" w:rsidRPr="00972F97" w14:paraId="7226783A" w14:textId="77777777" w:rsidTr="0035573B">
        <w:tc>
          <w:tcPr>
            <w:tcW w:w="1952" w:type="dxa"/>
            <w:vMerge/>
          </w:tcPr>
          <w:p w14:paraId="7C8FB6D0"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3065444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CYPMHG</w:t>
            </w:r>
          </w:p>
        </w:tc>
        <w:tc>
          <w:tcPr>
            <w:tcW w:w="980" w:type="dxa"/>
          </w:tcPr>
          <w:p w14:paraId="37F9F665"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G</w:t>
            </w:r>
          </w:p>
        </w:tc>
        <w:tc>
          <w:tcPr>
            <w:tcW w:w="2898" w:type="dxa"/>
          </w:tcPr>
          <w:p w14:paraId="0B6E51E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C&amp;M-GMS PCN DES CYP Mental Health Practitioner</w:t>
            </w:r>
          </w:p>
        </w:tc>
        <w:tc>
          <w:tcPr>
            <w:tcW w:w="1418" w:type="dxa"/>
            <w:vMerge/>
          </w:tcPr>
          <w:p w14:paraId="224953F4"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008F2758" w:rsidRPr="00972F97" w14:paraId="410210B9" w14:textId="77777777" w:rsidTr="0035573B">
        <w:tc>
          <w:tcPr>
            <w:tcW w:w="1952" w:type="dxa"/>
            <w:vMerge/>
          </w:tcPr>
          <w:p w14:paraId="48DF38F0" w14:textId="77777777" w:rsidR="008F2758" w:rsidRPr="00972F97" w:rsidRDefault="008F2758" w:rsidP="00E36FE2">
            <w:pPr>
              <w:shd w:val="clear" w:color="auto" w:fill="C2F3FF" w:themeFill="accent4" w:themeFillTint="33"/>
              <w:spacing w:line="276" w:lineRule="auto"/>
              <w:rPr>
                <w:rFonts w:eastAsia="Times New Roman" w:cs="Arial"/>
                <w:bCs/>
                <w:sz w:val="22"/>
              </w:rPr>
            </w:pPr>
          </w:p>
        </w:tc>
        <w:tc>
          <w:tcPr>
            <w:tcW w:w="1399" w:type="dxa"/>
          </w:tcPr>
          <w:p w14:paraId="3698305F"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CYPMHP</w:t>
            </w:r>
          </w:p>
        </w:tc>
        <w:tc>
          <w:tcPr>
            <w:tcW w:w="980" w:type="dxa"/>
          </w:tcPr>
          <w:p w14:paraId="0784768B"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P</w:t>
            </w:r>
          </w:p>
        </w:tc>
        <w:tc>
          <w:tcPr>
            <w:tcW w:w="2898" w:type="dxa"/>
          </w:tcPr>
          <w:p w14:paraId="7FC477A7"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r w:rsidRPr="00972F97">
              <w:rPr>
                <w:rFonts w:eastAsia="Times New Roman" w:cs="Arial"/>
                <w:bCs/>
                <w:sz w:val="22"/>
                <w:szCs w:val="22"/>
              </w:rPr>
              <w:t>C&amp;M-PMS PCN DES CYP Mental Health Practitioner</w:t>
            </w:r>
          </w:p>
        </w:tc>
        <w:tc>
          <w:tcPr>
            <w:tcW w:w="1418" w:type="dxa"/>
            <w:vMerge/>
          </w:tcPr>
          <w:p w14:paraId="2F2F349C" w14:textId="77777777" w:rsidR="008F2758" w:rsidRPr="00972F97" w:rsidRDefault="008F2758" w:rsidP="00E36FE2">
            <w:pPr>
              <w:shd w:val="clear" w:color="auto" w:fill="C2F3FF" w:themeFill="accent4" w:themeFillTint="33"/>
              <w:spacing w:line="276" w:lineRule="auto"/>
              <w:rPr>
                <w:rFonts w:eastAsia="Times New Roman" w:cs="Arial"/>
                <w:bCs/>
                <w:sz w:val="22"/>
                <w:szCs w:val="22"/>
              </w:rPr>
            </w:pPr>
          </w:p>
        </w:tc>
      </w:tr>
      <w:tr w:rsidR="2F56890A" w:rsidRPr="00972F97" w14:paraId="50761B7B" w14:textId="77777777" w:rsidTr="0035573B">
        <w:trPr>
          <w:trHeight w:val="300"/>
        </w:trPr>
        <w:tc>
          <w:tcPr>
            <w:tcW w:w="1952" w:type="dxa"/>
          </w:tcPr>
          <w:p w14:paraId="2288D21B" w14:textId="18B21FD5" w:rsidR="2F56890A" w:rsidRPr="00972F97" w:rsidRDefault="2F56890A" w:rsidP="00E36FE2">
            <w:pPr>
              <w:spacing w:line="276" w:lineRule="auto"/>
              <w:rPr>
                <w:rFonts w:eastAsia="Times New Roman" w:cs="Arial"/>
                <w:sz w:val="22"/>
                <w:szCs w:val="22"/>
              </w:rPr>
            </w:pPr>
          </w:p>
        </w:tc>
        <w:tc>
          <w:tcPr>
            <w:tcW w:w="1399" w:type="dxa"/>
          </w:tcPr>
          <w:p w14:paraId="182DB171" w14:textId="54A58963" w:rsidR="319EEFC8" w:rsidRPr="005D4434" w:rsidRDefault="319EEFC8" w:rsidP="00E36FE2">
            <w:pPr>
              <w:spacing w:after="0" w:line="276" w:lineRule="auto"/>
              <w:ind w:left="-20" w:right="-20"/>
              <w:rPr>
                <w:rFonts w:eastAsia="Calibri" w:cs="Arial"/>
                <w:sz w:val="22"/>
                <w:szCs w:val="22"/>
              </w:rPr>
            </w:pPr>
            <w:r w:rsidRPr="005D4434">
              <w:rPr>
                <w:rFonts w:eastAsia="Calibri" w:cs="Arial"/>
                <w:sz w:val="22"/>
                <w:szCs w:val="22"/>
              </w:rPr>
              <w:t>PNDPCG</w:t>
            </w:r>
          </w:p>
        </w:tc>
        <w:tc>
          <w:tcPr>
            <w:tcW w:w="980" w:type="dxa"/>
          </w:tcPr>
          <w:p w14:paraId="1EC9AECE" w14:textId="456E2FEC" w:rsidR="2F56890A" w:rsidRPr="005D4434" w:rsidRDefault="2F56890A" w:rsidP="00E36FE2">
            <w:pPr>
              <w:spacing w:line="276" w:lineRule="auto"/>
              <w:rPr>
                <w:rFonts w:eastAsia="Times New Roman" w:cs="Arial"/>
                <w:sz w:val="22"/>
                <w:szCs w:val="22"/>
              </w:rPr>
            </w:pPr>
          </w:p>
        </w:tc>
        <w:tc>
          <w:tcPr>
            <w:tcW w:w="2898" w:type="dxa"/>
          </w:tcPr>
          <w:p w14:paraId="74F4AED9" w14:textId="6047E7D9" w:rsidR="2F56890A" w:rsidRPr="005D4434" w:rsidRDefault="1EA22E07" w:rsidP="005D0C38">
            <w:pPr>
              <w:spacing w:after="120" w:line="276" w:lineRule="auto"/>
              <w:ind w:left="-20" w:right="-20"/>
              <w:rPr>
                <w:rFonts w:eastAsia="Arial" w:cs="Arial"/>
                <w:sz w:val="22"/>
                <w:szCs w:val="22"/>
              </w:rPr>
            </w:pPr>
            <w:r w:rsidRPr="005D4434">
              <w:rPr>
                <w:rFonts w:eastAsia="Arial" w:cs="Arial"/>
                <w:sz w:val="22"/>
                <w:szCs w:val="22"/>
              </w:rPr>
              <w:t>C&amp;M-PCN Other Direct Patient Care</w:t>
            </w:r>
          </w:p>
          <w:p w14:paraId="6012E774" w14:textId="65F47A98" w:rsidR="2F56890A" w:rsidRPr="005D4434" w:rsidRDefault="2F56890A" w:rsidP="00E36FE2">
            <w:pPr>
              <w:spacing w:line="276" w:lineRule="auto"/>
              <w:rPr>
                <w:rFonts w:eastAsia="Times New Roman" w:cs="Arial"/>
                <w:sz w:val="22"/>
                <w:szCs w:val="22"/>
              </w:rPr>
            </w:pPr>
          </w:p>
        </w:tc>
        <w:tc>
          <w:tcPr>
            <w:tcW w:w="1418" w:type="dxa"/>
          </w:tcPr>
          <w:p w14:paraId="6776DC37" w14:textId="7CE1AF54" w:rsidR="2F56890A" w:rsidRPr="005D4434" w:rsidRDefault="012717D8" w:rsidP="00E36FE2">
            <w:pPr>
              <w:spacing w:line="276" w:lineRule="auto"/>
              <w:rPr>
                <w:rFonts w:eastAsia="Arial" w:cs="Arial"/>
                <w:sz w:val="22"/>
                <w:szCs w:val="22"/>
              </w:rPr>
            </w:pPr>
            <w:r w:rsidRPr="005D4434">
              <w:rPr>
                <w:rFonts w:eastAsia="Calibri" w:cs="Arial"/>
                <w:sz w:val="22"/>
                <w:szCs w:val="22"/>
              </w:rPr>
              <w:t>52161444</w:t>
            </w:r>
          </w:p>
        </w:tc>
      </w:tr>
      <w:tr w:rsidR="00607800" w:rsidRPr="00972F97" w14:paraId="4E39A1E8" w14:textId="77777777" w:rsidTr="0035573B">
        <w:trPr>
          <w:trHeight w:val="300"/>
        </w:trPr>
        <w:tc>
          <w:tcPr>
            <w:tcW w:w="1952" w:type="dxa"/>
          </w:tcPr>
          <w:p w14:paraId="65FEB939" w14:textId="77777777" w:rsidR="00607800" w:rsidRPr="00972F97" w:rsidRDefault="00607800" w:rsidP="00E36FE2">
            <w:pPr>
              <w:spacing w:line="276" w:lineRule="auto"/>
              <w:rPr>
                <w:rFonts w:cs="Arial"/>
                <w:sz w:val="22"/>
                <w:szCs w:val="22"/>
              </w:rPr>
            </w:pPr>
          </w:p>
        </w:tc>
        <w:tc>
          <w:tcPr>
            <w:tcW w:w="1399" w:type="dxa"/>
          </w:tcPr>
          <w:p w14:paraId="7814AAA0" w14:textId="4F0C8292" w:rsidR="00607800" w:rsidRPr="00DC49D4" w:rsidRDefault="00DC74A4" w:rsidP="00E36FE2">
            <w:pPr>
              <w:spacing w:after="0" w:line="276" w:lineRule="auto"/>
              <w:ind w:left="-20" w:right="-20"/>
              <w:rPr>
                <w:rFonts w:eastAsia="Calibri" w:cs="Arial"/>
                <w:sz w:val="22"/>
                <w:szCs w:val="22"/>
                <w:highlight w:val="yellow"/>
              </w:rPr>
            </w:pPr>
            <w:r w:rsidRPr="00DC49D4">
              <w:rPr>
                <w:rFonts w:eastAsia="Arial" w:cs="Arial"/>
                <w:sz w:val="22"/>
                <w:szCs w:val="22"/>
                <w:highlight w:val="yellow"/>
              </w:rPr>
              <w:t>ONDPC</w:t>
            </w:r>
          </w:p>
        </w:tc>
        <w:tc>
          <w:tcPr>
            <w:tcW w:w="980" w:type="dxa"/>
          </w:tcPr>
          <w:p w14:paraId="4BE2C40B" w14:textId="77777777" w:rsidR="00607800" w:rsidRPr="00DC49D4" w:rsidRDefault="00607800" w:rsidP="00E36FE2">
            <w:pPr>
              <w:spacing w:line="276" w:lineRule="auto"/>
              <w:rPr>
                <w:rFonts w:cs="Arial"/>
                <w:sz w:val="22"/>
                <w:szCs w:val="22"/>
                <w:highlight w:val="yellow"/>
              </w:rPr>
            </w:pPr>
          </w:p>
        </w:tc>
        <w:tc>
          <w:tcPr>
            <w:tcW w:w="2898" w:type="dxa"/>
          </w:tcPr>
          <w:p w14:paraId="5587C704" w14:textId="16997E5B" w:rsidR="00607800" w:rsidRPr="00DC49D4" w:rsidRDefault="002F12D5" w:rsidP="005D0C38">
            <w:pPr>
              <w:spacing w:after="120" w:line="276" w:lineRule="auto"/>
              <w:ind w:left="-20" w:right="-20"/>
              <w:rPr>
                <w:rFonts w:eastAsia="Arial" w:cs="Arial"/>
                <w:sz w:val="22"/>
                <w:szCs w:val="22"/>
                <w:highlight w:val="yellow"/>
              </w:rPr>
            </w:pPr>
            <w:r w:rsidRPr="00DC49D4">
              <w:rPr>
                <w:rFonts w:eastAsia="Arial" w:cs="Arial"/>
                <w:sz w:val="22"/>
                <w:szCs w:val="22"/>
                <w:highlight w:val="yellow"/>
              </w:rPr>
              <w:t xml:space="preserve">C&amp;M-PCN </w:t>
            </w:r>
            <w:r w:rsidR="00DC74A4" w:rsidRPr="00DC49D4">
              <w:rPr>
                <w:rFonts w:eastAsia="Arial" w:cs="Arial"/>
                <w:sz w:val="22"/>
                <w:szCs w:val="22"/>
                <w:highlight w:val="yellow"/>
              </w:rPr>
              <w:t>Other Non-Direct Patient Car</w:t>
            </w:r>
            <w:r w:rsidR="00DC49D4" w:rsidRPr="00DC49D4">
              <w:rPr>
                <w:rFonts w:eastAsia="Arial" w:cs="Arial"/>
                <w:sz w:val="22"/>
                <w:szCs w:val="22"/>
                <w:highlight w:val="yellow"/>
              </w:rPr>
              <w:t>e</w:t>
            </w:r>
          </w:p>
        </w:tc>
        <w:tc>
          <w:tcPr>
            <w:tcW w:w="1418" w:type="dxa"/>
          </w:tcPr>
          <w:p w14:paraId="54EAC94E" w14:textId="71562A2D" w:rsidR="00607800" w:rsidRPr="005D4434" w:rsidRDefault="002F12D5" w:rsidP="00E36FE2">
            <w:pPr>
              <w:spacing w:line="276" w:lineRule="auto"/>
              <w:rPr>
                <w:rFonts w:eastAsia="Calibri" w:cs="Arial"/>
                <w:sz w:val="22"/>
                <w:szCs w:val="22"/>
              </w:rPr>
            </w:pPr>
            <w:r w:rsidRPr="002F12D5">
              <w:rPr>
                <w:rFonts w:eastAsia="Calibri" w:cs="Arial"/>
                <w:sz w:val="22"/>
                <w:szCs w:val="22"/>
                <w:highlight w:val="yellow"/>
              </w:rPr>
              <w:t>521676895</w:t>
            </w:r>
          </w:p>
        </w:tc>
      </w:tr>
      <w:tr w:rsidR="2F56890A" w:rsidRPr="00972F97" w14:paraId="27688141" w14:textId="77777777" w:rsidTr="0035573B">
        <w:trPr>
          <w:trHeight w:val="300"/>
        </w:trPr>
        <w:tc>
          <w:tcPr>
            <w:tcW w:w="1952" w:type="dxa"/>
          </w:tcPr>
          <w:p w14:paraId="7F50C4E6" w14:textId="70114150" w:rsidR="2F56890A" w:rsidRPr="00972F97" w:rsidRDefault="2F56890A" w:rsidP="00E36FE2">
            <w:pPr>
              <w:spacing w:line="276" w:lineRule="auto"/>
              <w:rPr>
                <w:rFonts w:eastAsia="Times New Roman" w:cs="Arial"/>
                <w:sz w:val="22"/>
                <w:szCs w:val="22"/>
                <w:highlight w:val="yellow"/>
              </w:rPr>
            </w:pPr>
          </w:p>
        </w:tc>
        <w:tc>
          <w:tcPr>
            <w:tcW w:w="1399" w:type="dxa"/>
          </w:tcPr>
          <w:p w14:paraId="3CC3D02E" w14:textId="11E28249" w:rsidR="2F56890A" w:rsidRPr="005D4434" w:rsidRDefault="315AFA4E" w:rsidP="00E36FE2">
            <w:pPr>
              <w:spacing w:line="276" w:lineRule="auto"/>
              <w:rPr>
                <w:rFonts w:eastAsia="Arial" w:cs="Arial"/>
                <w:sz w:val="22"/>
                <w:szCs w:val="22"/>
              </w:rPr>
            </w:pPr>
            <w:r w:rsidRPr="005D4434">
              <w:rPr>
                <w:rFonts w:eastAsia="Calibri" w:cs="Arial"/>
                <w:sz w:val="22"/>
                <w:szCs w:val="22"/>
              </w:rPr>
              <w:t>PNENG</w:t>
            </w:r>
          </w:p>
        </w:tc>
        <w:tc>
          <w:tcPr>
            <w:tcW w:w="980" w:type="dxa"/>
          </w:tcPr>
          <w:p w14:paraId="7F3B8252" w14:textId="34F62D1E" w:rsidR="2F56890A" w:rsidRPr="005D4434" w:rsidRDefault="2F56890A" w:rsidP="00E36FE2">
            <w:pPr>
              <w:spacing w:line="276" w:lineRule="auto"/>
              <w:rPr>
                <w:rFonts w:eastAsia="Times New Roman" w:cs="Arial"/>
                <w:sz w:val="22"/>
                <w:szCs w:val="22"/>
              </w:rPr>
            </w:pPr>
          </w:p>
        </w:tc>
        <w:tc>
          <w:tcPr>
            <w:tcW w:w="2898" w:type="dxa"/>
          </w:tcPr>
          <w:p w14:paraId="13910363" w14:textId="321F0460" w:rsidR="2F56890A" w:rsidRPr="005D4434" w:rsidRDefault="01B46468" w:rsidP="005D0C38">
            <w:pPr>
              <w:spacing w:after="120" w:line="276" w:lineRule="auto"/>
              <w:ind w:left="-20" w:right="-20"/>
              <w:rPr>
                <w:rFonts w:eastAsia="Arial" w:cs="Arial"/>
                <w:sz w:val="22"/>
                <w:szCs w:val="22"/>
              </w:rPr>
            </w:pPr>
            <w:r w:rsidRPr="005D4434">
              <w:rPr>
                <w:rFonts w:eastAsia="Arial" w:cs="Arial"/>
                <w:sz w:val="22"/>
                <w:szCs w:val="22"/>
              </w:rPr>
              <w:t>C&amp;M-PCN Enhanced Nurse</w:t>
            </w:r>
          </w:p>
          <w:p w14:paraId="7B7179EF" w14:textId="5842AAEA" w:rsidR="2F56890A" w:rsidRPr="005D4434" w:rsidRDefault="2F56890A" w:rsidP="00E36FE2">
            <w:pPr>
              <w:spacing w:line="276" w:lineRule="auto"/>
              <w:rPr>
                <w:rFonts w:eastAsia="Times New Roman" w:cs="Arial"/>
                <w:sz w:val="22"/>
                <w:szCs w:val="22"/>
              </w:rPr>
            </w:pPr>
          </w:p>
        </w:tc>
        <w:tc>
          <w:tcPr>
            <w:tcW w:w="1418" w:type="dxa"/>
          </w:tcPr>
          <w:p w14:paraId="160504D1" w14:textId="0D833CD9" w:rsidR="2F56890A" w:rsidRPr="005D4434" w:rsidRDefault="45C9325E" w:rsidP="00E36FE2">
            <w:pPr>
              <w:spacing w:line="276" w:lineRule="auto"/>
              <w:rPr>
                <w:rFonts w:eastAsia="Arial" w:cs="Arial"/>
                <w:sz w:val="22"/>
                <w:szCs w:val="22"/>
              </w:rPr>
            </w:pPr>
            <w:r w:rsidRPr="005D4434">
              <w:rPr>
                <w:rFonts w:eastAsia="Calibri" w:cs="Arial"/>
                <w:sz w:val="22"/>
                <w:szCs w:val="22"/>
              </w:rPr>
              <w:t>52161445</w:t>
            </w:r>
          </w:p>
        </w:tc>
      </w:tr>
      <w:tr w:rsidR="009D0D18" w:rsidRPr="00972F97" w14:paraId="76CCC03F" w14:textId="77777777" w:rsidTr="0035573B">
        <w:trPr>
          <w:trHeight w:val="300"/>
        </w:trPr>
        <w:tc>
          <w:tcPr>
            <w:tcW w:w="1952" w:type="dxa"/>
          </w:tcPr>
          <w:p w14:paraId="635DC18C" w14:textId="77777777" w:rsidR="009D0D18" w:rsidRPr="00972F97" w:rsidRDefault="009D0D18" w:rsidP="00E36FE2">
            <w:pPr>
              <w:spacing w:line="276" w:lineRule="auto"/>
              <w:rPr>
                <w:rFonts w:cs="Arial"/>
                <w:sz w:val="22"/>
                <w:szCs w:val="22"/>
                <w:highlight w:val="yellow"/>
              </w:rPr>
            </w:pPr>
          </w:p>
        </w:tc>
        <w:tc>
          <w:tcPr>
            <w:tcW w:w="1399" w:type="dxa"/>
          </w:tcPr>
          <w:p w14:paraId="1ED7057B" w14:textId="3D1DF1AB" w:rsidR="009D0D18" w:rsidRPr="0080630B" w:rsidRDefault="00BF7CDF" w:rsidP="00E36FE2">
            <w:pPr>
              <w:spacing w:line="276" w:lineRule="auto"/>
              <w:rPr>
                <w:rFonts w:eastAsia="Calibri" w:cs="Arial"/>
                <w:sz w:val="22"/>
                <w:szCs w:val="22"/>
              </w:rPr>
            </w:pPr>
            <w:r w:rsidRPr="0080630B">
              <w:rPr>
                <w:rFonts w:eastAsia="Calibri" w:cs="Arial"/>
                <w:sz w:val="22"/>
                <w:szCs w:val="22"/>
              </w:rPr>
              <w:t>N</w:t>
            </w:r>
            <w:r w:rsidR="00F23774" w:rsidRPr="0080630B">
              <w:rPr>
                <w:rFonts w:eastAsia="Calibri" w:cs="Arial"/>
                <w:sz w:val="22"/>
                <w:szCs w:val="22"/>
              </w:rPr>
              <w:t>C</w:t>
            </w:r>
            <w:r w:rsidRPr="0080630B">
              <w:rPr>
                <w:rFonts w:eastAsia="Calibri" w:cs="Arial"/>
                <w:sz w:val="22"/>
                <w:szCs w:val="22"/>
              </w:rPr>
              <w:t>DH</w:t>
            </w:r>
            <w:r w:rsidR="005B2A28" w:rsidRPr="0080630B">
              <w:rPr>
                <w:rFonts w:eastAsia="Calibri" w:cs="Arial"/>
                <w:sz w:val="22"/>
                <w:szCs w:val="22"/>
              </w:rPr>
              <w:t>S</w:t>
            </w:r>
            <w:r w:rsidRPr="0080630B">
              <w:rPr>
                <w:rFonts w:eastAsia="Calibri" w:cs="Arial"/>
                <w:sz w:val="22"/>
                <w:szCs w:val="22"/>
              </w:rPr>
              <w:t>W</w:t>
            </w:r>
          </w:p>
        </w:tc>
        <w:tc>
          <w:tcPr>
            <w:tcW w:w="980" w:type="dxa"/>
          </w:tcPr>
          <w:p w14:paraId="39FA0F8F" w14:textId="77777777" w:rsidR="009D0D18" w:rsidRPr="0080630B" w:rsidRDefault="009D0D18" w:rsidP="00E36FE2">
            <w:pPr>
              <w:spacing w:line="276" w:lineRule="auto"/>
              <w:rPr>
                <w:rFonts w:cs="Arial"/>
                <w:sz w:val="22"/>
                <w:szCs w:val="22"/>
              </w:rPr>
            </w:pPr>
          </w:p>
        </w:tc>
        <w:tc>
          <w:tcPr>
            <w:tcW w:w="2898" w:type="dxa"/>
          </w:tcPr>
          <w:p w14:paraId="4933AC8D" w14:textId="662E73DF" w:rsidR="009D0D18" w:rsidRPr="0080630B" w:rsidRDefault="007E465A" w:rsidP="00E36FE2">
            <w:pPr>
              <w:spacing w:line="276" w:lineRule="auto"/>
              <w:rPr>
                <w:rFonts w:eastAsia="Calibri" w:cs="Arial"/>
                <w:sz w:val="22"/>
                <w:szCs w:val="22"/>
              </w:rPr>
            </w:pPr>
            <w:r w:rsidRPr="0080630B">
              <w:rPr>
                <w:rFonts w:eastAsia="Calibri" w:cs="Arial"/>
                <w:sz w:val="22"/>
                <w:szCs w:val="22"/>
              </w:rPr>
              <w:t xml:space="preserve">PCN DES Healthcare Supp </w:t>
            </w:r>
            <w:proofErr w:type="spellStart"/>
            <w:r w:rsidRPr="0080630B">
              <w:rPr>
                <w:rFonts w:eastAsia="Calibri" w:cs="Arial"/>
                <w:sz w:val="22"/>
                <w:szCs w:val="22"/>
              </w:rPr>
              <w:t>Wrks</w:t>
            </w:r>
            <w:proofErr w:type="spellEnd"/>
          </w:p>
        </w:tc>
        <w:tc>
          <w:tcPr>
            <w:tcW w:w="1418" w:type="dxa"/>
          </w:tcPr>
          <w:p w14:paraId="5E6F81A0" w14:textId="12AFF7E9" w:rsidR="009D0D18" w:rsidRPr="0080630B" w:rsidRDefault="00FF22FC" w:rsidP="00E36FE2">
            <w:pPr>
              <w:spacing w:line="276" w:lineRule="auto"/>
              <w:rPr>
                <w:rFonts w:eastAsia="Calibri" w:cs="Arial"/>
                <w:sz w:val="22"/>
                <w:szCs w:val="22"/>
              </w:rPr>
            </w:pPr>
            <w:r w:rsidRPr="0080630B">
              <w:rPr>
                <w:rFonts w:eastAsia="Calibri" w:cs="Arial"/>
                <w:sz w:val="22"/>
                <w:szCs w:val="22"/>
              </w:rPr>
              <w:t>52161474</w:t>
            </w:r>
          </w:p>
        </w:tc>
      </w:tr>
      <w:tr w:rsidR="009D0D18" w:rsidRPr="00972F97" w14:paraId="0691C68E" w14:textId="77777777" w:rsidTr="0035573B">
        <w:trPr>
          <w:trHeight w:val="300"/>
        </w:trPr>
        <w:tc>
          <w:tcPr>
            <w:tcW w:w="1952" w:type="dxa"/>
          </w:tcPr>
          <w:p w14:paraId="0619522B" w14:textId="77777777" w:rsidR="009D0D18" w:rsidRPr="00972F97" w:rsidRDefault="009D0D18" w:rsidP="00E36FE2">
            <w:pPr>
              <w:spacing w:line="276" w:lineRule="auto"/>
              <w:rPr>
                <w:rFonts w:cs="Arial"/>
                <w:sz w:val="22"/>
                <w:szCs w:val="22"/>
                <w:highlight w:val="yellow"/>
              </w:rPr>
            </w:pPr>
          </w:p>
        </w:tc>
        <w:tc>
          <w:tcPr>
            <w:tcW w:w="1399" w:type="dxa"/>
          </w:tcPr>
          <w:p w14:paraId="1471F23F" w14:textId="40CCFFEB" w:rsidR="009D0D18" w:rsidRPr="0080630B" w:rsidRDefault="00574FF5" w:rsidP="00E36FE2">
            <w:pPr>
              <w:spacing w:line="276" w:lineRule="auto"/>
              <w:rPr>
                <w:rFonts w:eastAsia="Calibri" w:cs="Arial"/>
                <w:sz w:val="22"/>
                <w:szCs w:val="22"/>
              </w:rPr>
            </w:pPr>
            <w:r w:rsidRPr="0080630B">
              <w:rPr>
                <w:rFonts w:eastAsia="Calibri" w:cs="Arial"/>
                <w:sz w:val="22"/>
                <w:szCs w:val="22"/>
              </w:rPr>
              <w:t>NCDNGN</w:t>
            </w:r>
          </w:p>
        </w:tc>
        <w:tc>
          <w:tcPr>
            <w:tcW w:w="980" w:type="dxa"/>
          </w:tcPr>
          <w:p w14:paraId="72671E52" w14:textId="77777777" w:rsidR="009D0D18" w:rsidRPr="0080630B" w:rsidRDefault="009D0D18" w:rsidP="00E36FE2">
            <w:pPr>
              <w:spacing w:line="276" w:lineRule="auto"/>
              <w:rPr>
                <w:rFonts w:cs="Arial"/>
                <w:sz w:val="22"/>
                <w:szCs w:val="22"/>
              </w:rPr>
            </w:pPr>
          </w:p>
        </w:tc>
        <w:tc>
          <w:tcPr>
            <w:tcW w:w="2898" w:type="dxa"/>
          </w:tcPr>
          <w:p w14:paraId="79031BE8" w14:textId="338DF45C" w:rsidR="009D0D18" w:rsidRPr="0080630B" w:rsidRDefault="002D1009" w:rsidP="00574FF5">
            <w:pPr>
              <w:tabs>
                <w:tab w:val="left" w:pos="576"/>
              </w:tabs>
              <w:spacing w:line="276" w:lineRule="auto"/>
              <w:rPr>
                <w:rFonts w:eastAsia="Calibri" w:cs="Arial"/>
                <w:sz w:val="22"/>
                <w:szCs w:val="22"/>
              </w:rPr>
            </w:pPr>
            <w:r w:rsidRPr="0080630B">
              <w:rPr>
                <w:rFonts w:eastAsia="Calibri" w:cs="Arial"/>
                <w:sz w:val="22"/>
                <w:szCs w:val="22"/>
              </w:rPr>
              <w:t xml:space="preserve">PCN DES New to Gen </w:t>
            </w:r>
            <w:proofErr w:type="spellStart"/>
            <w:r w:rsidRPr="0080630B">
              <w:rPr>
                <w:rFonts w:eastAsia="Calibri" w:cs="Arial"/>
                <w:sz w:val="22"/>
                <w:szCs w:val="22"/>
              </w:rPr>
              <w:t>Pract</w:t>
            </w:r>
            <w:proofErr w:type="spellEnd"/>
            <w:r w:rsidRPr="0080630B">
              <w:rPr>
                <w:rFonts w:eastAsia="Calibri" w:cs="Arial"/>
                <w:sz w:val="22"/>
                <w:szCs w:val="22"/>
              </w:rPr>
              <w:t xml:space="preserve"> Nurse</w:t>
            </w:r>
          </w:p>
        </w:tc>
        <w:tc>
          <w:tcPr>
            <w:tcW w:w="1418" w:type="dxa"/>
          </w:tcPr>
          <w:p w14:paraId="075297AF" w14:textId="411F661C" w:rsidR="009D0D18" w:rsidRPr="0080630B" w:rsidRDefault="00FF22FC" w:rsidP="005218CE">
            <w:pPr>
              <w:spacing w:line="276" w:lineRule="auto"/>
              <w:rPr>
                <w:rFonts w:eastAsia="Calibri" w:cs="Arial"/>
                <w:sz w:val="22"/>
                <w:szCs w:val="22"/>
              </w:rPr>
            </w:pPr>
            <w:r w:rsidRPr="0080630B">
              <w:rPr>
                <w:rFonts w:eastAsia="Calibri" w:cs="Arial"/>
                <w:sz w:val="22"/>
                <w:szCs w:val="22"/>
              </w:rPr>
              <w:t>52161475</w:t>
            </w:r>
          </w:p>
        </w:tc>
      </w:tr>
      <w:tr w:rsidR="00574FF5" w:rsidRPr="00972F97" w14:paraId="2D9F89E3" w14:textId="77777777" w:rsidTr="0035573B">
        <w:trPr>
          <w:trHeight w:val="300"/>
        </w:trPr>
        <w:tc>
          <w:tcPr>
            <w:tcW w:w="1952" w:type="dxa"/>
          </w:tcPr>
          <w:p w14:paraId="6FBC1E6C" w14:textId="77777777" w:rsidR="00574FF5" w:rsidRPr="00972F97" w:rsidRDefault="00574FF5" w:rsidP="00574FF5">
            <w:pPr>
              <w:spacing w:line="276" w:lineRule="auto"/>
              <w:rPr>
                <w:rFonts w:cs="Arial"/>
                <w:sz w:val="22"/>
                <w:szCs w:val="22"/>
                <w:highlight w:val="yellow"/>
              </w:rPr>
            </w:pPr>
          </w:p>
        </w:tc>
        <w:tc>
          <w:tcPr>
            <w:tcW w:w="1399" w:type="dxa"/>
          </w:tcPr>
          <w:p w14:paraId="1EE81703" w14:textId="109F6B68" w:rsidR="00574FF5" w:rsidRPr="0080630B" w:rsidRDefault="00574FF5" w:rsidP="00574FF5">
            <w:pPr>
              <w:spacing w:line="276" w:lineRule="auto"/>
              <w:rPr>
                <w:rFonts w:eastAsia="Calibri" w:cs="Arial"/>
                <w:sz w:val="22"/>
                <w:szCs w:val="22"/>
              </w:rPr>
            </w:pPr>
            <w:r w:rsidRPr="0080630B">
              <w:rPr>
                <w:sz w:val="22"/>
                <w:szCs w:val="22"/>
              </w:rPr>
              <w:t>NCDEGN</w:t>
            </w:r>
          </w:p>
        </w:tc>
        <w:tc>
          <w:tcPr>
            <w:tcW w:w="980" w:type="dxa"/>
            <w:vAlign w:val="center"/>
          </w:tcPr>
          <w:p w14:paraId="48C798A5" w14:textId="7F2B5857" w:rsidR="00574FF5" w:rsidRPr="0080630B" w:rsidRDefault="00574FF5" w:rsidP="00574FF5">
            <w:pPr>
              <w:spacing w:line="276" w:lineRule="auto"/>
              <w:rPr>
                <w:rFonts w:cs="Arial"/>
                <w:sz w:val="22"/>
                <w:szCs w:val="22"/>
              </w:rPr>
            </w:pPr>
          </w:p>
        </w:tc>
        <w:tc>
          <w:tcPr>
            <w:tcW w:w="2898" w:type="dxa"/>
            <w:vAlign w:val="center"/>
          </w:tcPr>
          <w:p w14:paraId="2C37C184" w14:textId="6E30809B" w:rsidR="00574FF5" w:rsidRPr="00BE1C90" w:rsidRDefault="002D1009" w:rsidP="00574FF5">
            <w:pPr>
              <w:spacing w:line="276" w:lineRule="auto"/>
              <w:rPr>
                <w:rFonts w:eastAsia="Calibri" w:cs="Arial"/>
                <w:sz w:val="22"/>
                <w:szCs w:val="22"/>
                <w:lang w:val="fr-FR"/>
              </w:rPr>
            </w:pPr>
            <w:r w:rsidRPr="00BE1C90">
              <w:rPr>
                <w:rFonts w:cs="Arial"/>
                <w:sz w:val="22"/>
                <w:szCs w:val="22"/>
                <w:lang w:val="fr-FR"/>
              </w:rPr>
              <w:t>PCN DES Exprncd GPrac Nrse</w:t>
            </w:r>
          </w:p>
        </w:tc>
        <w:tc>
          <w:tcPr>
            <w:tcW w:w="1418" w:type="dxa"/>
          </w:tcPr>
          <w:p w14:paraId="7207BB0B" w14:textId="3E309537" w:rsidR="00574FF5" w:rsidRPr="0080630B" w:rsidRDefault="00574FF5" w:rsidP="00574FF5">
            <w:pPr>
              <w:spacing w:line="276" w:lineRule="auto"/>
              <w:rPr>
                <w:rFonts w:eastAsia="Calibri" w:cs="Arial"/>
                <w:sz w:val="22"/>
                <w:szCs w:val="22"/>
              </w:rPr>
            </w:pPr>
            <w:r w:rsidRPr="0080630B">
              <w:rPr>
                <w:sz w:val="22"/>
                <w:szCs w:val="22"/>
              </w:rPr>
              <w:t>52161476</w:t>
            </w:r>
          </w:p>
        </w:tc>
      </w:tr>
      <w:tr w:rsidR="00D82C32" w:rsidRPr="00972F97" w14:paraId="4C54D46C" w14:textId="77777777" w:rsidTr="0035573B">
        <w:trPr>
          <w:trHeight w:val="300"/>
        </w:trPr>
        <w:tc>
          <w:tcPr>
            <w:tcW w:w="1952" w:type="dxa"/>
          </w:tcPr>
          <w:p w14:paraId="57E3B2E7" w14:textId="77777777" w:rsidR="00D82C32" w:rsidRPr="00972F97" w:rsidRDefault="00D82C32" w:rsidP="00D82C32">
            <w:pPr>
              <w:spacing w:line="276" w:lineRule="auto"/>
              <w:rPr>
                <w:rFonts w:cs="Arial"/>
                <w:sz w:val="22"/>
                <w:szCs w:val="22"/>
                <w:highlight w:val="yellow"/>
              </w:rPr>
            </w:pPr>
          </w:p>
        </w:tc>
        <w:tc>
          <w:tcPr>
            <w:tcW w:w="1399" w:type="dxa"/>
          </w:tcPr>
          <w:p w14:paraId="5553285A" w14:textId="4EE83239" w:rsidR="00D82C32" w:rsidRPr="0080630B" w:rsidRDefault="00D82C32" w:rsidP="00D82C32">
            <w:pPr>
              <w:spacing w:line="276" w:lineRule="auto"/>
              <w:rPr>
                <w:rFonts w:eastAsia="Calibri" w:cs="Arial"/>
                <w:sz w:val="22"/>
                <w:szCs w:val="22"/>
              </w:rPr>
            </w:pPr>
            <w:r w:rsidRPr="0080630B">
              <w:rPr>
                <w:sz w:val="22"/>
                <w:szCs w:val="22"/>
              </w:rPr>
              <w:t>NCDCNP</w:t>
            </w:r>
          </w:p>
        </w:tc>
        <w:tc>
          <w:tcPr>
            <w:tcW w:w="980" w:type="dxa"/>
            <w:vAlign w:val="center"/>
          </w:tcPr>
          <w:p w14:paraId="723FD5C4" w14:textId="3CE90E19" w:rsidR="00D82C32" w:rsidRPr="0080630B" w:rsidRDefault="00D82C32" w:rsidP="00D82C32">
            <w:pPr>
              <w:spacing w:line="276" w:lineRule="auto"/>
              <w:rPr>
                <w:rFonts w:cs="Arial"/>
                <w:sz w:val="22"/>
                <w:szCs w:val="22"/>
              </w:rPr>
            </w:pPr>
          </w:p>
        </w:tc>
        <w:tc>
          <w:tcPr>
            <w:tcW w:w="2898" w:type="dxa"/>
            <w:vAlign w:val="center"/>
          </w:tcPr>
          <w:p w14:paraId="15F8AE93" w14:textId="73424672" w:rsidR="00D82C32" w:rsidRPr="00BE1C90" w:rsidRDefault="002D1009" w:rsidP="00D82C32">
            <w:pPr>
              <w:spacing w:line="276" w:lineRule="auto"/>
              <w:rPr>
                <w:rFonts w:eastAsia="Calibri" w:cs="Arial"/>
                <w:sz w:val="22"/>
                <w:szCs w:val="22"/>
                <w:lang w:val="fr-FR"/>
              </w:rPr>
            </w:pPr>
            <w:r w:rsidRPr="00BE1C90">
              <w:rPr>
                <w:rFonts w:cs="Arial"/>
                <w:sz w:val="22"/>
                <w:szCs w:val="22"/>
                <w:lang w:val="fr-FR"/>
              </w:rPr>
              <w:t>PCN DES Consultnt Nrs PCar</w:t>
            </w:r>
          </w:p>
        </w:tc>
        <w:tc>
          <w:tcPr>
            <w:tcW w:w="1418" w:type="dxa"/>
          </w:tcPr>
          <w:p w14:paraId="004E0650" w14:textId="37D9AB46" w:rsidR="00D82C32" w:rsidRPr="0080630B" w:rsidRDefault="00D82C32" w:rsidP="00D82C32">
            <w:pPr>
              <w:spacing w:line="276" w:lineRule="auto"/>
              <w:rPr>
                <w:rFonts w:eastAsia="Calibri" w:cs="Arial"/>
                <w:sz w:val="22"/>
                <w:szCs w:val="22"/>
              </w:rPr>
            </w:pPr>
            <w:r w:rsidRPr="0080630B">
              <w:rPr>
                <w:sz w:val="22"/>
                <w:szCs w:val="22"/>
              </w:rPr>
              <w:t>52161477</w:t>
            </w:r>
          </w:p>
        </w:tc>
      </w:tr>
    </w:tbl>
    <w:p w14:paraId="44FC4B5B" w14:textId="2C576A14" w:rsidR="008F2758" w:rsidRPr="0035573B" w:rsidRDefault="008F2758" w:rsidP="0035573B">
      <w:pPr>
        <w:pStyle w:val="Heading4"/>
        <w:keepNext w:val="0"/>
        <w:tabs>
          <w:tab w:val="left" w:pos="6690"/>
        </w:tabs>
        <w:spacing w:line="276" w:lineRule="auto"/>
        <w:ind w:left="851"/>
        <w:rPr>
          <w:rFonts w:ascii="Arial" w:hAnsi="Arial"/>
          <w:b w:val="0"/>
          <w:sz w:val="24"/>
        </w:rPr>
      </w:pPr>
      <w:bookmarkStart w:id="280" w:name="_Toc150156048"/>
      <w:r w:rsidRPr="0035573B">
        <w:rPr>
          <w:sz w:val="24"/>
          <w:szCs w:val="18"/>
        </w:rPr>
        <w:t>Payment considerations</w:t>
      </w:r>
      <w:bookmarkEnd w:id="278"/>
      <w:bookmarkEnd w:id="279"/>
      <w:bookmarkEnd w:id="280"/>
    </w:p>
    <w:p w14:paraId="41F49786" w14:textId="77777777" w:rsidR="008F2758" w:rsidRPr="00BB5C7D" w:rsidRDefault="008F2758" w:rsidP="00084AFF">
      <w:pPr>
        <w:pStyle w:val="h4numbered"/>
        <w:rPr>
          <w:bCs/>
        </w:rPr>
      </w:pPr>
      <w:bookmarkStart w:id="281" w:name="_The_following_sets"/>
      <w:bookmarkStart w:id="282" w:name="_Ref35425708"/>
      <w:bookmarkEnd w:id="281"/>
      <w:r w:rsidRPr="5E3D90E4">
        <w:t>The following sets out a couple of considerations for commissioners and networks with regards to who is nominated the payee and how payments will be processed:</w:t>
      </w:r>
      <w:bookmarkEnd w:id="282"/>
    </w:p>
    <w:p w14:paraId="5ED9C605" w14:textId="48C2000C" w:rsidR="008F2758" w:rsidRPr="00BB5C7D" w:rsidRDefault="008F2758" w:rsidP="000741C5">
      <w:pPr>
        <w:pStyle w:val="Heading4"/>
        <w:keepNext w:val="0"/>
        <w:numPr>
          <w:ilvl w:val="0"/>
          <w:numId w:val="21"/>
        </w:numPr>
        <w:spacing w:line="276" w:lineRule="auto"/>
        <w:ind w:left="2268" w:hanging="567"/>
        <w:rPr>
          <w:rFonts w:ascii="Arial" w:hAnsi="Arial"/>
          <w:b w:val="0"/>
          <w:sz w:val="24"/>
        </w:rPr>
      </w:pPr>
      <w:r w:rsidRPr="00BB5C7D">
        <w:rPr>
          <w:rFonts w:ascii="Arial" w:hAnsi="Arial"/>
          <w:b w:val="0"/>
          <w:sz w:val="24"/>
        </w:rPr>
        <w:t>The nominated payee must be party to the Network Agreement (this could mean party to more than one Network Agreement if it is a GP Federation).</w:t>
      </w:r>
    </w:p>
    <w:p w14:paraId="638EA82C" w14:textId="07CF78CC" w:rsidR="008F2758" w:rsidRPr="00BB5C7D" w:rsidRDefault="008F2758" w:rsidP="000741C5">
      <w:pPr>
        <w:pStyle w:val="Heading4"/>
        <w:keepNext w:val="0"/>
        <w:numPr>
          <w:ilvl w:val="0"/>
          <w:numId w:val="21"/>
        </w:numPr>
        <w:spacing w:line="276" w:lineRule="auto"/>
        <w:ind w:left="2268" w:hanging="567"/>
        <w:rPr>
          <w:rFonts w:ascii="Arial" w:hAnsi="Arial"/>
          <w:b w:val="0"/>
          <w:color w:val="0000FF"/>
          <w:sz w:val="24"/>
          <w:u w:val="single"/>
        </w:rPr>
      </w:pPr>
      <w:r w:rsidRPr="00BB5C7D">
        <w:rPr>
          <w:rFonts w:ascii="Arial" w:hAnsi="Arial"/>
          <w:b w:val="0"/>
          <w:sz w:val="24"/>
        </w:rPr>
        <w:t xml:space="preserve">There are VAT considerations for the PCN if the APMS provider (e.g. GP Federation) charges any commission for their services in being the nominated payee. These charges would not be reimbursed by commissioners and would remain a liability for the PCN to manage. Further information on VAT is available in the </w:t>
      </w:r>
      <w:hyperlink r:id="rId18" w:history="1">
        <w:r w:rsidRPr="007C2657">
          <w:rPr>
            <w:rStyle w:val="Hyperlink"/>
            <w:rFonts w:ascii="Arial" w:hAnsi="Arial"/>
            <w:b w:val="0"/>
            <w:sz w:val="24"/>
          </w:rPr>
          <w:t>Network Contract DES and VAT Information Note</w:t>
        </w:r>
      </w:hyperlink>
      <w:r w:rsidRPr="00BB5C7D">
        <w:rPr>
          <w:rFonts w:ascii="Arial" w:hAnsi="Arial"/>
          <w:b w:val="0"/>
          <w:color w:val="0000FF"/>
          <w:sz w:val="24"/>
          <w:u w:val="single"/>
        </w:rPr>
        <w:t>.</w:t>
      </w:r>
    </w:p>
    <w:p w14:paraId="4F690AAB" w14:textId="6CD26D53" w:rsidR="00C56192" w:rsidRPr="005D4434" w:rsidRDefault="0040181B" w:rsidP="00084AFF">
      <w:pPr>
        <w:pStyle w:val="h2numbered"/>
      </w:pPr>
      <w:r>
        <w:tab/>
      </w:r>
      <w:bookmarkStart w:id="283" w:name="_Toc223511165"/>
      <w:bookmarkStart w:id="284" w:name="_Toc223511444"/>
      <w:r w:rsidR="00C56192" w:rsidRPr="005D4434">
        <w:t>Investment and Impact Fund</w:t>
      </w:r>
      <w:bookmarkEnd w:id="283"/>
      <w:bookmarkEnd w:id="284"/>
    </w:p>
    <w:p w14:paraId="0BCB1479" w14:textId="57E253BD" w:rsidR="00C56192" w:rsidRDefault="00985F72" w:rsidP="00084AFF">
      <w:pPr>
        <w:pStyle w:val="h3numbered"/>
      </w:pPr>
      <w:bookmarkStart w:id="285" w:name="_Toc223511166"/>
      <w:bookmarkStart w:id="286" w:name="_Toc223511445"/>
      <w:r>
        <w:t>Introduction</w:t>
      </w:r>
      <w:bookmarkEnd w:id="285"/>
      <w:bookmarkEnd w:id="286"/>
    </w:p>
    <w:p w14:paraId="08DD0AFA" w14:textId="749BE402" w:rsidR="00C56192" w:rsidRPr="0080630B" w:rsidRDefault="00C56192" w:rsidP="00084AFF">
      <w:pPr>
        <w:pStyle w:val="h4numbered"/>
        <w:rPr>
          <w:b/>
        </w:rPr>
      </w:pPr>
      <w:r w:rsidRPr="00850388">
        <w:t xml:space="preserve">The Investment and Impact Fund (IIF) forms part of the Network Contract Directed Enhanced Service (DES). It supports primary care networks (PCNs) to deliver high quality care to their population, as well as supporting the delivery of priority objectives articulated in the </w:t>
      </w:r>
      <w:r w:rsidRPr="0040253E">
        <w:t>NHS Long Term Plan</w:t>
      </w:r>
      <w:r w:rsidRPr="00850388">
        <w:t xml:space="preserve"> and in Investment and Evolution; </w:t>
      </w:r>
      <w:r w:rsidRPr="00850388">
        <w:rPr>
          <w:iCs/>
        </w:rPr>
        <w:t xml:space="preserve">a five-year </w:t>
      </w:r>
      <w:r w:rsidRPr="0080630B">
        <w:rPr>
          <w:iCs/>
        </w:rPr>
        <w:t>GP contract framework to implement the NHS Long Term Plan</w:t>
      </w:r>
      <w:r w:rsidRPr="0080630B">
        <w:t>.</w:t>
      </w:r>
    </w:p>
    <w:p w14:paraId="08EFA322" w14:textId="7363FA9B" w:rsidR="00C56192" w:rsidRPr="0080630B" w:rsidRDefault="00C56192" w:rsidP="00084AFF">
      <w:pPr>
        <w:pStyle w:val="h4numbered"/>
        <w:rPr>
          <w:b/>
        </w:rPr>
      </w:pPr>
      <w:r w:rsidRPr="0080630B">
        <w:t>The IIF for 202</w:t>
      </w:r>
      <w:r w:rsidR="008A217E" w:rsidRPr="002F1B9A">
        <w:rPr>
          <w:highlight w:val="yellow"/>
        </w:rPr>
        <w:t>6</w:t>
      </w:r>
      <w:r w:rsidRPr="0080630B">
        <w:t>/2</w:t>
      </w:r>
      <w:r w:rsidR="008A217E" w:rsidRPr="002F1B9A">
        <w:rPr>
          <w:highlight w:val="yellow"/>
        </w:rPr>
        <w:t>7</w:t>
      </w:r>
      <w:r w:rsidRPr="0080630B">
        <w:t xml:space="preserve"> has been redesigned to focus on </w:t>
      </w:r>
      <w:r w:rsidR="006A51F2" w:rsidRPr="0080630B">
        <w:t>two</w:t>
      </w:r>
      <w:r w:rsidRPr="0080630B">
        <w:t xml:space="preserve"> national clinical priorities, while at the same time providing general practice and PCNs with the time, funding, and flexibility to ensure patients can access good and timely care. </w:t>
      </w:r>
    </w:p>
    <w:p w14:paraId="202F5D1B" w14:textId="7B4FAAA4" w:rsidR="00C56192" w:rsidRPr="0080630B" w:rsidRDefault="00C56192" w:rsidP="00084AFF">
      <w:pPr>
        <w:pStyle w:val="h4numbered"/>
        <w:rPr>
          <w:b/>
        </w:rPr>
      </w:pPr>
      <w:r w:rsidRPr="0080630B">
        <w:lastRenderedPageBreak/>
        <w:t>The IIF for 202</w:t>
      </w:r>
      <w:r w:rsidR="004B6076" w:rsidRPr="002F1B9A">
        <w:rPr>
          <w:highlight w:val="yellow"/>
        </w:rPr>
        <w:t>6</w:t>
      </w:r>
      <w:r w:rsidRPr="0080630B">
        <w:t>/2</w:t>
      </w:r>
      <w:r w:rsidR="004B6076" w:rsidRPr="002F1B9A">
        <w:rPr>
          <w:highlight w:val="yellow"/>
        </w:rPr>
        <w:t>7</w:t>
      </w:r>
      <w:r w:rsidRPr="0080630B">
        <w:t xml:space="preserve"> contains two indicators worth</w:t>
      </w:r>
      <w:r w:rsidR="002A424F" w:rsidRPr="0080630B">
        <w:t xml:space="preserve"> up to a maximum</w:t>
      </w:r>
      <w:r w:rsidRPr="0080630B">
        <w:t xml:space="preserve"> £13 million. </w:t>
      </w:r>
    </w:p>
    <w:p w14:paraId="0E209605" w14:textId="1B678EC1" w:rsidR="00C56192" w:rsidRPr="005D4434" w:rsidRDefault="00C56192" w:rsidP="00084AFF">
      <w:pPr>
        <w:pStyle w:val="h4numbered"/>
        <w:rPr>
          <w:b/>
        </w:rPr>
      </w:pPr>
      <w:r w:rsidRPr="0080630B">
        <w:t xml:space="preserve">This document provides guidance on the IIF Indicators for </w:t>
      </w:r>
      <w:r w:rsidR="00384011">
        <w:t>202</w:t>
      </w:r>
      <w:r w:rsidR="00384011" w:rsidRPr="002F1B9A">
        <w:rPr>
          <w:highlight w:val="yellow"/>
        </w:rPr>
        <w:t>6</w:t>
      </w:r>
      <w:r w:rsidR="00384011">
        <w:t>/2</w:t>
      </w:r>
      <w:r w:rsidR="00384011" w:rsidRPr="002F1B9A">
        <w:rPr>
          <w:highlight w:val="yellow"/>
        </w:rPr>
        <w:t>7</w:t>
      </w:r>
      <w:r w:rsidRPr="0080630B">
        <w:t xml:space="preserve">. Information on how performance and achievement will be calculated is included, and should be read alongside the relevant sections of the </w:t>
      </w:r>
      <w:r w:rsidR="00384011">
        <w:t>202</w:t>
      </w:r>
      <w:r w:rsidR="00384011" w:rsidRPr="002F1B9A">
        <w:rPr>
          <w:highlight w:val="yellow"/>
        </w:rPr>
        <w:t>6</w:t>
      </w:r>
      <w:r w:rsidR="00384011">
        <w:t>/2</w:t>
      </w:r>
      <w:r w:rsidR="00384011" w:rsidRPr="002F1B9A">
        <w:rPr>
          <w:highlight w:val="yellow"/>
        </w:rPr>
        <w:t>7</w:t>
      </w:r>
      <w:r w:rsidRPr="0080630B">
        <w:t xml:space="preserve"> Network Contract DES specification (Sections 10.6 and Annexes C and D). For indicators sourced from the GP Extraction Service (GPES), the business rules provide</w:t>
      </w:r>
      <w:r w:rsidRPr="005D4434">
        <w:t xml:space="preserve"> full details of how the indicators are constructed from information in GP systems. For Indicators that are not sourced from GPES, more technical details are provided (or links provided for) in this guidance. In addition, CQRS guidance provides details on the submission and reporting of data for all indicators.</w:t>
      </w:r>
    </w:p>
    <w:p w14:paraId="3B0B9F57" w14:textId="77777777" w:rsidR="00C56192" w:rsidRPr="005D4434" w:rsidRDefault="00C56192" w:rsidP="00084AFF">
      <w:pPr>
        <w:pStyle w:val="h3numbered"/>
      </w:pPr>
      <w:bookmarkStart w:id="287" w:name="_Toc223511167"/>
      <w:bookmarkStart w:id="288" w:name="_Toc223511446"/>
      <w:r w:rsidRPr="005D4434">
        <w:t>Structure of the IIF</w:t>
      </w:r>
      <w:bookmarkEnd w:id="287"/>
      <w:bookmarkEnd w:id="288"/>
    </w:p>
    <w:p w14:paraId="47ECAC4A" w14:textId="3999751E" w:rsidR="00C56192" w:rsidRPr="0080630B" w:rsidRDefault="00C56192" w:rsidP="00084AFF">
      <w:pPr>
        <w:pStyle w:val="h4numbered"/>
      </w:pPr>
      <w:r w:rsidRPr="0080630B">
        <w:t xml:space="preserve">This section introduces the key elements regarding the IIF in </w:t>
      </w:r>
      <w:r w:rsidR="00384011">
        <w:t>202</w:t>
      </w:r>
      <w:r w:rsidR="00384011" w:rsidRPr="00F7414D">
        <w:rPr>
          <w:highlight w:val="yellow"/>
        </w:rPr>
        <w:t>6</w:t>
      </w:r>
      <w:r w:rsidR="00384011">
        <w:t>/2</w:t>
      </w:r>
      <w:r w:rsidR="00384011" w:rsidRPr="00F7414D">
        <w:rPr>
          <w:highlight w:val="yellow"/>
        </w:rPr>
        <w:t>7</w:t>
      </w:r>
      <w:r w:rsidRPr="0080630B">
        <w:t>:</w:t>
      </w:r>
    </w:p>
    <w:p w14:paraId="5D9A6AFF" w14:textId="77777777" w:rsidR="00C56192" w:rsidRPr="0080630B" w:rsidRDefault="00C56192" w:rsidP="0040181B">
      <w:pPr>
        <w:pStyle w:val="BulletIndent2"/>
        <w:spacing w:line="276" w:lineRule="auto"/>
        <w:ind w:left="2127" w:hanging="357"/>
        <w:rPr>
          <w:rFonts w:ascii="Arial" w:hAnsi="Arial"/>
        </w:rPr>
      </w:pPr>
      <w:r w:rsidRPr="0080630B">
        <w:rPr>
          <w:rFonts w:ascii="Arial" w:hAnsi="Arial"/>
        </w:rPr>
        <w:t>Domains, areas, and indicators</w:t>
      </w:r>
    </w:p>
    <w:p w14:paraId="0807A9DB" w14:textId="77777777" w:rsidR="00C56192" w:rsidRPr="0080630B" w:rsidRDefault="00C56192" w:rsidP="0040181B">
      <w:pPr>
        <w:pStyle w:val="BulletIndent2"/>
        <w:spacing w:line="276" w:lineRule="auto"/>
        <w:ind w:left="2127"/>
        <w:rPr>
          <w:rFonts w:ascii="Arial" w:hAnsi="Arial"/>
        </w:rPr>
      </w:pPr>
      <w:r w:rsidRPr="0080630B">
        <w:rPr>
          <w:rFonts w:ascii="Arial" w:hAnsi="Arial"/>
        </w:rPr>
        <w:t>Indicator structure, performance, exclusions and exceptions (personalised care adjustments)</w:t>
      </w:r>
    </w:p>
    <w:p w14:paraId="290BFBA5" w14:textId="77777777" w:rsidR="00C56192" w:rsidRPr="0080630B" w:rsidRDefault="00C56192" w:rsidP="0040181B">
      <w:pPr>
        <w:pStyle w:val="BulletIndent2"/>
        <w:spacing w:line="276" w:lineRule="auto"/>
        <w:ind w:left="2127"/>
        <w:rPr>
          <w:rFonts w:ascii="Arial" w:hAnsi="Arial"/>
        </w:rPr>
      </w:pPr>
      <w:r w:rsidRPr="0080630B">
        <w:rPr>
          <w:rFonts w:ascii="Arial" w:hAnsi="Arial"/>
        </w:rPr>
        <w:t>Achievement points</w:t>
      </w:r>
    </w:p>
    <w:p w14:paraId="4BC1AE8D" w14:textId="77777777" w:rsidR="00C56192" w:rsidRPr="0080630B" w:rsidRDefault="00C56192" w:rsidP="0040181B">
      <w:pPr>
        <w:pStyle w:val="BulletIndent2"/>
        <w:spacing w:line="276" w:lineRule="auto"/>
        <w:ind w:left="2127"/>
        <w:rPr>
          <w:rFonts w:ascii="Arial" w:hAnsi="Arial"/>
        </w:rPr>
      </w:pPr>
      <w:r w:rsidRPr="0080630B">
        <w:rPr>
          <w:rFonts w:ascii="Arial" w:hAnsi="Arial"/>
        </w:rPr>
        <w:t>Achievement payments, prevalence adjustment and list size adjustment</w:t>
      </w:r>
    </w:p>
    <w:p w14:paraId="6052273F" w14:textId="77777777" w:rsidR="00C56192" w:rsidRPr="0080630B" w:rsidRDefault="00C56192" w:rsidP="0040181B">
      <w:pPr>
        <w:pStyle w:val="BulletIndent2"/>
        <w:spacing w:line="276" w:lineRule="auto"/>
        <w:ind w:left="2127"/>
        <w:rPr>
          <w:rFonts w:ascii="Arial" w:hAnsi="Arial"/>
        </w:rPr>
      </w:pPr>
      <w:r w:rsidRPr="0080630B">
        <w:rPr>
          <w:rFonts w:ascii="Arial" w:hAnsi="Arial"/>
        </w:rPr>
        <w:t>Monitoring IIF performance</w:t>
      </w:r>
    </w:p>
    <w:p w14:paraId="4AB8756D" w14:textId="655A41EC" w:rsidR="00C56192" w:rsidRPr="00146E6C" w:rsidRDefault="006D44D8" w:rsidP="00084AFF">
      <w:pPr>
        <w:pStyle w:val="h3numbered"/>
        <w:rPr>
          <w:b/>
          <w:bCs/>
        </w:rPr>
      </w:pPr>
      <w:bookmarkStart w:id="289" w:name="_Toc127799999"/>
      <w:bookmarkStart w:id="290" w:name="_Toc129606191"/>
      <w:bookmarkStart w:id="291" w:name="_Toc223511168"/>
      <w:bookmarkStart w:id="292" w:name="_Toc223511447"/>
      <w:r>
        <w:t>I</w:t>
      </w:r>
      <w:r w:rsidR="00C56192">
        <w:t>ndicators</w:t>
      </w:r>
      <w:bookmarkEnd w:id="289"/>
      <w:bookmarkEnd w:id="290"/>
      <w:bookmarkEnd w:id="291"/>
      <w:bookmarkEnd w:id="292"/>
    </w:p>
    <w:p w14:paraId="6E3FA659" w14:textId="1CE13958" w:rsidR="00C56192" w:rsidRPr="0080630B" w:rsidRDefault="00010761" w:rsidP="00084AFF">
      <w:pPr>
        <w:pStyle w:val="h4numbered"/>
        <w:rPr>
          <w:b/>
          <w:color w:val="231F20"/>
        </w:rPr>
      </w:pPr>
      <w:r w:rsidRPr="0080630B">
        <w:t xml:space="preserve">There are two indicators in the </w:t>
      </w:r>
      <w:r w:rsidR="00384011">
        <w:t>202</w:t>
      </w:r>
      <w:r w:rsidR="00384011" w:rsidRPr="00F7414D">
        <w:rPr>
          <w:highlight w:val="yellow"/>
        </w:rPr>
        <w:t>6</w:t>
      </w:r>
      <w:r w:rsidR="00384011">
        <w:t>/2</w:t>
      </w:r>
      <w:r w:rsidR="00384011" w:rsidRPr="00F7414D">
        <w:rPr>
          <w:highlight w:val="yellow"/>
        </w:rPr>
        <w:t>7</w:t>
      </w:r>
      <w:r w:rsidRPr="0080630B">
        <w:t xml:space="preserve"> IIF. They </w:t>
      </w:r>
      <w:r w:rsidR="00C56192" w:rsidRPr="0080630B">
        <w:t>are set out in the summary table below, along with respective start dates for each indicator.</w:t>
      </w:r>
    </w:p>
    <w:p w14:paraId="1ADD976D" w14:textId="22C38378" w:rsidR="00C56192" w:rsidRPr="00146E6C" w:rsidRDefault="00384011" w:rsidP="0040181B">
      <w:pPr>
        <w:pStyle w:val="Heading5"/>
        <w:keepNext w:val="0"/>
        <w:keepLines w:val="0"/>
        <w:spacing w:line="276" w:lineRule="auto"/>
        <w:ind w:left="851"/>
        <w:rPr>
          <w:rFonts w:hint="eastAsia"/>
        </w:rPr>
      </w:pPr>
      <w:bookmarkStart w:id="293" w:name="_Toc129606192"/>
      <w:bookmarkStart w:id="294" w:name="_Toc127800000"/>
      <w:r>
        <w:rPr>
          <w:rFonts w:hint="eastAsia"/>
        </w:rPr>
        <w:t>2026/27</w:t>
      </w:r>
      <w:r w:rsidR="00C56192" w:rsidRPr="0080630B">
        <w:t xml:space="preserve"> indicators</w:t>
      </w:r>
      <w:bookmarkEnd w:id="293"/>
      <w:bookmarkEnd w:id="294"/>
    </w:p>
    <w:tbl>
      <w:tblPr>
        <w:tblStyle w:val="NHSTable"/>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5392"/>
      </w:tblGrid>
      <w:tr w:rsidR="00A067AE" w:rsidRPr="00146E6C" w14:paraId="622787F8" w14:textId="77777777" w:rsidTr="0040181B">
        <w:trPr>
          <w:cnfStyle w:val="100000000000" w:firstRow="1" w:lastRow="0" w:firstColumn="0" w:lastColumn="0" w:oddVBand="0" w:evenVBand="0" w:oddHBand="0" w:evenHBand="0" w:firstRowFirstColumn="0" w:firstRowLastColumn="0" w:lastRowFirstColumn="0" w:lastRowLastColumn="0"/>
          <w:trHeight w:val="265"/>
          <w:tblHeader/>
        </w:trPr>
        <w:tc>
          <w:tcPr>
            <w:tcW w:w="3680" w:type="dxa"/>
            <w:tcBorders>
              <w:top w:val="single" w:sz="4" w:space="0" w:color="auto"/>
              <w:left w:val="single" w:sz="4" w:space="0" w:color="auto"/>
              <w:bottom w:val="single" w:sz="4" w:space="0" w:color="auto"/>
              <w:right w:val="single" w:sz="4" w:space="0" w:color="auto"/>
            </w:tcBorders>
          </w:tcPr>
          <w:p w14:paraId="1D687E94" w14:textId="77777777" w:rsidR="000C1B26" w:rsidRPr="00146E6C" w:rsidRDefault="000C1B26" w:rsidP="00E36FE2">
            <w:pPr>
              <w:spacing w:before="60" w:after="60" w:line="276" w:lineRule="auto"/>
              <w:rPr>
                <w:rFonts w:eastAsia="Arial" w:cs="Arial"/>
                <w:b/>
                <w:bCs/>
                <w:color w:val="FFFFFF"/>
              </w:rPr>
            </w:pPr>
            <w:r w:rsidRPr="00146E6C">
              <w:rPr>
                <w:rFonts w:eastAsia="Arial" w:cs="Arial"/>
                <w:b/>
                <w:bCs/>
                <w:color w:val="FFFFFF"/>
              </w:rPr>
              <w:t>Area</w:t>
            </w:r>
          </w:p>
        </w:tc>
        <w:tc>
          <w:tcPr>
            <w:tcW w:w="5392" w:type="dxa"/>
            <w:tcBorders>
              <w:top w:val="single" w:sz="4" w:space="0" w:color="auto"/>
              <w:left w:val="single" w:sz="4" w:space="0" w:color="auto"/>
              <w:bottom w:val="single" w:sz="4" w:space="0" w:color="auto"/>
              <w:right w:val="single" w:sz="4" w:space="0" w:color="auto"/>
            </w:tcBorders>
          </w:tcPr>
          <w:p w14:paraId="4CCCA6CB" w14:textId="77777777" w:rsidR="000C1B26" w:rsidRPr="00146E6C" w:rsidRDefault="000C1B26" w:rsidP="00E36FE2">
            <w:pPr>
              <w:spacing w:before="60" w:after="60" w:line="276" w:lineRule="auto"/>
              <w:rPr>
                <w:rFonts w:eastAsia="Arial" w:cs="Arial"/>
                <w:b/>
                <w:bCs/>
                <w:color w:val="FFFFFF"/>
              </w:rPr>
            </w:pPr>
            <w:r w:rsidRPr="00146E6C">
              <w:rPr>
                <w:rFonts w:eastAsia="Arial" w:cs="Arial"/>
                <w:b/>
                <w:bCs/>
                <w:color w:val="FFFFFF"/>
              </w:rPr>
              <w:t>Indicators</w:t>
            </w:r>
          </w:p>
        </w:tc>
      </w:tr>
      <w:tr w:rsidR="005247A0" w:rsidRPr="00146E6C" w14:paraId="459CC40C" w14:textId="77777777" w:rsidTr="0040181B">
        <w:trPr>
          <w:cnfStyle w:val="000000100000" w:firstRow="0" w:lastRow="0" w:firstColumn="0" w:lastColumn="0" w:oddVBand="0" w:evenVBand="0" w:oddHBand="1" w:evenHBand="0" w:firstRowFirstColumn="0" w:firstRowLastColumn="0" w:lastRowFirstColumn="0" w:lastRowLastColumn="0"/>
          <w:trHeight w:val="1500"/>
        </w:trPr>
        <w:tc>
          <w:tcPr>
            <w:tcW w:w="3680" w:type="dxa"/>
            <w:tcBorders>
              <w:top w:val="single" w:sz="4" w:space="0" w:color="auto"/>
              <w:left w:val="single" w:sz="4" w:space="0" w:color="auto"/>
              <w:bottom w:val="single" w:sz="4" w:space="0" w:color="auto"/>
              <w:right w:val="single" w:sz="4" w:space="0" w:color="auto"/>
            </w:tcBorders>
            <w:shd w:val="clear" w:color="auto" w:fill="auto"/>
          </w:tcPr>
          <w:p w14:paraId="559308A6" w14:textId="77777777" w:rsidR="000C1B26" w:rsidRPr="00146E6C" w:rsidRDefault="000C1B26" w:rsidP="00E36FE2">
            <w:pPr>
              <w:spacing w:before="60" w:after="60" w:line="276" w:lineRule="auto"/>
              <w:rPr>
                <w:rFonts w:eastAsia="Arial" w:cs="Arial"/>
                <w:bCs/>
              </w:rPr>
            </w:pPr>
            <w:r w:rsidRPr="00146E6C">
              <w:rPr>
                <w:rFonts w:eastAsia="Arial" w:cs="Arial"/>
                <w:bCs/>
              </w:rPr>
              <w:t>Tackling health inequalities</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04BF9AA8" w14:textId="076C4505" w:rsidR="000C1B26" w:rsidRPr="009A145F" w:rsidRDefault="000C1B26" w:rsidP="00E36FE2">
            <w:pPr>
              <w:spacing w:before="60" w:after="60" w:line="276" w:lineRule="auto"/>
              <w:rPr>
                <w:rFonts w:eastAsia="Arial" w:cs="Arial"/>
                <w:lang w:val="en-GB" w:eastAsia="en-GB"/>
              </w:rPr>
            </w:pPr>
            <w:r w:rsidRPr="00146E6C">
              <w:rPr>
                <w:rFonts w:eastAsia="Arial" w:cs="Arial"/>
                <w:b/>
                <w:bCs/>
                <w:lang w:eastAsia="en-GB"/>
              </w:rPr>
              <w:t xml:space="preserve">HI03: </w:t>
            </w:r>
            <w:r w:rsidRPr="00146E6C">
              <w:rPr>
                <w:rFonts w:eastAsia="Arial" w:cs="Arial"/>
                <w:lang w:eastAsia="en-GB"/>
              </w:rPr>
              <w:t>Percentage of patients on the Learning Disability register</w:t>
            </w:r>
            <w:r w:rsidR="00A6478E">
              <w:rPr>
                <w:rFonts w:eastAsia="Arial" w:cs="Arial"/>
                <w:lang w:eastAsia="en-GB"/>
              </w:rPr>
              <w:t xml:space="preserve"> (as defined in the SFE)</w:t>
            </w:r>
            <w:r w:rsidRPr="00146E6C">
              <w:rPr>
                <w:rFonts w:eastAsia="Arial" w:cs="Arial"/>
                <w:lang w:eastAsia="en-GB"/>
              </w:rPr>
              <w:t xml:space="preserve"> aged 14 or over, who received an annual Learning Disability Health Check and have a completed Health Action Plan </w:t>
            </w:r>
            <w:r w:rsidRPr="00146E6C">
              <w:rPr>
                <w:rFonts w:eastAsia="Times New Roman" w:cs="Arial"/>
                <w:lang w:eastAsia="en-GB"/>
              </w:rPr>
              <w:t>in addition to a recording of ethnicity</w:t>
            </w:r>
            <w:r w:rsidR="009A145F">
              <w:rPr>
                <w:rFonts w:eastAsia="Times New Roman" w:cs="Arial"/>
                <w:lang w:val="en-GB" w:eastAsia="en-GB"/>
              </w:rPr>
              <w:t>.</w:t>
            </w:r>
          </w:p>
        </w:tc>
      </w:tr>
      <w:tr w:rsidR="005247A0" w:rsidRPr="00146E6C" w14:paraId="55EE0995" w14:textId="77777777" w:rsidTr="0040181B">
        <w:trPr>
          <w:trHeight w:val="1500"/>
        </w:trPr>
        <w:tc>
          <w:tcPr>
            <w:tcW w:w="3680" w:type="dxa"/>
            <w:tcBorders>
              <w:top w:val="single" w:sz="4" w:space="0" w:color="auto"/>
            </w:tcBorders>
          </w:tcPr>
          <w:p w14:paraId="4AF9FD07" w14:textId="46DC57C3" w:rsidR="000C1B26" w:rsidRPr="0053017A" w:rsidRDefault="000C1B26" w:rsidP="00E36FE2">
            <w:pPr>
              <w:spacing w:before="60" w:after="60" w:line="276" w:lineRule="auto"/>
              <w:rPr>
                <w:rFonts w:eastAsia="Arial" w:cs="Arial"/>
                <w:bCs/>
              </w:rPr>
            </w:pPr>
            <w:r w:rsidRPr="0053017A">
              <w:rPr>
                <w:rFonts w:eastAsia="Arial" w:cs="Arial"/>
              </w:rPr>
              <w:t>Cancer</w:t>
            </w:r>
          </w:p>
        </w:tc>
        <w:tc>
          <w:tcPr>
            <w:tcW w:w="5392" w:type="dxa"/>
            <w:tcBorders>
              <w:top w:val="single" w:sz="4" w:space="0" w:color="auto"/>
            </w:tcBorders>
          </w:tcPr>
          <w:p w14:paraId="736CDEAA" w14:textId="1A8CF61C" w:rsidR="000C1B26" w:rsidRPr="0053017A" w:rsidRDefault="000C1B26" w:rsidP="00E36FE2">
            <w:pPr>
              <w:spacing w:before="60" w:after="60" w:line="276" w:lineRule="auto"/>
              <w:rPr>
                <w:rFonts w:eastAsia="Arial" w:cs="Arial"/>
                <w:b/>
                <w:bCs/>
                <w:lang w:val="en-GB" w:eastAsia="en-GB"/>
              </w:rPr>
            </w:pPr>
            <w:r w:rsidRPr="002A424F">
              <w:rPr>
                <w:rFonts w:eastAsia="Arial" w:cs="Arial"/>
                <w:b/>
                <w:bCs/>
                <w:lang w:eastAsia="en-GB"/>
              </w:rPr>
              <w:t>CAN</w:t>
            </w:r>
            <w:r w:rsidRPr="009E4CB6">
              <w:rPr>
                <w:rFonts w:eastAsia="Arial" w:cs="Arial"/>
                <w:b/>
                <w:bCs/>
                <w:lang w:eastAsia="en-GB"/>
              </w:rPr>
              <w:t>0</w:t>
            </w:r>
            <w:r w:rsidR="00EF4CBC" w:rsidRPr="009E4CB6">
              <w:rPr>
                <w:rFonts w:eastAsia="Arial" w:cs="Arial"/>
                <w:b/>
                <w:bCs/>
                <w:lang w:eastAsia="en-GB"/>
              </w:rPr>
              <w:t>4</w:t>
            </w:r>
            <w:r w:rsidRPr="002A424F">
              <w:rPr>
                <w:rFonts w:eastAsia="Arial" w:cs="Arial"/>
                <w:b/>
                <w:bCs/>
                <w:lang w:eastAsia="en-GB"/>
              </w:rPr>
              <w:t xml:space="preserve">: </w:t>
            </w:r>
            <w:r w:rsidR="00260DE0" w:rsidRPr="009E4CB6">
              <w:rPr>
                <w:rFonts w:eastAsia="Arial" w:cs="Arial"/>
                <w:lang w:eastAsia="en-GB"/>
              </w:rPr>
              <w:t xml:space="preserve">The proportion of patients who have had a lower gastrointestinal urgent suspected cancer referral in the reporting year where at least one urgent suspected cancer referral was accompanied by a faecal immunochemical test </w:t>
            </w:r>
            <w:r w:rsidR="00260DE0" w:rsidRPr="009E4CB6">
              <w:rPr>
                <w:rFonts w:eastAsia="Arial" w:cs="Arial"/>
                <w:lang w:eastAsia="en-GB"/>
              </w:rPr>
              <w:lastRenderedPageBreak/>
              <w:t>result, with the result recorded in the 21 days leading up to the referral</w:t>
            </w:r>
            <w:r w:rsidR="00260DE0" w:rsidRPr="002A424F">
              <w:rPr>
                <w:rFonts w:eastAsia="Arial" w:cs="Arial"/>
                <w:lang w:eastAsia="en-GB"/>
              </w:rPr>
              <w:t>.</w:t>
            </w:r>
          </w:p>
        </w:tc>
      </w:tr>
    </w:tbl>
    <w:p w14:paraId="2A19CFDC" w14:textId="77777777" w:rsidR="00C56192" w:rsidRPr="00146E6C" w:rsidRDefault="00C56192" w:rsidP="00E36FE2">
      <w:pPr>
        <w:spacing w:line="276" w:lineRule="auto"/>
        <w:rPr>
          <w:sz w:val="2"/>
          <w:szCs w:val="2"/>
        </w:rPr>
      </w:pPr>
    </w:p>
    <w:p w14:paraId="009E73F8" w14:textId="77777777" w:rsidR="00C56192" w:rsidRPr="00146E6C" w:rsidRDefault="00C56192" w:rsidP="00084AFF">
      <w:pPr>
        <w:pStyle w:val="h3numbered"/>
      </w:pPr>
      <w:bookmarkStart w:id="295" w:name="_Toc127800001"/>
      <w:bookmarkStart w:id="296" w:name="_Toc223511169"/>
      <w:bookmarkStart w:id="297" w:name="_Toc223511448"/>
      <w:r w:rsidRPr="00146E6C">
        <w:t>Indicator structure and performance calculation</w:t>
      </w:r>
      <w:bookmarkEnd w:id="295"/>
      <w:bookmarkEnd w:id="296"/>
      <w:bookmarkEnd w:id="297"/>
    </w:p>
    <w:p w14:paraId="59D3B26E" w14:textId="2E85F0C2" w:rsidR="00C56192" w:rsidRPr="0080630B" w:rsidRDefault="0082060B" w:rsidP="00084AFF">
      <w:pPr>
        <w:pStyle w:val="h4numbered"/>
        <w:rPr>
          <w:b/>
        </w:rPr>
      </w:pPr>
      <w:r w:rsidRPr="0053017A">
        <w:t>Both</w:t>
      </w:r>
      <w:r w:rsidR="00C56192" w:rsidRPr="0053017A">
        <w:t xml:space="preserve"> </w:t>
      </w:r>
      <w:r w:rsidR="00C56192" w:rsidRPr="0080630B">
        <w:t xml:space="preserve">indicators in </w:t>
      </w:r>
      <w:r w:rsidR="00384011">
        <w:t>202</w:t>
      </w:r>
      <w:r w:rsidR="00384011" w:rsidRPr="00F7414D">
        <w:rPr>
          <w:highlight w:val="yellow"/>
        </w:rPr>
        <w:t>6</w:t>
      </w:r>
      <w:r w:rsidR="00384011">
        <w:t>/2</w:t>
      </w:r>
      <w:r w:rsidR="00384011" w:rsidRPr="00F7414D">
        <w:rPr>
          <w:highlight w:val="yellow"/>
        </w:rPr>
        <w:t>7</w:t>
      </w:r>
      <w:r w:rsidR="00C56192" w:rsidRPr="0080630B">
        <w:t xml:space="preserve"> IIF can be classed as ‘standard quantitative’ and are constructed from the ratio of a numerator and denominator. This represents the indicator performance (Performance X = Numerator (N)/Denominator (D)). </w:t>
      </w:r>
    </w:p>
    <w:p w14:paraId="29710ECA" w14:textId="506E918B" w:rsidR="00C56192" w:rsidRPr="0080630B" w:rsidRDefault="008B6651" w:rsidP="00084AFF">
      <w:pPr>
        <w:pStyle w:val="h4numbered"/>
        <w:rPr>
          <w:b/>
        </w:rPr>
      </w:pPr>
      <w:r w:rsidRPr="0080630B">
        <w:t>For both</w:t>
      </w:r>
      <w:r w:rsidR="001F73A9" w:rsidRPr="0080630B">
        <w:t xml:space="preserve"> indicators a higher indicator value means better performance. </w:t>
      </w:r>
    </w:p>
    <w:p w14:paraId="71511EBE" w14:textId="2BA33C0A" w:rsidR="00C56192" w:rsidRPr="0080630B" w:rsidRDefault="00C56192" w:rsidP="00084AFF">
      <w:pPr>
        <w:pStyle w:val="h4numbered"/>
        <w:rPr>
          <w:b/>
        </w:rPr>
      </w:pPr>
      <w:r w:rsidRPr="0080630B">
        <w:t xml:space="preserve">The denominator of each indicator is the target cohort for the intervention in question. In </w:t>
      </w:r>
      <w:r w:rsidR="00384011">
        <w:t>202</w:t>
      </w:r>
      <w:r w:rsidR="00384011" w:rsidRPr="00F7414D">
        <w:rPr>
          <w:highlight w:val="yellow"/>
        </w:rPr>
        <w:t>6</w:t>
      </w:r>
      <w:r w:rsidR="00384011">
        <w:t>/2</w:t>
      </w:r>
      <w:r w:rsidR="00384011" w:rsidRPr="00F7414D">
        <w:rPr>
          <w:highlight w:val="yellow"/>
        </w:rPr>
        <w:t>7</w:t>
      </w:r>
      <w:r w:rsidRPr="0080630B">
        <w:t xml:space="preserve"> IIF, the target cohort for all indicators is a count of eligible patients or interventions (e.g. medications) delivered to a set of eligible patients. For example, for indicator HI03 the target cohort is people on the Learning Disability Register aged 14 and over</w:t>
      </w:r>
      <w:r w:rsidR="003A737A" w:rsidRPr="0080630B">
        <w:t>, as defined in the SFE</w:t>
      </w:r>
      <w:r w:rsidRPr="0080630B">
        <w:t>.</w:t>
      </w:r>
    </w:p>
    <w:p w14:paraId="5015442D" w14:textId="77777777" w:rsidR="00C56192" w:rsidRPr="00146E6C" w:rsidRDefault="00C56192" w:rsidP="00084AFF">
      <w:pPr>
        <w:pStyle w:val="h3numbered"/>
        <w:rPr>
          <w:rStyle w:val="Heading2Char"/>
          <w:rFonts w:eastAsia="MS Mincho" w:hint="eastAsia"/>
          <w:b w:val="0"/>
        </w:rPr>
      </w:pPr>
      <w:bookmarkStart w:id="298" w:name="_Toc127800002"/>
      <w:bookmarkStart w:id="299" w:name="_Toc129606194"/>
      <w:bookmarkStart w:id="300" w:name="_Toc223511170"/>
      <w:bookmarkStart w:id="301" w:name="_Toc223511449"/>
      <w:r w:rsidRPr="00146E6C">
        <w:t xml:space="preserve">Exclusions and Exceptions (Personalised Care </w:t>
      </w:r>
      <w:r w:rsidRPr="00CC7033">
        <w:rPr>
          <w:rStyle w:val="Heading2Char"/>
          <w:rFonts w:asciiTheme="majorHAnsi" w:hAnsiTheme="majorHAnsi" w:cstheme="majorHAnsi"/>
          <w:b w:val="0"/>
          <w:bCs/>
          <w:sz w:val="28"/>
          <w:szCs w:val="28"/>
        </w:rPr>
        <w:t>Adjustments)</w:t>
      </w:r>
      <w:bookmarkEnd w:id="298"/>
      <w:bookmarkEnd w:id="299"/>
      <w:bookmarkEnd w:id="300"/>
      <w:bookmarkEnd w:id="301"/>
    </w:p>
    <w:p w14:paraId="5AE55494" w14:textId="77777777" w:rsidR="00C56192" w:rsidRPr="00885A39" w:rsidRDefault="00C56192" w:rsidP="00084AFF">
      <w:pPr>
        <w:pStyle w:val="h4numbered"/>
        <w:rPr>
          <w:b/>
        </w:rPr>
      </w:pPr>
      <w:r w:rsidRPr="00885A39">
        <w:t xml:space="preserve">Exclusions may be applied to some indicators, removing patients, and any services or interventions they receive, from the denominator for that indicator. Exclusions are applied </w:t>
      </w:r>
      <w:r w:rsidRPr="00107126">
        <w:t>prior</w:t>
      </w:r>
      <w:r w:rsidRPr="00885A39">
        <w:t xml:space="preserve"> to assessment of ‘success’ and are therefore removed even if action or intervention that the IIF indicator seeks to reward has happened. The exact circumstances in which Exclusions apply to IIF indicators are provided in the tables below.</w:t>
      </w:r>
    </w:p>
    <w:p w14:paraId="2AEA90A0" w14:textId="51909C8D" w:rsidR="00C56192" w:rsidRPr="0053017A" w:rsidRDefault="00C56192" w:rsidP="00084AFF">
      <w:pPr>
        <w:pStyle w:val="h4numbered"/>
        <w:rPr>
          <w:b/>
        </w:rPr>
      </w:pPr>
      <w:r w:rsidRPr="0053017A">
        <w:t xml:space="preserve">Personalised care </w:t>
      </w:r>
      <w:r w:rsidRPr="00107126">
        <w:t>adjustments</w:t>
      </w:r>
      <w:r w:rsidRPr="0053017A">
        <w:t xml:space="preserve"> (PCAs), previously known as ‘Exceptions’, </w:t>
      </w:r>
      <w:r w:rsidR="00334E04" w:rsidRPr="0053017A">
        <w:t>are</w:t>
      </w:r>
      <w:r w:rsidRPr="0053017A">
        <w:t xml:space="preserve"> </w:t>
      </w:r>
      <w:r w:rsidR="00493F26" w:rsidRPr="0053017A">
        <w:t xml:space="preserve">applicable </w:t>
      </w:r>
      <w:r w:rsidRPr="0053017A">
        <w:t xml:space="preserve">to </w:t>
      </w:r>
      <w:r w:rsidR="00493F26" w:rsidRPr="0053017A">
        <w:t xml:space="preserve">both </w:t>
      </w:r>
      <w:r w:rsidRPr="0053017A">
        <w:t xml:space="preserve">indicators, removing patients, and any services or interventions they receive, from the denominator for that indicator – unless the action or intervention being incentivised by the indicator has occurred, in which case they will be retained. </w:t>
      </w:r>
      <w:bookmarkStart w:id="302" w:name="_Hlk81541506"/>
      <w:r w:rsidRPr="0053017A">
        <w:t>The exact circumstances in which PCAs apply to IIF indicators are provided in the tables below.</w:t>
      </w:r>
      <w:bookmarkEnd w:id="302"/>
    </w:p>
    <w:p w14:paraId="03BB2252" w14:textId="258CA27A" w:rsidR="00C56192" w:rsidRPr="0053017A" w:rsidRDefault="00C56192" w:rsidP="00084AFF">
      <w:pPr>
        <w:pStyle w:val="h4numbered"/>
        <w:rPr>
          <w:b/>
        </w:rPr>
      </w:pPr>
      <w:r w:rsidRPr="0053017A">
        <w:t xml:space="preserve">An example of </w:t>
      </w:r>
      <w:r w:rsidRPr="002A424F">
        <w:t>how PCAs would be applied to CAN</w:t>
      </w:r>
      <w:r w:rsidRPr="009E4CB6">
        <w:t>0</w:t>
      </w:r>
      <w:r w:rsidR="00064A04" w:rsidRPr="009E4CB6">
        <w:t>4</w:t>
      </w:r>
      <w:r w:rsidRPr="002A424F">
        <w:t xml:space="preserve"> is as follows: A PCN has 400 </w:t>
      </w:r>
      <w:r w:rsidR="00064A04" w:rsidRPr="009E4CB6">
        <w:t>people who had a</w:t>
      </w:r>
      <w:r w:rsidR="00064A04" w:rsidRPr="002A424F">
        <w:t xml:space="preserve"> </w:t>
      </w:r>
      <w:r w:rsidRPr="002A424F">
        <w:t>lower</w:t>
      </w:r>
      <w:r w:rsidRPr="0053017A">
        <w:t xml:space="preserve"> gastrointestinal urgent suspected cancer referrals, of which 240 received a faecal immunochemical test. If a practice’s clinical system records that 20 of the 400 eligible patients were offered a faecal immunochemical test</w:t>
      </w:r>
      <w:r w:rsidRPr="0053017A" w:rsidDel="003F2231">
        <w:t xml:space="preserve"> </w:t>
      </w:r>
      <w:r w:rsidRPr="0053017A">
        <w:t>but refused and it was also deemed clinically inappropriate to administer a faecal immunochemical test</w:t>
      </w:r>
      <w:r w:rsidRPr="0053017A" w:rsidDel="00341376">
        <w:t xml:space="preserve"> </w:t>
      </w:r>
      <w:r w:rsidRPr="0053017A">
        <w:t xml:space="preserve">to a further 20, </w:t>
      </w:r>
      <w:r w:rsidRPr="0053017A">
        <w:lastRenderedPageBreak/>
        <w:t>then PCN performance in relation to indicator CAN02 would be 66.7% (= 240/360), not 60% (= 240/400).</w:t>
      </w:r>
    </w:p>
    <w:p w14:paraId="3D204F3F" w14:textId="77777777" w:rsidR="00C56192" w:rsidRPr="00146E6C" w:rsidRDefault="00C56192" w:rsidP="00084AFF">
      <w:pPr>
        <w:pStyle w:val="h3numbered"/>
        <w:rPr>
          <w:b/>
          <w:bCs/>
        </w:rPr>
      </w:pPr>
      <w:bookmarkStart w:id="303" w:name="_Toc127800003"/>
      <w:bookmarkStart w:id="304" w:name="_Toc129606195"/>
      <w:bookmarkStart w:id="305" w:name="_Toc223511171"/>
      <w:bookmarkStart w:id="306" w:name="_Toc223511450"/>
      <w:r w:rsidRPr="00146E6C">
        <w:t>Achievement points</w:t>
      </w:r>
      <w:bookmarkEnd w:id="303"/>
      <w:bookmarkEnd w:id="304"/>
      <w:bookmarkEnd w:id="305"/>
      <w:bookmarkEnd w:id="306"/>
    </w:p>
    <w:p w14:paraId="1B8D0B37" w14:textId="04675137" w:rsidR="00C56192" w:rsidRPr="00885A39" w:rsidRDefault="00C56192" w:rsidP="00084AFF">
      <w:pPr>
        <w:pStyle w:val="h4numbered"/>
        <w:rPr>
          <w:b/>
        </w:rPr>
      </w:pPr>
      <w:r w:rsidRPr="00885A39">
        <w:t xml:space="preserve">The IIF </w:t>
      </w:r>
      <w:r w:rsidRPr="00107126">
        <w:t>Indicators</w:t>
      </w:r>
      <w:r w:rsidRPr="00885A39">
        <w:t xml:space="preserve"> </w:t>
      </w:r>
      <w:r w:rsidRPr="00885A39">
        <w:rPr>
          <w:color w:val="231F20"/>
        </w:rPr>
        <w:t xml:space="preserve">are </w:t>
      </w:r>
      <w:r w:rsidRPr="00885A39">
        <w:t xml:space="preserve">points-based. </w:t>
      </w:r>
      <w:r w:rsidRPr="0053017A">
        <w:rPr>
          <w:color w:val="231F20"/>
        </w:rPr>
        <w:t xml:space="preserve">For </w:t>
      </w:r>
      <w:r w:rsidRPr="0080630B">
        <w:t>202</w:t>
      </w:r>
      <w:r w:rsidR="004B6076" w:rsidRPr="00F7414D">
        <w:rPr>
          <w:highlight w:val="yellow"/>
        </w:rPr>
        <w:t>6</w:t>
      </w:r>
      <w:r w:rsidRPr="0080630B">
        <w:t>/2</w:t>
      </w:r>
      <w:r w:rsidR="004B6076" w:rsidRPr="00F7414D">
        <w:rPr>
          <w:highlight w:val="yellow"/>
        </w:rPr>
        <w:t>7</w:t>
      </w:r>
      <w:r w:rsidRPr="0080630B">
        <w:t xml:space="preserve">, each PCN can achieve a maximum of 58 IIF points and the value of a point will be £198.00 (adjusted for list size and prevalence – see paragraphs </w:t>
      </w:r>
      <w:r w:rsidR="00E1405D" w:rsidRPr="0080630B">
        <w:t>1</w:t>
      </w:r>
      <w:r w:rsidR="00D61AB0" w:rsidRPr="00D61AB0">
        <w:rPr>
          <w:highlight w:val="yellow"/>
        </w:rPr>
        <w:t>1</w:t>
      </w:r>
      <w:r w:rsidR="00E1405D" w:rsidRPr="0080630B">
        <w:t>.7.1</w:t>
      </w:r>
      <w:r w:rsidR="002F4028" w:rsidRPr="0080630B">
        <w:t xml:space="preserve"> - 1</w:t>
      </w:r>
      <w:r w:rsidR="00D61AB0" w:rsidRPr="00D61AB0">
        <w:rPr>
          <w:highlight w:val="yellow"/>
        </w:rPr>
        <w:t>1</w:t>
      </w:r>
      <w:r w:rsidR="002F4028" w:rsidRPr="0080630B">
        <w:t>.7.2</w:t>
      </w:r>
      <w:r w:rsidRPr="0080630B">
        <w:t>). Each indicator is worth a specific number of points.</w:t>
      </w:r>
    </w:p>
    <w:p w14:paraId="0CF402F8" w14:textId="77777777" w:rsidR="00C56192" w:rsidRPr="00885A39" w:rsidRDefault="00C56192" w:rsidP="00084AFF">
      <w:pPr>
        <w:pStyle w:val="h4numbered"/>
        <w:rPr>
          <w:b/>
        </w:rPr>
      </w:pPr>
      <w:r w:rsidRPr="00885A39">
        <w:t xml:space="preserve">The points a PCN can achieve for standard quantitative indicators will depend on how </w:t>
      </w:r>
      <w:r w:rsidRPr="007A2C06">
        <w:t>their</w:t>
      </w:r>
      <w:r w:rsidRPr="00885A39">
        <w:t xml:space="preserve"> performance relates to an upper performance threshold and a lower performance threshold.</w:t>
      </w:r>
    </w:p>
    <w:p w14:paraId="08228A3C" w14:textId="77777777" w:rsidR="00C56192" w:rsidRPr="00885A39" w:rsidRDefault="00C56192" w:rsidP="00084AFF">
      <w:pPr>
        <w:pStyle w:val="h4numbered"/>
        <w:rPr>
          <w:b/>
        </w:rPr>
      </w:pPr>
      <w:r w:rsidRPr="00885A39">
        <w:t xml:space="preserve">The upper performance threshold is based on clinical or other expert opinion concerning good practice. </w:t>
      </w:r>
      <w:r w:rsidRPr="007A2C06">
        <w:t>Reflecting</w:t>
      </w:r>
      <w:r w:rsidRPr="00885A39">
        <w:t xml:space="preserve"> the aim of reducing unwarranted variation, the lower performance threshold for each indicator has typically been set with reference to the 40th centile of baseline performance (where baseline data is available).</w:t>
      </w:r>
    </w:p>
    <w:p w14:paraId="301DE4BB" w14:textId="77777777" w:rsidR="00C56192" w:rsidRPr="00885A39" w:rsidRDefault="00C56192" w:rsidP="00084AFF">
      <w:pPr>
        <w:pStyle w:val="h4numbered"/>
        <w:rPr>
          <w:b/>
        </w:rPr>
      </w:pPr>
      <w:bookmarkStart w:id="307" w:name="_Ref97116714"/>
      <w:r w:rsidRPr="00885A39">
        <w:t xml:space="preserve">If a PCN’s </w:t>
      </w:r>
      <w:r w:rsidRPr="007A2C06">
        <w:t>performance</w:t>
      </w:r>
      <w:r w:rsidRPr="00885A39">
        <w:t xml:space="preserve"> for an indicator is better than or equal to the upper performance threshold, it will achieve all the points available for that indicator; if a PCN’s performance is worse than or equal to the lower performance threshold, it will achieve zero points; and if performance is between the upper and lower thresholds, it will achieve some but not all of the points available for that indicator. Consider a hypothetical indicator worth 50 points with an upwards desired direction, a lower performance threshold of 50% and an upper performance threshold of 75%. Then, two IIF points are achieved for every percentage point improvement in performance between the lower and upper threshold (50 points/ (75%-50%) = 2 points per percentage point). If a PCN’s performance is 70%, it will achieve 40 of the 50 available achievement points – because 70% is 4/5ths of the way from 50% (the lower performance threshold) to 75% (the upper performance threshold).</w:t>
      </w:r>
      <w:bookmarkEnd w:id="307"/>
    </w:p>
    <w:p w14:paraId="05DCB7F9" w14:textId="77777777" w:rsidR="00C56192" w:rsidRPr="00146E6C" w:rsidRDefault="00C56192" w:rsidP="00084AFF">
      <w:pPr>
        <w:pStyle w:val="h3numbered"/>
      </w:pPr>
      <w:bookmarkStart w:id="308" w:name="_Toc127800004"/>
      <w:bookmarkStart w:id="309" w:name="_Toc129606196"/>
      <w:bookmarkStart w:id="310" w:name="_Toc223511172"/>
      <w:bookmarkStart w:id="311" w:name="_Toc223511451"/>
      <w:r w:rsidRPr="00146E6C">
        <w:t>Achievement payments</w:t>
      </w:r>
      <w:bookmarkEnd w:id="308"/>
      <w:bookmarkEnd w:id="309"/>
      <w:bookmarkEnd w:id="310"/>
      <w:bookmarkEnd w:id="311"/>
    </w:p>
    <w:p w14:paraId="7F8A7D5B" w14:textId="18CCEED1" w:rsidR="00C56192" w:rsidRPr="0080630B" w:rsidRDefault="00C56192" w:rsidP="00084AFF">
      <w:pPr>
        <w:pStyle w:val="h4numbered"/>
        <w:rPr>
          <w:b/>
        </w:rPr>
      </w:pPr>
      <w:r w:rsidRPr="00885A39">
        <w:t xml:space="preserve">For each indicator, a PCN’s achievement payment equals its achievement points </w:t>
      </w:r>
      <w:r w:rsidRPr="0080630B">
        <w:t>multiplied by the value of an IIF point (£198.00 in 202</w:t>
      </w:r>
      <w:r w:rsidR="004B6076" w:rsidRPr="00487843">
        <w:rPr>
          <w:highlight w:val="yellow"/>
        </w:rPr>
        <w:t>6</w:t>
      </w:r>
      <w:r w:rsidRPr="0080630B">
        <w:t>/2</w:t>
      </w:r>
      <w:r w:rsidR="004B6076" w:rsidRPr="00487843">
        <w:rPr>
          <w:highlight w:val="yellow"/>
        </w:rPr>
        <w:t>7</w:t>
      </w:r>
      <w:r w:rsidRPr="0080630B">
        <w:t xml:space="preserve">), multiplied by a ‘list size adjustment’, and by a ‘prevalence adjustment’. The value of an IIF point will be subject to annual </w:t>
      </w:r>
      <w:r w:rsidRPr="00E347F1">
        <w:rPr>
          <w:highlight w:val="yellow"/>
        </w:rPr>
        <w:t>revi</w:t>
      </w:r>
      <w:r w:rsidR="00E347F1" w:rsidRPr="00E347F1">
        <w:rPr>
          <w:highlight w:val="yellow"/>
        </w:rPr>
        <w:t>ew</w:t>
      </w:r>
      <w:r w:rsidRPr="00E347F1">
        <w:rPr>
          <w:highlight w:val="yellow"/>
        </w:rPr>
        <w:t>.</w:t>
      </w:r>
    </w:p>
    <w:p w14:paraId="7EF80B35" w14:textId="514084B7" w:rsidR="00C56192" w:rsidRPr="0080630B" w:rsidRDefault="00C56192" w:rsidP="00084AFF">
      <w:pPr>
        <w:pStyle w:val="h4numbered"/>
        <w:rPr>
          <w:b/>
        </w:rPr>
      </w:pPr>
      <w:r w:rsidRPr="0080630B">
        <w:t xml:space="preserve">The purpose of the prevalence adjustment and list size adjustment is to more closely relate PCN payments to the effort that a PCN </w:t>
      </w:r>
      <w:r w:rsidRPr="0080630B" w:rsidDel="00692F56">
        <w:t>must</w:t>
      </w:r>
      <w:r w:rsidRPr="0080630B">
        <w:t xml:space="preserve"> undertake to achieve IIF points. The points-based system means that, for any indicator, every PCN will achieve the same number of </w:t>
      </w:r>
      <w:r w:rsidRPr="0080630B">
        <w:rPr>
          <w:iCs/>
        </w:rPr>
        <w:t>points</w:t>
      </w:r>
      <w:r w:rsidRPr="0080630B">
        <w:t xml:space="preserve"> for a given ‘absolute’ </w:t>
      </w:r>
      <w:r w:rsidRPr="0080630B">
        <w:lastRenderedPageBreak/>
        <w:t>level of performance. However, differences in prevalence and in list size mean that PCNs may have to make different levels of effort to achieve a given percentage point (absolute) improvement in performance e.g. to improve from 50% to 60% performance. Annex A explains how applying a prevalence adjustment and a list size adjustment takes account of these differences.</w:t>
      </w:r>
    </w:p>
    <w:p w14:paraId="0CD2F9E7" w14:textId="3E82D3B6" w:rsidR="00C56192" w:rsidRPr="00146E6C" w:rsidRDefault="00C56192" w:rsidP="00084AFF">
      <w:pPr>
        <w:pStyle w:val="h4numbered"/>
      </w:pPr>
      <w:r w:rsidRPr="0080630B">
        <w:t xml:space="preserve">In </w:t>
      </w:r>
      <w:r w:rsidR="00384011">
        <w:t>202</w:t>
      </w:r>
      <w:r w:rsidR="00384011" w:rsidRPr="00487843">
        <w:rPr>
          <w:highlight w:val="yellow"/>
        </w:rPr>
        <w:t>6</w:t>
      </w:r>
      <w:r w:rsidR="00384011">
        <w:t>/2</w:t>
      </w:r>
      <w:r w:rsidR="00384011" w:rsidRPr="00487843">
        <w:rPr>
          <w:highlight w:val="yellow"/>
        </w:rPr>
        <w:t>7</w:t>
      </w:r>
      <w:r w:rsidRPr="0080630B">
        <w:t xml:space="preserve">, PCNs are entitled to one type of payment associated with the IIF indicators: a Total Indicator Achievement Payment which is the sum of achievement payments for each indicator (as defined above). To be eligible to receive a Total Indicator Achievement payment, a PCN </w:t>
      </w:r>
      <w:r w:rsidRPr="0080630B" w:rsidDel="00232276">
        <w:t>must</w:t>
      </w:r>
      <w:r w:rsidRPr="0080630B">
        <w:t xml:space="preserve"> comply with the conditions set out in the 202</w:t>
      </w:r>
      <w:r w:rsidR="00084FD9" w:rsidRPr="00487843">
        <w:rPr>
          <w:highlight w:val="yellow"/>
        </w:rPr>
        <w:t>6</w:t>
      </w:r>
      <w:r w:rsidRPr="0080630B">
        <w:t>/2</w:t>
      </w:r>
      <w:r w:rsidR="00084FD9" w:rsidRPr="00487843">
        <w:rPr>
          <w:highlight w:val="yellow"/>
        </w:rPr>
        <w:t>7</w:t>
      </w:r>
      <w:r w:rsidRPr="0080630B">
        <w:t xml:space="preserve"> Network Contract DES specification (section 10.6.10). Crucially, the PCN </w:t>
      </w:r>
      <w:r w:rsidRPr="0080630B" w:rsidDel="00232276">
        <w:t>must</w:t>
      </w:r>
      <w:r w:rsidRPr="0080630B">
        <w:t xml:space="preserve"> provide a simple written commitment to their commissioner that any money earned through the IIF indicators will be reinvested into additional workforce, additional primary medical services, and/or other areas of investment in a Core Network Practice that support patient care (e.g. equipment or premises). The written commitment</w:t>
      </w:r>
      <w:r w:rsidRPr="00885A39">
        <w:t xml:space="preserve"> does not have to detail the precise areas of spend: this is for PCNs to determine.</w:t>
      </w:r>
    </w:p>
    <w:p w14:paraId="14C9B9F5" w14:textId="77777777" w:rsidR="00C56192" w:rsidRPr="00146E6C" w:rsidRDefault="00C56192" w:rsidP="00084AFF">
      <w:pPr>
        <w:pStyle w:val="h3numbered"/>
      </w:pPr>
      <w:bookmarkStart w:id="312" w:name="_Toc127800005"/>
      <w:bookmarkStart w:id="313" w:name="_Toc129606197"/>
      <w:bookmarkStart w:id="314" w:name="_Toc223511173"/>
      <w:bookmarkStart w:id="315" w:name="_Toc223511452"/>
      <w:r w:rsidRPr="00146E6C">
        <w:t>Monitoring IIF Indicator performance</w:t>
      </w:r>
      <w:bookmarkEnd w:id="312"/>
      <w:bookmarkEnd w:id="313"/>
      <w:bookmarkEnd w:id="314"/>
      <w:bookmarkEnd w:id="315"/>
    </w:p>
    <w:p w14:paraId="19EFB7D6" w14:textId="093AEB07" w:rsidR="00C56192" w:rsidRPr="00885A39" w:rsidRDefault="00C56192" w:rsidP="00084AFF">
      <w:pPr>
        <w:pStyle w:val="h4numbered"/>
        <w:rPr>
          <w:b/>
        </w:rPr>
      </w:pPr>
      <w:r w:rsidRPr="00885A39">
        <w:t xml:space="preserve">Each </w:t>
      </w:r>
      <w:r w:rsidRPr="009E4CB6">
        <w:t>PCN</w:t>
      </w:r>
      <w:r w:rsidRPr="00885A39">
        <w:t xml:space="preserve"> is able to monitor its indicative performance against IIF indicators in both </w:t>
      </w:r>
      <w:r w:rsidRPr="008D4763">
        <w:t xml:space="preserve">CQRS and </w:t>
      </w:r>
      <w:r w:rsidR="009A13EC" w:rsidRPr="009E4CB6">
        <w:t>on</w:t>
      </w:r>
      <w:r w:rsidR="00095D18" w:rsidRPr="009E4CB6">
        <w:t xml:space="preserve"> a dashboard available </w:t>
      </w:r>
      <w:r w:rsidR="00F6568B" w:rsidRPr="009E4CB6">
        <w:t>on</w:t>
      </w:r>
      <w:r w:rsidR="00737401" w:rsidRPr="009E4CB6">
        <w:t xml:space="preserve"> </w:t>
      </w:r>
      <w:r w:rsidR="00B268DA" w:rsidRPr="009E4CB6">
        <w:t>FutureNHS</w:t>
      </w:r>
      <w:r w:rsidR="00D14EF1" w:rsidRPr="008D4763">
        <w:rPr>
          <w:rStyle w:val="FootnoteReference"/>
        </w:rPr>
        <w:footnoteReference w:id="22"/>
      </w:r>
      <w:r w:rsidR="00B268DA" w:rsidRPr="008D4763">
        <w:t>.</w:t>
      </w:r>
      <w:r w:rsidR="00B268DA">
        <w:t xml:space="preserve"> </w:t>
      </w:r>
    </w:p>
    <w:p w14:paraId="0059BCDD" w14:textId="77777777" w:rsidR="00C56192" w:rsidRPr="00D26129" w:rsidRDefault="00C56192" w:rsidP="00084AFF">
      <w:pPr>
        <w:pStyle w:val="h3numbered"/>
        <w:rPr>
          <w:b/>
          <w:bCs/>
        </w:rPr>
      </w:pPr>
      <w:bookmarkStart w:id="316" w:name="_Toc127800008"/>
      <w:bookmarkStart w:id="317" w:name="_Toc129606200"/>
      <w:bookmarkStart w:id="318" w:name="_Toc161994228"/>
      <w:bookmarkStart w:id="319" w:name="_Toc223511174"/>
      <w:bookmarkStart w:id="320" w:name="_Toc223511453"/>
      <w:r w:rsidRPr="00D26129">
        <w:t>Tackling health inequalities area</w:t>
      </w:r>
      <w:bookmarkEnd w:id="316"/>
      <w:bookmarkEnd w:id="317"/>
      <w:bookmarkEnd w:id="318"/>
      <w:bookmarkEnd w:id="319"/>
      <w:bookmarkEnd w:id="320"/>
    </w:p>
    <w:p w14:paraId="1188B9DA" w14:textId="13D8705B" w:rsidR="00C56192" w:rsidRPr="00146E6C" w:rsidRDefault="00023026" w:rsidP="00084AFF">
      <w:pPr>
        <w:pStyle w:val="h4numbered"/>
      </w:pPr>
      <w:r w:rsidRPr="00023026">
        <w:t>The social and economic environment in which we are born, grow up, live, work and age, as well as the decisions we make for ourselves, have a significant impact on our health. The imbalance in outcomes and different experiences of healthcare services between different groups, communities and regions is well documented. IIF indicators in the tackling health inequalities area are designed to help to ensure that everyone gets access to the care they need and focus interventions on groups who experience health inequalities.</w:t>
      </w:r>
    </w:p>
    <w:tbl>
      <w:tblPr>
        <w:tblStyle w:val="NHSTable"/>
        <w:tblW w:w="8080" w:type="dxa"/>
        <w:tblInd w:w="1696" w:type="dxa"/>
        <w:tblBorders>
          <w:top w:val="single" w:sz="4" w:space="0" w:color="005EB8"/>
          <w:left w:val="single" w:sz="4" w:space="0" w:color="005EB8"/>
          <w:bottom w:val="single" w:sz="4" w:space="0" w:color="005EB8"/>
          <w:right w:val="single" w:sz="4" w:space="0" w:color="005EB8"/>
        </w:tblBorders>
        <w:tblLook w:val="04A0" w:firstRow="1" w:lastRow="0" w:firstColumn="1" w:lastColumn="0" w:noHBand="0" w:noVBand="1"/>
      </w:tblPr>
      <w:tblGrid>
        <w:gridCol w:w="4186"/>
        <w:gridCol w:w="3894"/>
      </w:tblGrid>
      <w:tr w:rsidR="00C56192" w:rsidRPr="00146E6C" w14:paraId="761DFDAC" w14:textId="77777777" w:rsidTr="00BB6E80">
        <w:trPr>
          <w:cnfStyle w:val="100000000000" w:firstRow="1" w:lastRow="0" w:firstColumn="0" w:lastColumn="0" w:oddVBand="0" w:evenVBand="0" w:oddHBand="0" w:evenHBand="0" w:firstRowFirstColumn="0" w:firstRowLastColumn="0" w:lastRowFirstColumn="0" w:lastRowLastColumn="0"/>
          <w:trHeight w:val="419"/>
          <w:tblHeader/>
        </w:trPr>
        <w:tc>
          <w:tcPr>
            <w:tcW w:w="8080" w:type="dxa"/>
            <w:gridSpan w:val="2"/>
            <w:tcBorders>
              <w:top w:val="single" w:sz="4" w:space="0" w:color="auto"/>
              <w:left w:val="single" w:sz="4" w:space="0" w:color="auto"/>
              <w:bottom w:val="single" w:sz="4" w:space="0" w:color="auto"/>
              <w:right w:val="single" w:sz="4" w:space="0" w:color="auto"/>
            </w:tcBorders>
          </w:tcPr>
          <w:p w14:paraId="454EABB4" w14:textId="715AFF90" w:rsidR="00C56192" w:rsidRPr="00146E6C" w:rsidRDefault="00C56192" w:rsidP="00E36FE2">
            <w:pPr>
              <w:spacing w:before="60" w:after="60" w:line="276" w:lineRule="auto"/>
              <w:rPr>
                <w:rFonts w:eastAsia="Times New Roman"/>
                <w:b/>
                <w:bCs/>
                <w:color w:val="FFFFFF"/>
              </w:rPr>
            </w:pPr>
            <w:r w:rsidRPr="00146E6C">
              <w:rPr>
                <w:rFonts w:eastAsia="Times New Roman"/>
                <w:b/>
                <w:bCs/>
                <w:color w:val="F4F6F8" w:themeColor="background2"/>
              </w:rPr>
              <w:t xml:space="preserve">HI03: </w:t>
            </w:r>
            <w:r w:rsidRPr="00146E6C">
              <w:rPr>
                <w:rFonts w:eastAsia="Arial" w:cs="Arial"/>
                <w:b/>
                <w:bCs/>
                <w:color w:val="F4F6F8" w:themeColor="background2"/>
              </w:rPr>
              <w:t>Percentage of patients on the Learning Disability register aged 14 years or over, who received a learning disability Annual Health Check and have a completed Health Action Plan in addition to a recording of ethnicity</w:t>
            </w:r>
          </w:p>
        </w:tc>
      </w:tr>
      <w:tr w:rsidR="00C56192" w:rsidRPr="00146E6C" w14:paraId="67FC8445" w14:textId="77777777" w:rsidTr="00BB6E80">
        <w:trPr>
          <w:cnfStyle w:val="000000100000" w:firstRow="0" w:lastRow="0" w:firstColumn="0" w:lastColumn="0" w:oddVBand="0" w:evenVBand="0" w:oddHBand="1" w:evenHBand="0" w:firstRowFirstColumn="0" w:firstRowLastColumn="0" w:lastRowFirstColumn="0" w:lastRowLastColumn="0"/>
        </w:trPr>
        <w:tc>
          <w:tcPr>
            <w:tcW w:w="4186" w:type="dxa"/>
            <w:tcBorders>
              <w:top w:val="single" w:sz="4" w:space="0" w:color="auto"/>
              <w:left w:val="single" w:sz="4" w:space="0" w:color="auto"/>
              <w:bottom w:val="single" w:sz="4" w:space="0" w:color="auto"/>
              <w:right w:val="single" w:sz="4" w:space="0" w:color="auto"/>
            </w:tcBorders>
          </w:tcPr>
          <w:p w14:paraId="7799A75E" w14:textId="77777777" w:rsidR="00C56192" w:rsidRPr="00146E6C" w:rsidRDefault="00C56192" w:rsidP="00E36FE2">
            <w:pPr>
              <w:spacing w:before="60" w:after="60" w:line="276" w:lineRule="auto"/>
              <w:rPr>
                <w:rFonts w:eastAsia="Times New Roman" w:cs="Arial"/>
                <w:b/>
                <w:bCs/>
                <w:szCs w:val="26"/>
              </w:rPr>
            </w:pPr>
            <w:r w:rsidRPr="00146E6C">
              <w:rPr>
                <w:rFonts w:eastAsia="Times New Roman" w:cs="Arial"/>
                <w:b/>
                <w:bCs/>
                <w:szCs w:val="26"/>
              </w:rPr>
              <w:t>Rationale for inclusion</w:t>
            </w:r>
          </w:p>
        </w:tc>
        <w:tc>
          <w:tcPr>
            <w:tcW w:w="3894" w:type="dxa"/>
            <w:tcBorders>
              <w:top w:val="single" w:sz="4" w:space="0" w:color="auto"/>
              <w:left w:val="single" w:sz="4" w:space="0" w:color="auto"/>
              <w:bottom w:val="single" w:sz="4" w:space="0" w:color="auto"/>
              <w:right w:val="single" w:sz="4" w:space="0" w:color="auto"/>
            </w:tcBorders>
          </w:tcPr>
          <w:p w14:paraId="5CB6B2F7" w14:textId="30031C8A" w:rsidR="00C56192" w:rsidRPr="00146E6C" w:rsidRDefault="00FC7D09" w:rsidP="00E36FE2">
            <w:pPr>
              <w:spacing w:before="120" w:after="120" w:line="276" w:lineRule="auto"/>
            </w:pPr>
            <w:r>
              <w:rPr>
                <w:rFonts w:cs="Arial"/>
              </w:rPr>
              <w:t xml:space="preserve">People with a learning disability being identified on their local register with a recording of their </w:t>
            </w:r>
            <w:r>
              <w:rPr>
                <w:rFonts w:cs="Arial"/>
              </w:rPr>
              <w:lastRenderedPageBreak/>
              <w:t>ethnicity,  having  an annual health check and a health action plan is vital to tackle the causes of morbidity and the 42% (</w:t>
            </w:r>
            <w:r w:rsidRPr="009E4CB6">
              <w:t>LeDer 2022</w:t>
            </w:r>
            <w:r>
              <w:rPr>
                <w:rFonts w:cs="Arial"/>
              </w:rPr>
              <w:t xml:space="preserve">) of avoidable deaths (as defined by the </w:t>
            </w:r>
            <w:r w:rsidRPr="001F4482">
              <w:t>OECD</w:t>
            </w:r>
            <w:r>
              <w:rPr>
                <w:rFonts w:cs="Arial"/>
              </w:rPr>
              <w:t>)in people with a learning disability.</w:t>
            </w:r>
          </w:p>
        </w:tc>
      </w:tr>
      <w:tr w:rsidR="00C56192" w:rsidRPr="00146E6C" w14:paraId="2C3E2888" w14:textId="77777777" w:rsidTr="00BB6E80">
        <w:tc>
          <w:tcPr>
            <w:tcW w:w="4186" w:type="dxa"/>
            <w:tcBorders>
              <w:top w:val="single" w:sz="4" w:space="0" w:color="auto"/>
              <w:left w:val="single" w:sz="4" w:space="0" w:color="auto"/>
              <w:bottom w:val="single" w:sz="4" w:space="0" w:color="auto"/>
              <w:right w:val="single" w:sz="4" w:space="0" w:color="auto"/>
            </w:tcBorders>
          </w:tcPr>
          <w:p w14:paraId="5D6B4366" w14:textId="77777777" w:rsidR="00C56192" w:rsidRPr="00146E6C" w:rsidRDefault="00C56192" w:rsidP="00E36FE2">
            <w:pPr>
              <w:spacing w:before="60" w:after="60" w:line="276" w:lineRule="auto"/>
              <w:rPr>
                <w:rFonts w:eastAsia="Times New Roman" w:cs="Arial"/>
                <w:b/>
                <w:bCs/>
                <w:szCs w:val="26"/>
              </w:rPr>
            </w:pPr>
            <w:r w:rsidRPr="00146E6C">
              <w:rPr>
                <w:rFonts w:eastAsia="Times New Roman" w:cs="Arial"/>
                <w:b/>
                <w:bCs/>
                <w:szCs w:val="26"/>
              </w:rPr>
              <w:lastRenderedPageBreak/>
              <w:t>Indicator type</w:t>
            </w:r>
          </w:p>
        </w:tc>
        <w:tc>
          <w:tcPr>
            <w:tcW w:w="3894" w:type="dxa"/>
            <w:tcBorders>
              <w:top w:val="single" w:sz="4" w:space="0" w:color="auto"/>
              <w:left w:val="single" w:sz="4" w:space="0" w:color="auto"/>
              <w:bottom w:val="single" w:sz="4" w:space="0" w:color="auto"/>
              <w:right w:val="single" w:sz="4" w:space="0" w:color="auto"/>
            </w:tcBorders>
          </w:tcPr>
          <w:p w14:paraId="77059550" w14:textId="77777777" w:rsidR="00C56192" w:rsidRPr="0080630B" w:rsidRDefault="00C56192" w:rsidP="00E36FE2">
            <w:pPr>
              <w:spacing w:before="60" w:after="60" w:line="276" w:lineRule="auto"/>
            </w:pPr>
            <w:r w:rsidRPr="0080630B">
              <w:t xml:space="preserve">Standard Quantitative </w:t>
            </w:r>
          </w:p>
        </w:tc>
      </w:tr>
      <w:tr w:rsidR="00C56192" w:rsidRPr="00146E6C" w14:paraId="20EBDEB6" w14:textId="77777777" w:rsidTr="00BB6E80">
        <w:trPr>
          <w:cnfStyle w:val="000000100000" w:firstRow="0" w:lastRow="0" w:firstColumn="0" w:lastColumn="0" w:oddVBand="0" w:evenVBand="0" w:oddHBand="1" w:evenHBand="0" w:firstRowFirstColumn="0" w:firstRowLastColumn="0" w:lastRowFirstColumn="0" w:lastRowLastColumn="0"/>
        </w:trPr>
        <w:tc>
          <w:tcPr>
            <w:tcW w:w="4186" w:type="dxa"/>
            <w:tcBorders>
              <w:top w:val="single" w:sz="4" w:space="0" w:color="auto"/>
              <w:left w:val="single" w:sz="4" w:space="0" w:color="auto"/>
              <w:bottom w:val="single" w:sz="4" w:space="0" w:color="auto"/>
              <w:right w:val="single" w:sz="4" w:space="0" w:color="auto"/>
            </w:tcBorders>
          </w:tcPr>
          <w:p w14:paraId="67A5B6A8" w14:textId="77777777" w:rsidR="00C56192" w:rsidRPr="00146E6C" w:rsidRDefault="00C56192" w:rsidP="00E36FE2">
            <w:pPr>
              <w:spacing w:before="60" w:after="60" w:line="276" w:lineRule="auto"/>
              <w:rPr>
                <w:rFonts w:eastAsia="Times New Roman" w:cs="Arial"/>
                <w:b/>
                <w:bCs/>
                <w:szCs w:val="26"/>
              </w:rPr>
            </w:pPr>
            <w:r w:rsidRPr="00146E6C">
              <w:rPr>
                <w:rFonts w:eastAsia="Times New Roman" w:cs="Arial"/>
                <w:b/>
                <w:bCs/>
                <w:szCs w:val="26"/>
              </w:rPr>
              <w:t>Running period</w:t>
            </w:r>
          </w:p>
        </w:tc>
        <w:tc>
          <w:tcPr>
            <w:tcW w:w="3894" w:type="dxa"/>
            <w:tcBorders>
              <w:top w:val="single" w:sz="4" w:space="0" w:color="auto"/>
              <w:left w:val="single" w:sz="4" w:space="0" w:color="auto"/>
              <w:bottom w:val="single" w:sz="4" w:space="0" w:color="auto"/>
              <w:right w:val="single" w:sz="4" w:space="0" w:color="auto"/>
            </w:tcBorders>
          </w:tcPr>
          <w:p w14:paraId="5B5D2F49" w14:textId="05CEEBD1" w:rsidR="00C56192" w:rsidRPr="0080630B" w:rsidRDefault="00C56192" w:rsidP="00E36FE2">
            <w:pPr>
              <w:spacing w:before="60" w:after="60" w:line="276" w:lineRule="auto"/>
            </w:pPr>
            <w:r w:rsidRPr="0080630B">
              <w:t>1 April 202</w:t>
            </w:r>
            <w:r w:rsidR="00084FD9" w:rsidRPr="00487843">
              <w:rPr>
                <w:highlight w:val="yellow"/>
              </w:rPr>
              <w:t>6</w:t>
            </w:r>
            <w:r w:rsidRPr="0080630B">
              <w:t xml:space="preserve"> – 31 March 202</w:t>
            </w:r>
            <w:r w:rsidR="00084FD9" w:rsidRPr="00487843">
              <w:rPr>
                <w:highlight w:val="yellow"/>
              </w:rPr>
              <w:t>7</w:t>
            </w:r>
          </w:p>
        </w:tc>
      </w:tr>
      <w:tr w:rsidR="00C56192" w:rsidRPr="00146E6C" w14:paraId="3DEA120C" w14:textId="77777777" w:rsidTr="00BB6E80">
        <w:tc>
          <w:tcPr>
            <w:tcW w:w="4186" w:type="dxa"/>
            <w:tcBorders>
              <w:top w:val="single" w:sz="4" w:space="0" w:color="auto"/>
              <w:left w:val="single" w:sz="4" w:space="0" w:color="auto"/>
              <w:bottom w:val="single" w:sz="4" w:space="0" w:color="auto"/>
              <w:right w:val="single" w:sz="4" w:space="0" w:color="auto"/>
            </w:tcBorders>
          </w:tcPr>
          <w:p w14:paraId="13CBA1C5" w14:textId="77777777" w:rsidR="00C56192" w:rsidRPr="00146E6C" w:rsidRDefault="00C56192" w:rsidP="00E36FE2">
            <w:pPr>
              <w:spacing w:before="60" w:after="60" w:line="276" w:lineRule="auto"/>
              <w:rPr>
                <w:rFonts w:eastAsia="Times New Roman"/>
                <w:b/>
                <w:bCs/>
                <w:szCs w:val="26"/>
              </w:rPr>
            </w:pPr>
            <w:r w:rsidRPr="00146E6C">
              <w:rPr>
                <w:rFonts w:eastAsia="Times New Roman" w:cs="Arial"/>
                <w:b/>
                <w:bCs/>
                <w:szCs w:val="26"/>
              </w:rPr>
              <w:t>Denominator</w:t>
            </w:r>
          </w:p>
        </w:tc>
        <w:tc>
          <w:tcPr>
            <w:tcW w:w="3894" w:type="dxa"/>
            <w:tcBorders>
              <w:top w:val="single" w:sz="4" w:space="0" w:color="auto"/>
              <w:left w:val="single" w:sz="4" w:space="0" w:color="auto"/>
              <w:bottom w:val="single" w:sz="4" w:space="0" w:color="auto"/>
              <w:right w:val="single" w:sz="4" w:space="0" w:color="auto"/>
            </w:tcBorders>
          </w:tcPr>
          <w:p w14:paraId="0609B825" w14:textId="76A06EB3" w:rsidR="00C56192" w:rsidRPr="0080630B" w:rsidRDefault="00C56192" w:rsidP="00E36FE2">
            <w:pPr>
              <w:spacing w:before="60" w:after="60" w:line="276" w:lineRule="auto"/>
              <w:rPr>
                <w:rFonts w:eastAsia="Times New Roman"/>
                <w:bCs/>
                <w:szCs w:val="26"/>
              </w:rPr>
            </w:pPr>
            <w:r w:rsidRPr="0080630B">
              <w:t>Number of patients on the Learning Disability register</w:t>
            </w:r>
            <w:r w:rsidR="00A745F7" w:rsidRPr="0080630B">
              <w:t xml:space="preserve"> as defined in the SFE</w:t>
            </w:r>
            <w:r w:rsidRPr="0080630B">
              <w:t xml:space="preserve"> aged 14 years or over.</w:t>
            </w:r>
          </w:p>
        </w:tc>
      </w:tr>
      <w:tr w:rsidR="00C56192" w:rsidRPr="00146E6C" w14:paraId="7EF7E902" w14:textId="77777777" w:rsidTr="00BB6E80">
        <w:trPr>
          <w:cnfStyle w:val="000000100000" w:firstRow="0" w:lastRow="0" w:firstColumn="0" w:lastColumn="0" w:oddVBand="0" w:evenVBand="0" w:oddHBand="1" w:evenHBand="0" w:firstRowFirstColumn="0" w:firstRowLastColumn="0" w:lastRowFirstColumn="0" w:lastRowLastColumn="0"/>
        </w:trPr>
        <w:tc>
          <w:tcPr>
            <w:tcW w:w="4186" w:type="dxa"/>
            <w:tcBorders>
              <w:top w:val="single" w:sz="4" w:space="0" w:color="auto"/>
              <w:left w:val="single" w:sz="4" w:space="0" w:color="auto"/>
              <w:bottom w:val="single" w:sz="4" w:space="0" w:color="auto"/>
              <w:right w:val="single" w:sz="4" w:space="0" w:color="auto"/>
            </w:tcBorders>
          </w:tcPr>
          <w:p w14:paraId="57C32F73" w14:textId="77777777" w:rsidR="00C56192" w:rsidRPr="00146E6C" w:rsidRDefault="00C56192" w:rsidP="00E36FE2">
            <w:pPr>
              <w:spacing w:before="60" w:after="60" w:line="276" w:lineRule="auto"/>
              <w:rPr>
                <w:rFonts w:eastAsia="Times New Roman"/>
                <w:b/>
                <w:bCs/>
                <w:szCs w:val="26"/>
              </w:rPr>
            </w:pPr>
            <w:r w:rsidRPr="00146E6C">
              <w:rPr>
                <w:rFonts w:eastAsia="Times New Roman" w:cs="Arial"/>
                <w:b/>
                <w:bCs/>
                <w:szCs w:val="26"/>
              </w:rPr>
              <w:t>Numerator</w:t>
            </w:r>
          </w:p>
        </w:tc>
        <w:tc>
          <w:tcPr>
            <w:tcW w:w="3894" w:type="dxa"/>
            <w:tcBorders>
              <w:top w:val="single" w:sz="4" w:space="0" w:color="auto"/>
              <w:left w:val="single" w:sz="4" w:space="0" w:color="auto"/>
              <w:bottom w:val="single" w:sz="4" w:space="0" w:color="auto"/>
              <w:right w:val="single" w:sz="4" w:space="0" w:color="auto"/>
            </w:tcBorders>
          </w:tcPr>
          <w:p w14:paraId="7600277D" w14:textId="77777777" w:rsidR="00C56192" w:rsidRPr="00146E6C" w:rsidRDefault="00C56192" w:rsidP="00E36FE2">
            <w:pPr>
              <w:spacing w:before="60" w:after="60" w:line="276" w:lineRule="auto"/>
            </w:pPr>
            <w:r w:rsidRPr="00146E6C">
              <w:t>Of the denominator, the number who received a learning disability Annual Health Check and have a completed Health Action Plan in addition to a recording of ethnicity.</w:t>
            </w:r>
          </w:p>
        </w:tc>
      </w:tr>
      <w:tr w:rsidR="00C56192" w:rsidRPr="00146E6C" w14:paraId="4469B4EB" w14:textId="77777777" w:rsidTr="00BB6E80">
        <w:tc>
          <w:tcPr>
            <w:tcW w:w="4186" w:type="dxa"/>
            <w:tcBorders>
              <w:top w:val="single" w:sz="4" w:space="0" w:color="auto"/>
              <w:bottom w:val="single" w:sz="4" w:space="0" w:color="auto"/>
              <w:right w:val="single" w:sz="4" w:space="0" w:color="auto"/>
            </w:tcBorders>
          </w:tcPr>
          <w:p w14:paraId="07B2E2A6" w14:textId="77777777" w:rsidR="00C56192" w:rsidRPr="00146E6C" w:rsidRDefault="00C56192" w:rsidP="00E36FE2">
            <w:pPr>
              <w:spacing w:before="60" w:after="60" w:line="276" w:lineRule="auto"/>
              <w:rPr>
                <w:b/>
              </w:rPr>
            </w:pPr>
            <w:r w:rsidRPr="00146E6C">
              <w:rPr>
                <w:b/>
              </w:rPr>
              <w:t>Prevalence numerator</w:t>
            </w:r>
          </w:p>
        </w:tc>
        <w:tc>
          <w:tcPr>
            <w:tcW w:w="3894" w:type="dxa"/>
            <w:tcBorders>
              <w:top w:val="single" w:sz="4" w:space="0" w:color="auto"/>
              <w:left w:val="single" w:sz="4" w:space="0" w:color="auto"/>
              <w:bottom w:val="single" w:sz="4" w:space="0" w:color="auto"/>
              <w:right w:val="single" w:sz="4" w:space="0" w:color="auto"/>
            </w:tcBorders>
          </w:tcPr>
          <w:p w14:paraId="74ADA396" w14:textId="77777777" w:rsidR="00C56192" w:rsidRPr="00146E6C" w:rsidDel="00EB1F1D" w:rsidRDefault="00C56192" w:rsidP="00E36FE2">
            <w:pPr>
              <w:spacing w:before="60" w:after="60" w:line="276" w:lineRule="auto"/>
            </w:pPr>
            <w:r w:rsidRPr="00146E6C">
              <w:t xml:space="preserve">Indicator denominator </w:t>
            </w:r>
          </w:p>
        </w:tc>
      </w:tr>
      <w:tr w:rsidR="00C56192" w:rsidRPr="00146E6C" w14:paraId="77251093" w14:textId="77777777" w:rsidTr="00BB6E80">
        <w:trPr>
          <w:cnfStyle w:val="000000100000" w:firstRow="0" w:lastRow="0" w:firstColumn="0" w:lastColumn="0" w:oddVBand="0" w:evenVBand="0" w:oddHBand="1" w:evenHBand="0" w:firstRowFirstColumn="0" w:firstRowLastColumn="0" w:lastRowFirstColumn="0" w:lastRowLastColumn="0"/>
        </w:trPr>
        <w:tc>
          <w:tcPr>
            <w:tcW w:w="4186" w:type="dxa"/>
            <w:tcBorders>
              <w:top w:val="single" w:sz="4" w:space="0" w:color="auto"/>
              <w:left w:val="single" w:sz="4" w:space="0" w:color="auto"/>
              <w:bottom w:val="single" w:sz="4" w:space="0" w:color="auto"/>
              <w:right w:val="single" w:sz="4" w:space="0" w:color="auto"/>
            </w:tcBorders>
          </w:tcPr>
          <w:p w14:paraId="264E65ED" w14:textId="77777777" w:rsidR="00C56192" w:rsidRPr="00146E6C" w:rsidRDefault="00C56192" w:rsidP="00E36FE2">
            <w:pPr>
              <w:spacing w:before="60" w:after="60" w:line="276" w:lineRule="auto"/>
              <w:rPr>
                <w:b/>
              </w:rPr>
            </w:pPr>
            <w:r w:rsidRPr="00146E6C">
              <w:rPr>
                <w:b/>
              </w:rPr>
              <w:t>Exclusions</w:t>
            </w:r>
          </w:p>
        </w:tc>
        <w:tc>
          <w:tcPr>
            <w:tcW w:w="3894" w:type="dxa"/>
            <w:tcBorders>
              <w:top w:val="single" w:sz="4" w:space="0" w:color="auto"/>
              <w:left w:val="single" w:sz="4" w:space="0" w:color="auto"/>
              <w:bottom w:val="single" w:sz="4" w:space="0" w:color="auto"/>
              <w:right w:val="single" w:sz="4" w:space="0" w:color="auto"/>
            </w:tcBorders>
          </w:tcPr>
          <w:p w14:paraId="28A904AC" w14:textId="77777777" w:rsidR="00C56192" w:rsidRPr="00146E6C" w:rsidRDefault="00C56192" w:rsidP="00E36FE2">
            <w:pPr>
              <w:spacing w:before="60" w:after="60" w:line="276" w:lineRule="auto"/>
            </w:pPr>
            <w:r w:rsidRPr="00146E6C">
              <w:t>None</w:t>
            </w:r>
          </w:p>
        </w:tc>
      </w:tr>
      <w:tr w:rsidR="00C56192" w:rsidRPr="00146E6C" w14:paraId="2148CF16" w14:textId="77777777" w:rsidTr="00BB6E80">
        <w:tc>
          <w:tcPr>
            <w:tcW w:w="4186" w:type="dxa"/>
            <w:tcBorders>
              <w:top w:val="single" w:sz="4" w:space="0" w:color="auto"/>
              <w:left w:val="single" w:sz="4" w:space="0" w:color="auto"/>
              <w:bottom w:val="single" w:sz="4" w:space="0" w:color="auto"/>
              <w:right w:val="single" w:sz="4" w:space="0" w:color="auto"/>
            </w:tcBorders>
          </w:tcPr>
          <w:p w14:paraId="63F9CC4A" w14:textId="77777777" w:rsidR="00C56192" w:rsidRPr="00146E6C" w:rsidRDefault="00C56192" w:rsidP="00E36FE2">
            <w:pPr>
              <w:spacing w:before="60" w:after="60" w:line="276" w:lineRule="auto"/>
              <w:rPr>
                <w:b/>
              </w:rPr>
            </w:pPr>
            <w:r w:rsidRPr="00146E6C">
              <w:rPr>
                <w:b/>
              </w:rPr>
              <w:t>Personalised care adjustments</w:t>
            </w:r>
          </w:p>
        </w:tc>
        <w:tc>
          <w:tcPr>
            <w:tcW w:w="3894" w:type="dxa"/>
            <w:tcBorders>
              <w:top w:val="single" w:sz="4" w:space="0" w:color="auto"/>
              <w:left w:val="single" w:sz="4" w:space="0" w:color="auto"/>
              <w:bottom w:val="single" w:sz="4" w:space="0" w:color="auto"/>
              <w:right w:val="single" w:sz="4" w:space="0" w:color="auto"/>
            </w:tcBorders>
          </w:tcPr>
          <w:p w14:paraId="011F1A83" w14:textId="2F8520DC" w:rsidR="00C56192" w:rsidRPr="00146E6C" w:rsidRDefault="00C56192" w:rsidP="00E36FE2">
            <w:pPr>
              <w:spacing w:before="60" w:after="60" w:line="276" w:lineRule="auto"/>
              <w:rPr>
                <w:rFonts w:eastAsia="Times New Roman"/>
                <w:bCs/>
                <w:szCs w:val="26"/>
              </w:rPr>
            </w:pPr>
            <w:r w:rsidRPr="00146E6C">
              <w:t>Patient refused the offer of a learning disability health check or a health action plan</w:t>
            </w:r>
            <w:r w:rsidR="006B3789">
              <w:t>.</w:t>
            </w:r>
          </w:p>
        </w:tc>
      </w:tr>
      <w:tr w:rsidR="00C56192" w:rsidRPr="00146E6C" w14:paraId="19C028C8" w14:textId="77777777" w:rsidTr="00BB6E80">
        <w:trPr>
          <w:cnfStyle w:val="000000100000" w:firstRow="0" w:lastRow="0" w:firstColumn="0" w:lastColumn="0" w:oddVBand="0" w:evenVBand="0" w:oddHBand="1" w:evenHBand="0" w:firstRowFirstColumn="0" w:firstRowLastColumn="0" w:lastRowFirstColumn="0" w:lastRowLastColumn="0"/>
        </w:trPr>
        <w:tc>
          <w:tcPr>
            <w:tcW w:w="4186" w:type="dxa"/>
            <w:tcBorders>
              <w:top w:val="single" w:sz="4" w:space="0" w:color="auto"/>
              <w:left w:val="single" w:sz="4" w:space="0" w:color="auto"/>
              <w:bottom w:val="single" w:sz="4" w:space="0" w:color="auto"/>
              <w:right w:val="single" w:sz="4" w:space="0" w:color="auto"/>
            </w:tcBorders>
          </w:tcPr>
          <w:p w14:paraId="013D3B04" w14:textId="77777777" w:rsidR="00C56192" w:rsidRPr="00146E6C" w:rsidRDefault="00C56192" w:rsidP="00E36FE2">
            <w:pPr>
              <w:spacing w:before="60" w:after="60" w:line="276" w:lineRule="auto"/>
              <w:rPr>
                <w:b/>
              </w:rPr>
            </w:pPr>
            <w:r w:rsidRPr="00146E6C">
              <w:rPr>
                <w:b/>
              </w:rPr>
              <w:t>Desired direction</w:t>
            </w:r>
          </w:p>
        </w:tc>
        <w:tc>
          <w:tcPr>
            <w:tcW w:w="3894" w:type="dxa"/>
            <w:tcBorders>
              <w:top w:val="single" w:sz="4" w:space="0" w:color="auto"/>
              <w:left w:val="single" w:sz="4" w:space="0" w:color="auto"/>
              <w:bottom w:val="single" w:sz="4" w:space="0" w:color="auto"/>
              <w:right w:val="single" w:sz="4" w:space="0" w:color="auto"/>
            </w:tcBorders>
          </w:tcPr>
          <w:p w14:paraId="250DB407" w14:textId="77777777" w:rsidR="00C56192" w:rsidRPr="00146E6C" w:rsidRDefault="00C56192" w:rsidP="00E36FE2">
            <w:pPr>
              <w:spacing w:before="60" w:after="60" w:line="276" w:lineRule="auto"/>
            </w:pPr>
            <w:r w:rsidRPr="00146E6C">
              <w:t>Upwards</w:t>
            </w:r>
          </w:p>
        </w:tc>
      </w:tr>
      <w:tr w:rsidR="00C56192" w:rsidRPr="00146E6C" w14:paraId="0FD73ACB" w14:textId="77777777" w:rsidTr="00BB6E80">
        <w:tc>
          <w:tcPr>
            <w:tcW w:w="4186" w:type="dxa"/>
            <w:tcBorders>
              <w:top w:val="single" w:sz="4" w:space="0" w:color="auto"/>
              <w:left w:val="single" w:sz="4" w:space="0" w:color="auto"/>
              <w:bottom w:val="single" w:sz="4" w:space="0" w:color="auto"/>
              <w:right w:val="single" w:sz="4" w:space="0" w:color="auto"/>
            </w:tcBorders>
          </w:tcPr>
          <w:p w14:paraId="7BE938C6" w14:textId="77777777" w:rsidR="00C56192" w:rsidRPr="00146E6C" w:rsidRDefault="00C56192" w:rsidP="00E36FE2">
            <w:pPr>
              <w:spacing w:before="60" w:after="60" w:line="276" w:lineRule="auto"/>
              <w:rPr>
                <w:b/>
              </w:rPr>
            </w:pPr>
            <w:r w:rsidRPr="00146E6C">
              <w:rPr>
                <w:b/>
              </w:rPr>
              <w:t>Thresholds</w:t>
            </w:r>
          </w:p>
        </w:tc>
        <w:tc>
          <w:tcPr>
            <w:tcW w:w="3894" w:type="dxa"/>
            <w:tcBorders>
              <w:top w:val="single" w:sz="4" w:space="0" w:color="auto"/>
              <w:left w:val="single" w:sz="4" w:space="0" w:color="auto"/>
              <w:bottom w:val="single" w:sz="4" w:space="0" w:color="auto"/>
              <w:right w:val="single" w:sz="4" w:space="0" w:color="auto"/>
            </w:tcBorders>
          </w:tcPr>
          <w:p w14:paraId="3D340601" w14:textId="77777777" w:rsidR="00C56192" w:rsidRPr="00146E6C" w:rsidRDefault="00C56192" w:rsidP="00E36FE2">
            <w:pPr>
              <w:spacing w:before="60" w:after="60" w:line="276" w:lineRule="auto"/>
            </w:pPr>
            <w:r w:rsidRPr="00146E6C">
              <w:t>60% (LT), 80% (UT)</w:t>
            </w:r>
          </w:p>
        </w:tc>
      </w:tr>
      <w:tr w:rsidR="00C56192" w:rsidRPr="00146E6C" w14:paraId="706A64AE" w14:textId="77777777" w:rsidTr="00BB6E80">
        <w:trPr>
          <w:cnfStyle w:val="000000100000" w:firstRow="0" w:lastRow="0" w:firstColumn="0" w:lastColumn="0" w:oddVBand="0" w:evenVBand="0" w:oddHBand="1" w:evenHBand="0" w:firstRowFirstColumn="0" w:firstRowLastColumn="0" w:lastRowFirstColumn="0" w:lastRowLastColumn="0"/>
        </w:trPr>
        <w:tc>
          <w:tcPr>
            <w:tcW w:w="4186" w:type="dxa"/>
            <w:tcBorders>
              <w:top w:val="single" w:sz="4" w:space="0" w:color="auto"/>
              <w:left w:val="single" w:sz="4" w:space="0" w:color="auto"/>
              <w:bottom w:val="single" w:sz="4" w:space="0" w:color="auto"/>
              <w:right w:val="single" w:sz="4" w:space="0" w:color="auto"/>
            </w:tcBorders>
          </w:tcPr>
          <w:p w14:paraId="4EF73CD6" w14:textId="77777777" w:rsidR="00C56192" w:rsidRPr="00146E6C" w:rsidRDefault="00C56192" w:rsidP="00E36FE2">
            <w:pPr>
              <w:spacing w:before="60" w:after="60" w:line="276" w:lineRule="auto"/>
              <w:rPr>
                <w:rFonts w:eastAsia="Times New Roman"/>
                <w:b/>
                <w:bCs/>
                <w:szCs w:val="26"/>
              </w:rPr>
            </w:pPr>
            <w:r w:rsidRPr="00146E6C">
              <w:rPr>
                <w:rFonts w:eastAsia="Times New Roman"/>
                <w:b/>
                <w:bCs/>
                <w:szCs w:val="26"/>
              </w:rPr>
              <w:t>Points</w:t>
            </w:r>
          </w:p>
        </w:tc>
        <w:tc>
          <w:tcPr>
            <w:tcW w:w="3894" w:type="dxa"/>
            <w:tcBorders>
              <w:top w:val="single" w:sz="4" w:space="0" w:color="auto"/>
              <w:left w:val="single" w:sz="4" w:space="0" w:color="auto"/>
              <w:bottom w:val="single" w:sz="4" w:space="0" w:color="auto"/>
              <w:right w:val="single" w:sz="4" w:space="0" w:color="auto"/>
            </w:tcBorders>
          </w:tcPr>
          <w:p w14:paraId="7DE5B554" w14:textId="77777777" w:rsidR="00C56192" w:rsidRPr="00146E6C" w:rsidRDefault="00C56192" w:rsidP="00E36FE2">
            <w:pPr>
              <w:spacing w:before="60" w:after="60" w:line="276" w:lineRule="auto"/>
              <w:rPr>
                <w:rFonts w:eastAsia="Times New Roman"/>
                <w:bCs/>
                <w:szCs w:val="26"/>
              </w:rPr>
            </w:pPr>
            <w:r w:rsidRPr="00146E6C">
              <w:rPr>
                <w:rFonts w:eastAsia="Times New Roman"/>
                <w:bCs/>
                <w:szCs w:val="26"/>
              </w:rPr>
              <w:t>36</w:t>
            </w:r>
          </w:p>
        </w:tc>
      </w:tr>
      <w:tr w:rsidR="00C56192" w:rsidRPr="00146E6C" w14:paraId="4405C525" w14:textId="77777777" w:rsidTr="00BB6E80">
        <w:tc>
          <w:tcPr>
            <w:tcW w:w="4186" w:type="dxa"/>
            <w:tcBorders>
              <w:top w:val="single" w:sz="4" w:space="0" w:color="auto"/>
              <w:left w:val="single" w:sz="4" w:space="0" w:color="auto"/>
              <w:bottom w:val="single" w:sz="4" w:space="0" w:color="auto"/>
              <w:right w:val="single" w:sz="4" w:space="0" w:color="auto"/>
            </w:tcBorders>
          </w:tcPr>
          <w:p w14:paraId="3CA54925" w14:textId="77777777" w:rsidR="00C56192" w:rsidRPr="00146E6C" w:rsidRDefault="00C56192" w:rsidP="00E36FE2">
            <w:pPr>
              <w:spacing w:before="60" w:after="60" w:line="276" w:lineRule="auto"/>
              <w:rPr>
                <w:rFonts w:eastAsia="Times New Roman"/>
                <w:b/>
                <w:bCs/>
                <w:szCs w:val="26"/>
              </w:rPr>
            </w:pPr>
            <w:r w:rsidRPr="00146E6C">
              <w:rPr>
                <w:rFonts w:eastAsia="Times New Roman" w:cs="Arial"/>
                <w:b/>
                <w:bCs/>
                <w:szCs w:val="26"/>
              </w:rPr>
              <w:t>Data source</w:t>
            </w:r>
          </w:p>
        </w:tc>
        <w:tc>
          <w:tcPr>
            <w:tcW w:w="3894" w:type="dxa"/>
            <w:tcBorders>
              <w:top w:val="single" w:sz="4" w:space="0" w:color="auto"/>
              <w:left w:val="single" w:sz="4" w:space="0" w:color="auto"/>
              <w:bottom w:val="single" w:sz="4" w:space="0" w:color="auto"/>
              <w:right w:val="single" w:sz="4" w:space="0" w:color="auto"/>
            </w:tcBorders>
          </w:tcPr>
          <w:p w14:paraId="2BF3D381" w14:textId="77777777" w:rsidR="00C56192" w:rsidRPr="00146E6C" w:rsidRDefault="00C56192" w:rsidP="00E36FE2">
            <w:pPr>
              <w:spacing w:before="60" w:after="60" w:line="276" w:lineRule="auto"/>
              <w:rPr>
                <w:rFonts w:eastAsia="Times New Roman"/>
                <w:bCs/>
                <w:szCs w:val="26"/>
              </w:rPr>
            </w:pPr>
            <w:r w:rsidRPr="00146E6C">
              <w:rPr>
                <w:rFonts w:eastAsia="Times New Roman"/>
                <w:bCs/>
              </w:rPr>
              <w:t>General Practice Extraction Service (GPES)</w:t>
            </w:r>
          </w:p>
        </w:tc>
      </w:tr>
      <w:tr w:rsidR="00C56192" w:rsidRPr="00146E6C" w14:paraId="73B9CB4D" w14:textId="77777777" w:rsidTr="00BB6E80">
        <w:trPr>
          <w:cnfStyle w:val="000000100000" w:firstRow="0" w:lastRow="0" w:firstColumn="0" w:lastColumn="0" w:oddVBand="0" w:evenVBand="0" w:oddHBand="1" w:evenHBand="0" w:firstRowFirstColumn="0" w:firstRowLastColumn="0" w:lastRowFirstColumn="0" w:lastRowLastColumn="0"/>
        </w:trPr>
        <w:tc>
          <w:tcPr>
            <w:tcW w:w="4186" w:type="dxa"/>
            <w:tcBorders>
              <w:top w:val="single" w:sz="4" w:space="0" w:color="auto"/>
              <w:left w:val="single" w:sz="4" w:space="0" w:color="auto"/>
              <w:bottom w:val="single" w:sz="4" w:space="0" w:color="auto"/>
              <w:right w:val="single" w:sz="4" w:space="0" w:color="auto"/>
            </w:tcBorders>
          </w:tcPr>
          <w:p w14:paraId="2C68E8A5" w14:textId="77777777" w:rsidR="00C56192" w:rsidRPr="00146E6C" w:rsidRDefault="00C56192" w:rsidP="00E36FE2">
            <w:pPr>
              <w:spacing w:before="60" w:after="60" w:line="276" w:lineRule="auto"/>
              <w:rPr>
                <w:rFonts w:eastAsia="Times New Roman"/>
                <w:b/>
                <w:bCs/>
                <w:szCs w:val="26"/>
              </w:rPr>
            </w:pPr>
            <w:r w:rsidRPr="00146E6C">
              <w:rPr>
                <w:rFonts w:eastAsia="Times New Roman" w:cs="Arial"/>
                <w:b/>
                <w:bCs/>
                <w:szCs w:val="26"/>
              </w:rPr>
              <w:lastRenderedPageBreak/>
              <w:t>Subject to declaration?</w:t>
            </w:r>
          </w:p>
        </w:tc>
        <w:tc>
          <w:tcPr>
            <w:tcW w:w="3894" w:type="dxa"/>
            <w:tcBorders>
              <w:top w:val="single" w:sz="4" w:space="0" w:color="auto"/>
              <w:left w:val="single" w:sz="4" w:space="0" w:color="auto"/>
              <w:bottom w:val="single" w:sz="4" w:space="0" w:color="auto"/>
              <w:right w:val="single" w:sz="4" w:space="0" w:color="auto"/>
            </w:tcBorders>
          </w:tcPr>
          <w:p w14:paraId="4FB1D15D" w14:textId="77777777" w:rsidR="00C56192" w:rsidRPr="00146E6C" w:rsidRDefault="00C56192" w:rsidP="00E36FE2">
            <w:pPr>
              <w:spacing w:before="60" w:after="60" w:line="276" w:lineRule="auto"/>
              <w:rPr>
                <w:rFonts w:eastAsia="Times New Roman"/>
                <w:bCs/>
                <w:szCs w:val="26"/>
              </w:rPr>
            </w:pPr>
            <w:r w:rsidRPr="00146E6C">
              <w:rPr>
                <w:rFonts w:eastAsia="Times New Roman"/>
                <w:bCs/>
              </w:rPr>
              <w:t>Yes</w:t>
            </w:r>
          </w:p>
        </w:tc>
      </w:tr>
      <w:tr w:rsidR="00C56192" w:rsidRPr="00146E6C" w14:paraId="3458FDF9" w14:textId="77777777" w:rsidTr="00BB6E80">
        <w:tc>
          <w:tcPr>
            <w:tcW w:w="4186" w:type="dxa"/>
            <w:tcBorders>
              <w:top w:val="single" w:sz="4" w:space="0" w:color="auto"/>
              <w:left w:val="single" w:sz="4" w:space="0" w:color="auto"/>
              <w:bottom w:val="single" w:sz="4" w:space="0" w:color="auto"/>
              <w:right w:val="single" w:sz="4" w:space="0" w:color="auto"/>
            </w:tcBorders>
          </w:tcPr>
          <w:p w14:paraId="39B9461B" w14:textId="77777777" w:rsidR="00C56192" w:rsidRPr="0080630B" w:rsidRDefault="00C56192" w:rsidP="00E36FE2">
            <w:pPr>
              <w:spacing w:before="60" w:after="60" w:line="276" w:lineRule="auto"/>
              <w:rPr>
                <w:rFonts w:eastAsia="Times New Roman"/>
                <w:b/>
                <w:bCs/>
                <w:szCs w:val="26"/>
              </w:rPr>
            </w:pPr>
            <w:r w:rsidRPr="0080630B">
              <w:rPr>
                <w:b/>
              </w:rPr>
              <w:t>Additional information</w:t>
            </w:r>
          </w:p>
        </w:tc>
        <w:tc>
          <w:tcPr>
            <w:tcW w:w="3894" w:type="dxa"/>
            <w:tcBorders>
              <w:top w:val="single" w:sz="4" w:space="0" w:color="auto"/>
              <w:left w:val="single" w:sz="4" w:space="0" w:color="auto"/>
              <w:bottom w:val="single" w:sz="4" w:space="0" w:color="auto"/>
              <w:right w:val="single" w:sz="4" w:space="0" w:color="auto"/>
            </w:tcBorders>
          </w:tcPr>
          <w:p w14:paraId="59C14800" w14:textId="35558D09" w:rsidR="00667CAA" w:rsidRPr="0080630B" w:rsidRDefault="00667CAA" w:rsidP="00E36FE2">
            <w:pPr>
              <w:spacing w:before="60" w:line="276" w:lineRule="auto"/>
              <w:rPr>
                <w:rFonts w:cs="Arial"/>
                <w:color w:val="auto"/>
              </w:rPr>
            </w:pPr>
            <w:r w:rsidRPr="0080630B">
              <w:rPr>
                <w:rFonts w:cs="Arial"/>
                <w:color w:val="auto"/>
              </w:rPr>
              <w:t xml:space="preserve">People with a learning disability are at a higher risk than the general population of treatable and preventable conditions including diabetes type 2, constipation, respiratory and cardiovascular disease. People are less likely to access screening services leading to later diagnosis and poorer outcomes of treatable conditions including cancer. People are more likely to be admitted to hospital with ambulatory care conditions and have longer stays once admitted. </w:t>
            </w:r>
          </w:p>
          <w:p w14:paraId="1D2C76EE" w14:textId="77777777" w:rsidR="00667CAA" w:rsidRPr="0080630B" w:rsidRDefault="00667CAA" w:rsidP="00E36FE2">
            <w:pPr>
              <w:spacing w:before="60" w:line="276" w:lineRule="auto"/>
              <w:rPr>
                <w:rFonts w:cs="Arial"/>
                <w:color w:val="auto"/>
              </w:rPr>
            </w:pPr>
            <w:r w:rsidRPr="0080630B">
              <w:rPr>
                <w:rFonts w:cs="Arial"/>
                <w:color w:val="auto"/>
              </w:rPr>
              <w:t>The 2022 LeDeR report found the median age of death for people with a learning disability was 62.9 years. A report by the Race and health observatory found the average of death of people with a learning disability from a minority ethnic community was 34.</w:t>
            </w:r>
          </w:p>
          <w:p w14:paraId="4DDB40A8" w14:textId="77777777" w:rsidR="00667CAA" w:rsidRPr="0080630B" w:rsidRDefault="00667CAA" w:rsidP="00E36FE2">
            <w:pPr>
              <w:spacing w:before="60" w:line="276" w:lineRule="auto"/>
              <w:rPr>
                <w:rFonts w:cs="Arial"/>
                <w:color w:val="auto"/>
              </w:rPr>
            </w:pPr>
            <w:r w:rsidRPr="0080630B">
              <w:rPr>
                <w:rFonts w:cs="Arial"/>
                <w:color w:val="auto"/>
              </w:rPr>
              <w:t xml:space="preserve">The learning disability annual health check provides an opportunity to take an holistic, personalised overview of the health of the patient, raising awareness of preventative services, identify emerging risks and issues, improve health literacy and develop or maintain a productive relationship between Primary care and the patient (and carers where appropriate). </w:t>
            </w:r>
          </w:p>
          <w:p w14:paraId="10D44CCD" w14:textId="6D3D741F" w:rsidR="00FA7028" w:rsidRPr="0080630B" w:rsidRDefault="00667CAA" w:rsidP="00E36FE2">
            <w:pPr>
              <w:spacing w:line="276" w:lineRule="auto"/>
              <w:textAlignment w:val="baseline"/>
              <w:rPr>
                <w:rFonts w:cs="Arial"/>
              </w:rPr>
            </w:pPr>
            <w:r w:rsidRPr="0080630B">
              <w:rPr>
                <w:rFonts w:cs="Arial"/>
                <w:color w:val="auto"/>
              </w:rPr>
              <w:lastRenderedPageBreak/>
              <w:t xml:space="preserve">The purpose of the health action plan is to support the ongoing health of the patient – working with them to identify health goals and support them  to be a proactive participant in their health and care. Data for 2023/24 showed that there was an average 3.25% disparity between people who had received an Annual Health Check and those who received a Health Action Plan as a consequence.  Reports commissioned by NHS England regarding Annual Health Check delivery suggested that many of the people consulted with had not received a physical copy of a Health Action Plan following their Annual Health Check. A copy of the health action plan should be provided to the patient in accordance with the NHS Accessible communication standard and in line with recorded reasonable adjustments. An accurate recording of ethnicity will provide even greater insight into potential health risks. </w:t>
            </w:r>
          </w:p>
          <w:p w14:paraId="3B931E0E" w14:textId="77777777" w:rsidR="00FA7028" w:rsidRPr="0080630B" w:rsidRDefault="00FA7028" w:rsidP="00E36FE2">
            <w:pPr>
              <w:spacing w:line="276" w:lineRule="auto"/>
              <w:textAlignment w:val="baseline"/>
              <w:rPr>
                <w:rFonts w:cs="Arial"/>
              </w:rPr>
            </w:pPr>
            <w:r w:rsidRPr="0080630B">
              <w:t>NICE Quality Standard 187</w:t>
            </w:r>
            <w:r w:rsidRPr="0080630B">
              <w:rPr>
                <w:rFonts w:cs="Arial"/>
              </w:rPr>
              <w:t xml:space="preserve"> provides the quality standard for learning disability health checks. All checks should be auditable against this standard. </w:t>
            </w:r>
          </w:p>
          <w:p w14:paraId="15F4C0CD" w14:textId="77777777" w:rsidR="00FA7028" w:rsidRPr="0080630B" w:rsidRDefault="00FA7028" w:rsidP="00E36FE2">
            <w:pPr>
              <w:spacing w:line="276" w:lineRule="auto"/>
              <w:textAlignment w:val="baseline"/>
              <w:rPr>
                <w:rFonts w:cs="Arial"/>
              </w:rPr>
            </w:pPr>
            <w:r w:rsidRPr="0080630B">
              <w:rPr>
                <w:rFonts w:cs="Arial"/>
              </w:rPr>
              <w:t xml:space="preserve">This IIF indicator supplements the item of service payment (£140 at the time of publishing this guidance) for annual Learning </w:t>
            </w:r>
            <w:r w:rsidRPr="0080630B">
              <w:rPr>
                <w:rFonts w:cs="Arial"/>
              </w:rPr>
              <w:lastRenderedPageBreak/>
              <w:t>Disability health checks, which is paid as an Enhanced Service. </w:t>
            </w:r>
          </w:p>
          <w:p w14:paraId="69953769" w14:textId="77777777" w:rsidR="00FA7028" w:rsidRPr="0080630B" w:rsidRDefault="00FA7028" w:rsidP="00E36FE2">
            <w:pPr>
              <w:spacing w:line="276" w:lineRule="auto"/>
              <w:textAlignment w:val="baseline"/>
              <w:rPr>
                <w:rFonts w:cs="Arial"/>
                <w:color w:val="auto"/>
              </w:rPr>
            </w:pPr>
            <w:r w:rsidRPr="0080630B">
              <w:rPr>
                <w:rFonts w:cs="Arial"/>
              </w:rPr>
              <w:t xml:space="preserve">In providing the annual health check, clinicians are reminded that discussing the Health Action Plan is an essential component of the check and integral to its overall efficacy. Patients should leave their health check with a copy, which meets the </w:t>
            </w:r>
            <w:r w:rsidRPr="0080630B">
              <w:t>NHS Accessible communication standard</w:t>
            </w:r>
            <w:r w:rsidRPr="0080630B">
              <w:rPr>
                <w:rFonts w:cs="Arial"/>
              </w:rPr>
              <w:t xml:space="preserve">, of the action plan discussed, to support them in managing their health </w:t>
            </w:r>
            <w:r w:rsidRPr="0080630B">
              <w:rPr>
                <w:rFonts w:cs="Arial"/>
                <w:color w:val="auto"/>
              </w:rPr>
              <w:t>and wellbeing.  </w:t>
            </w:r>
          </w:p>
          <w:p w14:paraId="4EC8BEF0" w14:textId="23A224B6" w:rsidR="00FA7028" w:rsidRPr="0080630B" w:rsidRDefault="00FA7028" w:rsidP="00E36FE2">
            <w:pPr>
              <w:spacing w:line="276" w:lineRule="auto"/>
              <w:textAlignment w:val="baseline"/>
              <w:rPr>
                <w:rFonts w:cs="Arial"/>
                <w:color w:val="auto"/>
                <w:lang w:val="en-GB"/>
              </w:rPr>
            </w:pPr>
            <w:r w:rsidRPr="0080630B">
              <w:rPr>
                <w:rFonts w:cs="Arial"/>
              </w:rPr>
              <w:t xml:space="preserve">The IIF supports case identification by employing a prevalence adjustment and list size adjustment to Achievement Payments. The combined effect of these adjustments is to make a PCN’s earning ability in respect of indicator HI-01 proportional to the number of patients on the learning disability register. </w:t>
            </w:r>
            <w:r w:rsidRPr="0080630B">
              <w:rPr>
                <w:rFonts w:cs="Arial"/>
                <w:color w:val="auto"/>
              </w:rPr>
              <w:t>Further details of these adjustments are provided in Annex A</w:t>
            </w:r>
            <w:r w:rsidR="00153DE1" w:rsidRPr="0080630B">
              <w:rPr>
                <w:rFonts w:cs="Arial"/>
                <w:color w:val="auto"/>
                <w:lang w:val="en-GB"/>
              </w:rPr>
              <w:t>.</w:t>
            </w:r>
          </w:p>
          <w:p w14:paraId="000CCEE9" w14:textId="411A06D3" w:rsidR="00667CAA" w:rsidRPr="0080630B" w:rsidRDefault="00667CAA" w:rsidP="00E36FE2">
            <w:pPr>
              <w:spacing w:line="276" w:lineRule="auto"/>
              <w:textAlignment w:val="baseline"/>
              <w:rPr>
                <w:rFonts w:cs="Arial"/>
                <w:color w:val="auto"/>
                <w:lang w:val="en-GB"/>
              </w:rPr>
            </w:pPr>
            <w:r w:rsidRPr="0080630B">
              <w:rPr>
                <w:rFonts w:cs="Arial"/>
                <w:color w:val="auto"/>
              </w:rPr>
              <w:t>In recognition of concerns raised about patients inappropriately added to the learning disability register as a result of an associated diagnosis and SNOMED coding, a removal code will be available – PCNs must assure themselves patients cannot be erroneously removed</w:t>
            </w:r>
            <w:r w:rsidR="001A7C9F" w:rsidRPr="0080630B">
              <w:rPr>
                <w:rFonts w:cs="Arial"/>
                <w:color w:val="auto"/>
              </w:rPr>
              <w:t>.</w:t>
            </w:r>
          </w:p>
          <w:p w14:paraId="000415A9" w14:textId="0DE92E80" w:rsidR="00FA7028" w:rsidRPr="0080630B" w:rsidRDefault="00667CAA" w:rsidP="00E36FE2">
            <w:pPr>
              <w:spacing w:line="276" w:lineRule="auto"/>
              <w:textAlignment w:val="baseline"/>
              <w:rPr>
                <w:rFonts w:cs="Arial"/>
                <w:color w:val="auto"/>
              </w:rPr>
            </w:pPr>
            <w:r w:rsidRPr="0080630B">
              <w:rPr>
                <w:rFonts w:cs="Arial"/>
                <w:color w:val="auto"/>
              </w:rPr>
              <w:lastRenderedPageBreak/>
              <w:t xml:space="preserve">PCAs are available if the patient refuses the offer of a learning disability health check or a health action plan. </w:t>
            </w:r>
            <w:r w:rsidR="00FA7028" w:rsidRPr="0080630B">
              <w:rPr>
                <w:rFonts w:cs="Arial"/>
              </w:rPr>
              <w:t xml:space="preserve">GPs are reminded that in order for a patient to refuse, their capacity should be assessed using the Mental Capacity Act framework. Where the individual does not have capacity a best interest process should be </w:t>
            </w:r>
            <w:r w:rsidR="00FA7028" w:rsidRPr="0080630B">
              <w:rPr>
                <w:rFonts w:cs="Arial"/>
                <w:color w:val="auto"/>
              </w:rPr>
              <w:t>followed. </w:t>
            </w:r>
          </w:p>
          <w:p w14:paraId="4420D799" w14:textId="3C416458" w:rsidR="00667CAA" w:rsidRPr="0080630B" w:rsidRDefault="00FA7028" w:rsidP="00E36FE2">
            <w:pPr>
              <w:spacing w:after="0" w:line="276" w:lineRule="auto"/>
              <w:textAlignment w:val="baseline"/>
              <w:rPr>
                <w:rFonts w:cs="Arial"/>
              </w:rPr>
            </w:pPr>
            <w:r w:rsidRPr="0080630B">
              <w:rPr>
                <w:rFonts w:cs="Arial"/>
              </w:rPr>
              <w:t>Further Information </w:t>
            </w:r>
          </w:p>
          <w:p w14:paraId="7A8A5D5E" w14:textId="39159201" w:rsidR="00667CAA" w:rsidRPr="0080630B" w:rsidRDefault="00667CAA" w:rsidP="00E36FE2">
            <w:pPr>
              <w:pStyle w:val="Bulletlist"/>
              <w:spacing w:line="276" w:lineRule="auto"/>
              <w:ind w:left="439"/>
              <w:rPr>
                <w:lang w:val="en-GB"/>
              </w:rPr>
            </w:pPr>
            <w:hyperlink r:id="rId19" w:tgtFrame="_blank" w:history="1">
              <w:r w:rsidRPr="0080630B">
                <w:rPr>
                  <w:rStyle w:val="Hyperlink"/>
                </w:rPr>
                <w:t>NHS England: Learning Disability Annual Health Checks</w:t>
              </w:r>
            </w:hyperlink>
            <w:r w:rsidRPr="0080630B">
              <w:t> </w:t>
            </w:r>
          </w:p>
          <w:p w14:paraId="292CC786" w14:textId="0933E251" w:rsidR="00667CAA" w:rsidRPr="0080630B" w:rsidRDefault="00667CAA" w:rsidP="00E36FE2">
            <w:pPr>
              <w:pStyle w:val="Bulletlist"/>
              <w:spacing w:line="276" w:lineRule="auto"/>
              <w:ind w:left="439"/>
              <w:rPr>
                <w:lang w:val="en-GB"/>
              </w:rPr>
            </w:pPr>
            <w:hyperlink r:id="rId20" w:tgtFrame="_blank" w:history="1">
              <w:r w:rsidRPr="0080630B">
                <w:rPr>
                  <w:rStyle w:val="Hyperlink"/>
                </w:rPr>
                <w:t>Mencap charity: Leaflets and resources to encourage people to take up an annual health check</w:t>
              </w:r>
            </w:hyperlink>
            <w:r w:rsidRPr="0080630B">
              <w:t> </w:t>
            </w:r>
          </w:p>
          <w:p w14:paraId="35EF3A92" w14:textId="4927F8BC" w:rsidR="00667CAA" w:rsidRPr="0080630B" w:rsidRDefault="00667CAA" w:rsidP="00E36FE2">
            <w:pPr>
              <w:pStyle w:val="Bulletlist"/>
              <w:spacing w:line="276" w:lineRule="auto"/>
              <w:ind w:left="439"/>
            </w:pPr>
            <w:hyperlink r:id="rId21" w:tgtFrame="_blank" w:history="1">
              <w:r w:rsidRPr="0080630B">
                <w:rPr>
                  <w:rStyle w:val="Hyperlink"/>
                </w:rPr>
                <w:t>Contact (charity): Annual health checks: Factsheet for parents</w:t>
              </w:r>
            </w:hyperlink>
          </w:p>
          <w:p w14:paraId="35A6B32E" w14:textId="0C0902DD" w:rsidR="00667CAA" w:rsidRPr="0080630B" w:rsidRDefault="00667CAA" w:rsidP="00E36FE2">
            <w:pPr>
              <w:pStyle w:val="Bulletlist"/>
              <w:spacing w:line="276" w:lineRule="auto"/>
              <w:ind w:left="439"/>
              <w:rPr>
                <w:lang w:val="en-GB"/>
              </w:rPr>
            </w:pPr>
            <w:hyperlink r:id="rId22" w:tgtFrame="_blank" w:history="1">
              <w:r w:rsidRPr="0080630B">
                <w:rPr>
                  <w:rStyle w:val="Hyperlink"/>
                </w:rPr>
                <w:t>Annual Health Checks and people with learning disabilities guidance</w:t>
              </w:r>
            </w:hyperlink>
            <w:r w:rsidRPr="0080630B">
              <w:t xml:space="preserve"> includes evidence for an annual heath check and further resources including videos on how to complete an annual health check. </w:t>
            </w:r>
          </w:p>
          <w:p w14:paraId="5734B1C5" w14:textId="5E0B78E6" w:rsidR="00667CAA" w:rsidRPr="0080630B" w:rsidRDefault="00667CAA" w:rsidP="00E36FE2">
            <w:pPr>
              <w:pStyle w:val="Bulletlist"/>
              <w:spacing w:line="276" w:lineRule="auto"/>
              <w:ind w:left="439"/>
              <w:rPr>
                <w:rStyle w:val="Hyperlink"/>
                <w:lang w:val="en-GB"/>
              </w:rPr>
            </w:pPr>
            <w:r w:rsidRPr="0080630B">
              <w:fldChar w:fldCharType="begin"/>
            </w:r>
            <w:r w:rsidRPr="0080630B">
              <w:instrText>HYPERLINK "https://www.ndti.org.uk/resources/health-check-resources-guides" \t "_blank"</w:instrText>
            </w:r>
            <w:r w:rsidRPr="0080630B">
              <w:fldChar w:fldCharType="separate"/>
            </w:r>
            <w:r w:rsidRPr="0080630B">
              <w:rPr>
                <w:rStyle w:val="Hyperlink"/>
              </w:rPr>
              <w:t>NDTI resources </w:t>
            </w:r>
          </w:p>
          <w:p w14:paraId="7D412790" w14:textId="5C5B0647" w:rsidR="00667CAA" w:rsidRPr="0080630B" w:rsidRDefault="00667CAA" w:rsidP="00E36FE2">
            <w:pPr>
              <w:pStyle w:val="Bulletlist"/>
              <w:spacing w:line="276" w:lineRule="auto"/>
              <w:ind w:left="471"/>
              <w:rPr>
                <w:rStyle w:val="Hyperlink"/>
                <w:rFonts w:ascii="Arial" w:hAnsi="Arial" w:cs="Arial"/>
                <w:color w:val="000000"/>
                <w:u w:val="none"/>
                <w:lang w:val="en-GB"/>
              </w:rPr>
            </w:pPr>
            <w:r w:rsidRPr="0080630B">
              <w:fldChar w:fldCharType="end"/>
            </w:r>
            <w:hyperlink r:id="rId23" w:history="1">
              <w:r w:rsidRPr="0080630B">
                <w:rPr>
                  <w:rStyle w:val="Hyperlink"/>
                </w:rPr>
                <w:t>Learning from Lives and deaths (LeDeR)</w:t>
              </w:r>
            </w:hyperlink>
          </w:p>
          <w:p w14:paraId="119FA3BB" w14:textId="2357528A" w:rsidR="00C56192" w:rsidRPr="0080630B" w:rsidRDefault="00667CAA" w:rsidP="00E36FE2">
            <w:pPr>
              <w:pStyle w:val="Bulletlist"/>
              <w:spacing w:line="276" w:lineRule="auto"/>
              <w:ind w:left="471"/>
              <w:rPr>
                <w:rFonts w:cs="Arial"/>
                <w:color w:val="auto"/>
              </w:rPr>
            </w:pPr>
            <w:hyperlink r:id="rId24" w:history="1">
              <w:r w:rsidRPr="0080630B">
                <w:rPr>
                  <w:rStyle w:val="Hyperlink"/>
                </w:rPr>
                <w:t>Race Health Observatory “We deserve better”</w:t>
              </w:r>
            </w:hyperlink>
            <w:r w:rsidRPr="0080630B">
              <w:rPr>
                <w:lang w:val="en-GB"/>
              </w:rPr>
              <w:t xml:space="preserve"> </w:t>
            </w:r>
          </w:p>
        </w:tc>
      </w:tr>
    </w:tbl>
    <w:p w14:paraId="55140668" w14:textId="77777777" w:rsidR="00C56192" w:rsidRPr="00146E6C" w:rsidRDefault="00C56192" w:rsidP="00E36FE2">
      <w:pPr>
        <w:spacing w:line="276" w:lineRule="auto"/>
      </w:pPr>
    </w:p>
    <w:p w14:paraId="3F3BAA5A" w14:textId="6799E37D" w:rsidR="00C56192" w:rsidRPr="00146E6C" w:rsidRDefault="00C56192" w:rsidP="00084AFF">
      <w:pPr>
        <w:pStyle w:val="h3numbered"/>
      </w:pPr>
      <w:bookmarkStart w:id="321" w:name="_Toc127800011"/>
      <w:bookmarkStart w:id="322" w:name="_Toc129606202"/>
      <w:bookmarkStart w:id="323" w:name="_Toc223511175"/>
      <w:bookmarkStart w:id="324" w:name="_Toc223511454"/>
      <w:r w:rsidRPr="00146E6C">
        <w:t>Cancer area</w:t>
      </w:r>
      <w:bookmarkEnd w:id="321"/>
      <w:bookmarkEnd w:id="322"/>
      <w:bookmarkEnd w:id="323"/>
      <w:bookmarkEnd w:id="324"/>
    </w:p>
    <w:p w14:paraId="019B6C33" w14:textId="7E01D6C9" w:rsidR="00247BAD" w:rsidRPr="00EF467A" w:rsidRDefault="00EF467A" w:rsidP="00084AFF">
      <w:pPr>
        <w:pStyle w:val="h4numbered"/>
        <w:rPr>
          <w:highlight w:val="yellow"/>
        </w:rPr>
      </w:pPr>
      <w:r w:rsidRPr="00EF467A">
        <w:rPr>
          <w:highlight w:val="yellow"/>
        </w:rPr>
        <w:lastRenderedPageBreak/>
        <w:t>The indicator supports efforts to reduce the backlog of cancer care. The exact definition of the cancer indicator focuses on the proportion of people who have been referred, rather than the proportion of referrals made. This addresses a potential risk that some referrals may be duplicated in performance data and so more accurately reflects true indicator performance</w:t>
      </w:r>
      <w:r>
        <w:rPr>
          <w:highlight w:val="yellow"/>
        </w:rPr>
        <w:t>.</w:t>
      </w:r>
    </w:p>
    <w:p w14:paraId="64EDD025" w14:textId="77777777" w:rsidR="00C56192" w:rsidRPr="00146E6C" w:rsidRDefault="00C56192" w:rsidP="00E36FE2">
      <w:pPr>
        <w:spacing w:line="276" w:lineRule="auto"/>
      </w:pPr>
    </w:p>
    <w:tbl>
      <w:tblPr>
        <w:tblStyle w:val="NHSTable"/>
        <w:tblW w:w="8930" w:type="dxa"/>
        <w:tblInd w:w="846" w:type="dxa"/>
        <w:tblBorders>
          <w:top w:val="single" w:sz="4" w:space="0" w:color="005EB8"/>
          <w:left w:val="single" w:sz="4" w:space="0" w:color="005EB8"/>
          <w:bottom w:val="single" w:sz="4" w:space="0" w:color="005EB8"/>
          <w:right w:val="single" w:sz="4" w:space="0" w:color="005EB8"/>
        </w:tblBorders>
        <w:tblLook w:val="04A0" w:firstRow="1" w:lastRow="0" w:firstColumn="1" w:lastColumn="0" w:noHBand="0" w:noVBand="1"/>
      </w:tblPr>
      <w:tblGrid>
        <w:gridCol w:w="4143"/>
        <w:gridCol w:w="4787"/>
      </w:tblGrid>
      <w:tr w:rsidR="00C56192" w:rsidRPr="00146E6C" w14:paraId="324DE04E" w14:textId="77777777" w:rsidTr="0040181B">
        <w:trPr>
          <w:cnfStyle w:val="100000000000" w:firstRow="1" w:lastRow="0" w:firstColumn="0" w:lastColumn="0" w:oddVBand="0" w:evenVBand="0" w:oddHBand="0" w:evenHBand="0" w:firstRowFirstColumn="0" w:firstRowLastColumn="0" w:lastRowFirstColumn="0" w:lastRowLastColumn="0"/>
          <w:trHeight w:val="419"/>
          <w:tblHeader/>
        </w:trPr>
        <w:tc>
          <w:tcPr>
            <w:tcW w:w="8930" w:type="dxa"/>
            <w:gridSpan w:val="2"/>
            <w:tcBorders>
              <w:top w:val="single" w:sz="4" w:space="0" w:color="auto"/>
              <w:left w:val="single" w:sz="4" w:space="0" w:color="auto"/>
              <w:bottom w:val="single" w:sz="4" w:space="0" w:color="auto"/>
              <w:right w:val="single" w:sz="4" w:space="0" w:color="auto"/>
            </w:tcBorders>
          </w:tcPr>
          <w:p w14:paraId="1257185A" w14:textId="5F1BDC2F" w:rsidR="00C56192" w:rsidRPr="00146E6C" w:rsidRDefault="00C56192" w:rsidP="00E36FE2">
            <w:pPr>
              <w:spacing w:before="60" w:after="60" w:line="276" w:lineRule="auto"/>
              <w:rPr>
                <w:rFonts w:eastAsia="Times New Roman"/>
                <w:b/>
                <w:bCs/>
                <w:color w:val="FFFFFF"/>
                <w:szCs w:val="26"/>
              </w:rPr>
            </w:pPr>
            <w:r w:rsidRPr="009E4CB6">
              <w:rPr>
                <w:b/>
                <w:bCs/>
                <w:color w:val="003087" w:themeColor="accent1"/>
                <w:szCs w:val="26"/>
              </w:rPr>
              <w:t>CAN0</w:t>
            </w:r>
            <w:r w:rsidR="00F52B74" w:rsidRPr="009E4CB6">
              <w:rPr>
                <w:b/>
                <w:bCs/>
                <w:color w:val="003087" w:themeColor="accent1"/>
                <w:szCs w:val="26"/>
              </w:rPr>
              <w:t>4</w:t>
            </w:r>
            <w:r w:rsidRPr="009E4CB6">
              <w:rPr>
                <w:b/>
                <w:bCs/>
                <w:color w:val="003087" w:themeColor="accent1"/>
                <w:szCs w:val="26"/>
              </w:rPr>
              <w:t xml:space="preserve"> </w:t>
            </w:r>
            <w:r w:rsidR="00F52B74" w:rsidRPr="009E4CB6">
              <w:rPr>
                <w:b/>
                <w:bCs/>
                <w:color w:val="003087" w:themeColor="accent1"/>
                <w:szCs w:val="26"/>
              </w:rPr>
              <w:t>The proportion of patients who have had a lower gastrointestinal urgent suspected cancer referral in the reporting year where at least one urgent suspected cancer referral was accompanied by a faecal immunochemical test result, with the result recorded in the 21 days leading up to the referral.</w:t>
            </w:r>
          </w:p>
        </w:tc>
      </w:tr>
      <w:tr w:rsidR="00C56192" w:rsidRPr="00146E6C" w14:paraId="2C09C73D" w14:textId="77777777" w:rsidTr="0040181B">
        <w:trPr>
          <w:cnfStyle w:val="000000100000" w:firstRow="0" w:lastRow="0" w:firstColumn="0" w:lastColumn="0" w:oddVBand="0" w:evenVBand="0" w:oddHBand="1" w:evenHBand="0" w:firstRowFirstColumn="0" w:firstRowLastColumn="0" w:lastRowFirstColumn="0" w:lastRowLastColumn="0"/>
          <w:trHeight w:val="466"/>
        </w:trPr>
        <w:tc>
          <w:tcPr>
            <w:tcW w:w="4143" w:type="dxa"/>
            <w:tcBorders>
              <w:top w:val="single" w:sz="4" w:space="0" w:color="auto"/>
              <w:left w:val="single" w:sz="4" w:space="0" w:color="auto"/>
              <w:bottom w:val="single" w:sz="4" w:space="0" w:color="auto"/>
              <w:right w:val="single" w:sz="4" w:space="0" w:color="auto"/>
            </w:tcBorders>
          </w:tcPr>
          <w:p w14:paraId="70A2DF3C" w14:textId="77777777" w:rsidR="00C56192" w:rsidRPr="00146E6C" w:rsidRDefault="00C56192" w:rsidP="00E36FE2">
            <w:pPr>
              <w:spacing w:before="60" w:after="60" w:line="276" w:lineRule="auto"/>
              <w:rPr>
                <w:rFonts w:eastAsia="Times New Roman" w:cs="Arial"/>
                <w:b/>
                <w:bCs/>
                <w:szCs w:val="26"/>
              </w:rPr>
            </w:pPr>
            <w:r w:rsidRPr="00146E6C">
              <w:rPr>
                <w:rFonts w:eastAsia="Times New Roman" w:cs="Arial"/>
                <w:b/>
                <w:bCs/>
                <w:szCs w:val="26"/>
              </w:rPr>
              <w:t>Rationale for inclusion</w:t>
            </w:r>
          </w:p>
        </w:tc>
        <w:tc>
          <w:tcPr>
            <w:tcW w:w="4787" w:type="dxa"/>
            <w:tcBorders>
              <w:top w:val="single" w:sz="4" w:space="0" w:color="auto"/>
              <w:left w:val="single" w:sz="4" w:space="0" w:color="auto"/>
              <w:bottom w:val="single" w:sz="4" w:space="0" w:color="auto"/>
              <w:right w:val="single" w:sz="4" w:space="0" w:color="auto"/>
            </w:tcBorders>
          </w:tcPr>
          <w:p w14:paraId="5D069F40" w14:textId="5B9E87F4" w:rsidR="0051688C" w:rsidRPr="0051688C" w:rsidRDefault="0051688C" w:rsidP="00E36FE2">
            <w:pPr>
              <w:spacing w:line="276" w:lineRule="auto"/>
              <w:textAlignment w:val="baseline"/>
              <w:rPr>
                <w:rFonts w:ascii="Calibri" w:hAnsi="Calibri"/>
                <w:color w:val="231F20"/>
                <w:sz w:val="22"/>
                <w:szCs w:val="22"/>
              </w:rPr>
            </w:pPr>
            <w:r>
              <w:rPr>
                <w:rFonts w:cs="Arial"/>
                <w:color w:val="231F20"/>
              </w:rPr>
              <w:t>Comprehensive use of FIT in NG12 patients is critical to improving bowel cancer survival in England, ensuring patients on the lower GI pathway can be diagnosed promptly and that available colonoscopy capacity is used in the most effective way. The risk of colorectal cancer in those with a negative result, a normal examination and full blood count is &lt;0.1%. This is lower than the general population risk. </w:t>
            </w:r>
          </w:p>
          <w:p w14:paraId="31BFF43E" w14:textId="786E416B" w:rsidR="00C56192" w:rsidRPr="0051688C" w:rsidRDefault="0051688C" w:rsidP="00E36FE2">
            <w:pPr>
              <w:spacing w:after="0" w:line="276" w:lineRule="auto"/>
              <w:textAlignment w:val="baseline"/>
              <w:rPr>
                <w:color w:val="231F20"/>
              </w:rPr>
            </w:pPr>
            <w:r>
              <w:rPr>
                <w:rFonts w:cs="Arial"/>
                <w:color w:val="231F20"/>
              </w:rPr>
              <w:t>In August 2023, NICE published guidance on using FIT to guide colorectal cancer pathway referral in primary care. This guidance recommends that all adults with symptoms of a suspected colorectal cancer diagnosis</w:t>
            </w:r>
            <w:r>
              <w:rPr>
                <w:rFonts w:cs="Arial"/>
              </w:rPr>
              <w:t xml:space="preserve"> </w:t>
            </w:r>
            <w:r>
              <w:rPr>
                <w:rFonts w:cs="Arial"/>
                <w:color w:val="231F20"/>
              </w:rPr>
              <w:t>be offered a FIT test in primary care, except those with an anal/rectal mass or anal ulceration</w:t>
            </w:r>
            <w:r>
              <w:rPr>
                <w:rFonts w:cs="Arial"/>
              </w:rPr>
              <w:t>, and that those with a result of at least 10 micrograms of haemoglobin per gram of faeces are referred on a Lower GI urgent suspected cancer pathway</w:t>
            </w:r>
            <w:r>
              <w:rPr>
                <w:rFonts w:cs="Arial"/>
                <w:color w:val="231F20"/>
              </w:rPr>
              <w:t>. </w:t>
            </w:r>
          </w:p>
        </w:tc>
      </w:tr>
      <w:tr w:rsidR="00C56192" w:rsidRPr="00146E6C" w14:paraId="26151A61" w14:textId="77777777" w:rsidTr="0040181B">
        <w:tc>
          <w:tcPr>
            <w:tcW w:w="4143" w:type="dxa"/>
            <w:tcBorders>
              <w:top w:val="single" w:sz="4" w:space="0" w:color="auto"/>
              <w:left w:val="single" w:sz="4" w:space="0" w:color="auto"/>
              <w:bottom w:val="single" w:sz="4" w:space="0" w:color="auto"/>
              <w:right w:val="single" w:sz="4" w:space="0" w:color="auto"/>
            </w:tcBorders>
          </w:tcPr>
          <w:p w14:paraId="0E2D4B66" w14:textId="77777777" w:rsidR="00C56192" w:rsidRPr="00146E6C" w:rsidRDefault="00C56192" w:rsidP="00E36FE2">
            <w:pPr>
              <w:spacing w:before="60" w:after="60" w:line="276" w:lineRule="auto"/>
              <w:rPr>
                <w:rFonts w:eastAsia="Times New Roman" w:cs="Arial"/>
                <w:b/>
                <w:bCs/>
                <w:szCs w:val="26"/>
              </w:rPr>
            </w:pPr>
            <w:r w:rsidRPr="00146E6C">
              <w:rPr>
                <w:rFonts w:eastAsia="Times New Roman" w:cs="Arial"/>
                <w:b/>
                <w:bCs/>
                <w:szCs w:val="26"/>
              </w:rPr>
              <w:t>Indicator type</w:t>
            </w:r>
          </w:p>
        </w:tc>
        <w:tc>
          <w:tcPr>
            <w:tcW w:w="4787" w:type="dxa"/>
            <w:tcBorders>
              <w:top w:val="single" w:sz="4" w:space="0" w:color="auto"/>
              <w:left w:val="single" w:sz="4" w:space="0" w:color="auto"/>
              <w:bottom w:val="single" w:sz="4" w:space="0" w:color="auto"/>
              <w:right w:val="single" w:sz="4" w:space="0" w:color="auto"/>
            </w:tcBorders>
          </w:tcPr>
          <w:p w14:paraId="7AB25288" w14:textId="77777777" w:rsidR="00C56192" w:rsidRPr="0080630B" w:rsidRDefault="00C56192" w:rsidP="00E36FE2">
            <w:pPr>
              <w:spacing w:before="60" w:after="60" w:line="276" w:lineRule="auto"/>
            </w:pPr>
            <w:r w:rsidRPr="0080630B">
              <w:t>Standard Quantitative</w:t>
            </w:r>
          </w:p>
        </w:tc>
      </w:tr>
      <w:tr w:rsidR="00C56192" w:rsidRPr="00146E6C" w14:paraId="57F350E6" w14:textId="77777777" w:rsidTr="0040181B">
        <w:trPr>
          <w:cnfStyle w:val="000000100000" w:firstRow="0" w:lastRow="0" w:firstColumn="0" w:lastColumn="0" w:oddVBand="0" w:evenVBand="0" w:oddHBand="1" w:evenHBand="0" w:firstRowFirstColumn="0" w:firstRowLastColumn="0" w:lastRowFirstColumn="0" w:lastRowLastColumn="0"/>
          <w:trHeight w:val="746"/>
        </w:trPr>
        <w:tc>
          <w:tcPr>
            <w:tcW w:w="4143" w:type="dxa"/>
            <w:tcBorders>
              <w:top w:val="single" w:sz="4" w:space="0" w:color="auto"/>
              <w:left w:val="single" w:sz="4" w:space="0" w:color="auto"/>
              <w:bottom w:val="single" w:sz="4" w:space="0" w:color="auto"/>
              <w:right w:val="single" w:sz="4" w:space="0" w:color="auto"/>
            </w:tcBorders>
          </w:tcPr>
          <w:p w14:paraId="12A1AF2B" w14:textId="77777777" w:rsidR="00C56192" w:rsidRPr="00146E6C" w:rsidRDefault="00C56192" w:rsidP="00E36FE2">
            <w:pPr>
              <w:spacing w:before="60" w:after="60" w:line="276" w:lineRule="auto"/>
              <w:rPr>
                <w:rFonts w:eastAsia="Times New Roman" w:cs="Arial"/>
                <w:b/>
                <w:bCs/>
                <w:szCs w:val="26"/>
              </w:rPr>
            </w:pPr>
            <w:r w:rsidRPr="00146E6C">
              <w:rPr>
                <w:rFonts w:eastAsia="Times New Roman" w:cs="Arial"/>
                <w:b/>
                <w:bCs/>
                <w:szCs w:val="26"/>
              </w:rPr>
              <w:t>Running period</w:t>
            </w:r>
          </w:p>
        </w:tc>
        <w:tc>
          <w:tcPr>
            <w:tcW w:w="4787" w:type="dxa"/>
            <w:tcBorders>
              <w:top w:val="single" w:sz="4" w:space="0" w:color="auto"/>
              <w:left w:val="single" w:sz="4" w:space="0" w:color="auto"/>
              <w:bottom w:val="single" w:sz="4" w:space="0" w:color="auto"/>
              <w:right w:val="single" w:sz="4" w:space="0" w:color="auto"/>
            </w:tcBorders>
          </w:tcPr>
          <w:p w14:paraId="5FC9B360" w14:textId="2A99D76B" w:rsidR="00C56192" w:rsidRPr="0080630B" w:rsidRDefault="00C56192" w:rsidP="00E36FE2">
            <w:pPr>
              <w:spacing w:before="60" w:after="60" w:line="276" w:lineRule="auto"/>
              <w:rPr>
                <w:rFonts w:cs="Arial"/>
                <w:lang w:val="en-GB"/>
              </w:rPr>
            </w:pPr>
            <w:r w:rsidRPr="0080630B">
              <w:rPr>
                <w:rFonts w:cs="Arial"/>
              </w:rPr>
              <w:t>1 April 202</w:t>
            </w:r>
            <w:r w:rsidR="001A6B1C" w:rsidRPr="007C3551">
              <w:rPr>
                <w:rFonts w:cs="Arial"/>
                <w:highlight w:val="yellow"/>
              </w:rPr>
              <w:t>6</w:t>
            </w:r>
            <w:r w:rsidRPr="0080630B">
              <w:rPr>
                <w:rFonts w:cs="Arial"/>
              </w:rPr>
              <w:t xml:space="preserve"> – 31 March 202</w:t>
            </w:r>
            <w:r w:rsidR="001A6B1C" w:rsidRPr="007C3551">
              <w:rPr>
                <w:rFonts w:cs="Arial"/>
                <w:highlight w:val="yellow"/>
              </w:rPr>
              <w:t>7</w:t>
            </w:r>
          </w:p>
        </w:tc>
      </w:tr>
      <w:tr w:rsidR="00C56192" w:rsidRPr="00146E6C" w14:paraId="4320A9DD" w14:textId="77777777" w:rsidTr="0040181B">
        <w:tc>
          <w:tcPr>
            <w:tcW w:w="4143" w:type="dxa"/>
            <w:tcBorders>
              <w:top w:val="single" w:sz="4" w:space="0" w:color="auto"/>
              <w:left w:val="single" w:sz="4" w:space="0" w:color="auto"/>
              <w:bottom w:val="single" w:sz="4" w:space="0" w:color="auto"/>
              <w:right w:val="single" w:sz="4" w:space="0" w:color="auto"/>
            </w:tcBorders>
          </w:tcPr>
          <w:p w14:paraId="2C737E64" w14:textId="77777777" w:rsidR="00C56192" w:rsidRPr="00146E6C" w:rsidRDefault="00C56192" w:rsidP="00E36FE2">
            <w:pPr>
              <w:spacing w:before="60" w:after="60" w:line="276" w:lineRule="auto"/>
              <w:rPr>
                <w:rFonts w:eastAsia="Times New Roman"/>
                <w:b/>
                <w:bCs/>
                <w:szCs w:val="26"/>
              </w:rPr>
            </w:pPr>
            <w:r w:rsidRPr="00146E6C">
              <w:rPr>
                <w:rFonts w:eastAsia="Times New Roman" w:cs="Arial"/>
                <w:b/>
                <w:bCs/>
                <w:szCs w:val="26"/>
              </w:rPr>
              <w:lastRenderedPageBreak/>
              <w:t>Denominator</w:t>
            </w:r>
          </w:p>
        </w:tc>
        <w:tc>
          <w:tcPr>
            <w:tcW w:w="4787" w:type="dxa"/>
            <w:tcBorders>
              <w:top w:val="single" w:sz="4" w:space="0" w:color="auto"/>
              <w:left w:val="single" w:sz="4" w:space="0" w:color="auto"/>
              <w:bottom w:val="single" w:sz="4" w:space="0" w:color="auto"/>
              <w:right w:val="single" w:sz="4" w:space="0" w:color="auto"/>
            </w:tcBorders>
          </w:tcPr>
          <w:p w14:paraId="65C49F50" w14:textId="19E8E81E" w:rsidR="00C56192" w:rsidRPr="00BD5B45" w:rsidRDefault="002C176D" w:rsidP="00E36FE2">
            <w:pPr>
              <w:spacing w:before="60" w:after="60" w:line="276" w:lineRule="auto"/>
              <w:rPr>
                <w:rFonts w:cs="Arial"/>
              </w:rPr>
            </w:pPr>
            <w:r w:rsidRPr="009E4CB6">
              <w:t>The number of patients who have had a lower gastrointestinal urgent suspected cancer referral in the reporting year.</w:t>
            </w:r>
          </w:p>
        </w:tc>
      </w:tr>
      <w:tr w:rsidR="00C56192" w:rsidRPr="00146E6C" w14:paraId="09F0704E" w14:textId="77777777" w:rsidTr="0040181B">
        <w:trPr>
          <w:cnfStyle w:val="000000100000" w:firstRow="0" w:lastRow="0" w:firstColumn="0" w:lastColumn="0" w:oddVBand="0" w:evenVBand="0" w:oddHBand="1" w:evenHBand="0" w:firstRowFirstColumn="0" w:firstRowLastColumn="0" w:lastRowFirstColumn="0" w:lastRowLastColumn="0"/>
          <w:trHeight w:val="746"/>
        </w:trPr>
        <w:tc>
          <w:tcPr>
            <w:tcW w:w="4143" w:type="dxa"/>
            <w:tcBorders>
              <w:top w:val="single" w:sz="4" w:space="0" w:color="auto"/>
              <w:left w:val="single" w:sz="4" w:space="0" w:color="auto"/>
              <w:bottom w:val="single" w:sz="4" w:space="0" w:color="auto"/>
              <w:right w:val="single" w:sz="4" w:space="0" w:color="auto"/>
            </w:tcBorders>
          </w:tcPr>
          <w:p w14:paraId="5721490B" w14:textId="77777777" w:rsidR="00C56192" w:rsidRPr="00146E6C" w:rsidRDefault="00C56192" w:rsidP="00E36FE2">
            <w:pPr>
              <w:spacing w:before="60" w:after="60" w:line="276" w:lineRule="auto"/>
              <w:rPr>
                <w:rFonts w:eastAsia="Times New Roman"/>
                <w:b/>
                <w:bCs/>
                <w:szCs w:val="26"/>
              </w:rPr>
            </w:pPr>
            <w:r w:rsidRPr="00146E6C">
              <w:rPr>
                <w:rFonts w:eastAsia="Times New Roman" w:cs="Arial"/>
                <w:b/>
                <w:bCs/>
                <w:szCs w:val="26"/>
              </w:rPr>
              <w:t>Numerator</w:t>
            </w:r>
          </w:p>
        </w:tc>
        <w:tc>
          <w:tcPr>
            <w:tcW w:w="4787" w:type="dxa"/>
            <w:tcBorders>
              <w:top w:val="single" w:sz="4" w:space="0" w:color="auto"/>
              <w:left w:val="single" w:sz="4" w:space="0" w:color="auto"/>
              <w:bottom w:val="single" w:sz="4" w:space="0" w:color="auto"/>
              <w:right w:val="single" w:sz="4" w:space="0" w:color="auto"/>
            </w:tcBorders>
          </w:tcPr>
          <w:p w14:paraId="32FC08F5" w14:textId="05D6D475" w:rsidR="00C56192" w:rsidRPr="00146E6C" w:rsidRDefault="00273F3C" w:rsidP="00E36FE2">
            <w:pPr>
              <w:spacing w:before="60" w:after="60" w:line="276" w:lineRule="auto"/>
              <w:rPr>
                <w:rFonts w:cs="Arial"/>
              </w:rPr>
            </w:pPr>
            <w:r w:rsidRPr="009E4CB6">
              <w:t>Of the denominator, those where at least one urgent suspected cancer referral was accompanied by a faecal immunochemical test result, with the result recorded in the 21 days leading up to the referral.</w:t>
            </w:r>
          </w:p>
        </w:tc>
      </w:tr>
      <w:tr w:rsidR="00C56192" w:rsidRPr="00146E6C" w14:paraId="2854A0B5" w14:textId="77777777" w:rsidTr="0040181B">
        <w:tc>
          <w:tcPr>
            <w:tcW w:w="4143" w:type="dxa"/>
            <w:tcBorders>
              <w:top w:val="single" w:sz="4" w:space="0" w:color="auto"/>
              <w:left w:val="single" w:sz="4" w:space="0" w:color="auto"/>
              <w:bottom w:val="single" w:sz="4" w:space="0" w:color="auto"/>
              <w:right w:val="single" w:sz="4" w:space="0" w:color="auto"/>
            </w:tcBorders>
          </w:tcPr>
          <w:p w14:paraId="681116E2" w14:textId="77777777" w:rsidR="00C56192" w:rsidRPr="00146E6C" w:rsidRDefault="00C56192" w:rsidP="00E36FE2">
            <w:pPr>
              <w:spacing w:before="60" w:after="60" w:line="276" w:lineRule="auto"/>
              <w:rPr>
                <w:b/>
              </w:rPr>
            </w:pPr>
            <w:r w:rsidRPr="00146E6C">
              <w:rPr>
                <w:b/>
              </w:rPr>
              <w:t>Prevalence numerator</w:t>
            </w:r>
          </w:p>
        </w:tc>
        <w:tc>
          <w:tcPr>
            <w:tcW w:w="4787" w:type="dxa"/>
            <w:tcBorders>
              <w:top w:val="single" w:sz="4" w:space="0" w:color="auto"/>
              <w:left w:val="single" w:sz="4" w:space="0" w:color="auto"/>
              <w:bottom w:val="single" w:sz="4" w:space="0" w:color="auto"/>
              <w:right w:val="single" w:sz="4" w:space="0" w:color="auto"/>
            </w:tcBorders>
          </w:tcPr>
          <w:p w14:paraId="72A7BEEE" w14:textId="73A46A29" w:rsidR="00C56192" w:rsidRPr="00146E6C" w:rsidRDefault="00C56192" w:rsidP="00E36FE2">
            <w:pPr>
              <w:spacing w:before="60" w:after="60" w:line="276" w:lineRule="auto"/>
              <w:rPr>
                <w:rFonts w:eastAsia="Times New Roman"/>
                <w:bCs/>
              </w:rPr>
            </w:pPr>
            <w:r w:rsidRPr="00146E6C">
              <w:rPr>
                <w:szCs w:val="20"/>
              </w:rPr>
              <w:t>Indicator denominator</w:t>
            </w:r>
          </w:p>
        </w:tc>
      </w:tr>
      <w:tr w:rsidR="00C56192" w:rsidRPr="00146E6C" w14:paraId="7C059782" w14:textId="77777777" w:rsidTr="0040181B">
        <w:trPr>
          <w:cnfStyle w:val="000000100000" w:firstRow="0" w:lastRow="0" w:firstColumn="0" w:lastColumn="0" w:oddVBand="0" w:evenVBand="0" w:oddHBand="1" w:evenHBand="0" w:firstRowFirstColumn="0" w:firstRowLastColumn="0" w:lastRowFirstColumn="0" w:lastRowLastColumn="0"/>
        </w:trPr>
        <w:tc>
          <w:tcPr>
            <w:tcW w:w="4143" w:type="dxa"/>
            <w:tcBorders>
              <w:top w:val="single" w:sz="4" w:space="0" w:color="auto"/>
              <w:left w:val="single" w:sz="4" w:space="0" w:color="auto"/>
              <w:bottom w:val="single" w:sz="4" w:space="0" w:color="auto"/>
              <w:right w:val="single" w:sz="4" w:space="0" w:color="auto"/>
            </w:tcBorders>
          </w:tcPr>
          <w:p w14:paraId="51A5F720" w14:textId="77777777" w:rsidR="00C56192" w:rsidRPr="00146E6C" w:rsidRDefault="00C56192" w:rsidP="00E36FE2">
            <w:pPr>
              <w:spacing w:before="60" w:after="60" w:line="276" w:lineRule="auto"/>
              <w:rPr>
                <w:b/>
              </w:rPr>
            </w:pPr>
            <w:r w:rsidRPr="00146E6C">
              <w:rPr>
                <w:b/>
              </w:rPr>
              <w:t>Exclusions</w:t>
            </w:r>
          </w:p>
        </w:tc>
        <w:tc>
          <w:tcPr>
            <w:tcW w:w="4787" w:type="dxa"/>
            <w:tcBorders>
              <w:top w:val="single" w:sz="4" w:space="0" w:color="auto"/>
              <w:left w:val="single" w:sz="4" w:space="0" w:color="auto"/>
              <w:bottom w:val="single" w:sz="4" w:space="0" w:color="auto"/>
              <w:right w:val="single" w:sz="4" w:space="0" w:color="auto"/>
            </w:tcBorders>
          </w:tcPr>
          <w:p w14:paraId="67066961" w14:textId="77777777" w:rsidR="00C56192" w:rsidRPr="00146E6C" w:rsidRDefault="00C56192" w:rsidP="00E36FE2">
            <w:pPr>
              <w:spacing w:before="60" w:after="60" w:line="276" w:lineRule="auto"/>
              <w:rPr>
                <w:rFonts w:eastAsia="Times New Roman"/>
                <w:bCs/>
              </w:rPr>
            </w:pPr>
            <w:r w:rsidRPr="00146E6C">
              <w:rPr>
                <w:rFonts w:eastAsia="Times New Roman"/>
                <w:bCs/>
              </w:rPr>
              <w:t>None</w:t>
            </w:r>
          </w:p>
        </w:tc>
      </w:tr>
    </w:tbl>
    <w:tbl>
      <w:tblPr>
        <w:tblW w:w="8930" w:type="dxa"/>
        <w:tblInd w:w="846"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4161"/>
        <w:gridCol w:w="4769"/>
      </w:tblGrid>
      <w:tr w:rsidR="00C56192" w:rsidRPr="00146E6C" w14:paraId="018AFFA7" w14:textId="77777777" w:rsidTr="0040181B">
        <w:trPr>
          <w:trHeight w:val="1022"/>
        </w:trPr>
        <w:tc>
          <w:tcPr>
            <w:tcW w:w="4161" w:type="dxa"/>
            <w:tcBorders>
              <w:top w:val="single" w:sz="4" w:space="0" w:color="auto"/>
            </w:tcBorders>
          </w:tcPr>
          <w:p w14:paraId="7D925E4B" w14:textId="77777777" w:rsidR="00C56192" w:rsidRPr="00146E6C" w:rsidRDefault="00C56192" w:rsidP="00E36FE2">
            <w:pPr>
              <w:spacing w:before="60" w:after="60" w:line="276" w:lineRule="auto"/>
              <w:rPr>
                <w:b/>
              </w:rPr>
            </w:pPr>
            <w:r w:rsidRPr="00146E6C">
              <w:rPr>
                <w:b/>
              </w:rPr>
              <w:t>Personalised care adjustments</w:t>
            </w:r>
          </w:p>
        </w:tc>
        <w:tc>
          <w:tcPr>
            <w:tcW w:w="4769" w:type="dxa"/>
            <w:tcBorders>
              <w:top w:val="single" w:sz="4" w:space="0" w:color="auto"/>
            </w:tcBorders>
          </w:tcPr>
          <w:p w14:paraId="73385E0D" w14:textId="0027F36D" w:rsidR="00C56192" w:rsidRPr="00146E6C" w:rsidRDefault="00C56192" w:rsidP="00E36FE2">
            <w:pPr>
              <w:spacing w:before="60" w:after="60" w:line="276" w:lineRule="auto"/>
            </w:pPr>
            <w:r w:rsidRPr="00146E6C">
              <w:t>Provision of faecal immunochemical test kit declined</w:t>
            </w:r>
            <w:r w:rsidR="001A7C9F">
              <w:t>.</w:t>
            </w:r>
          </w:p>
          <w:p w14:paraId="5C88A0FC" w14:textId="77777777" w:rsidR="00C56192" w:rsidRPr="00146E6C" w:rsidRDefault="00C56192" w:rsidP="00E36FE2">
            <w:pPr>
              <w:spacing w:before="60" w:after="60" w:line="276" w:lineRule="auto"/>
              <w:rPr>
                <w:bCs/>
              </w:rPr>
            </w:pPr>
          </w:p>
          <w:p w14:paraId="3D124918" w14:textId="2F8E2598" w:rsidR="00C56192" w:rsidRPr="00146E6C" w:rsidRDefault="00C56192" w:rsidP="00E36FE2">
            <w:pPr>
              <w:spacing w:line="276" w:lineRule="auto"/>
              <w:rPr>
                <w:rFonts w:cs="Arial"/>
              </w:rPr>
            </w:pPr>
            <w:r w:rsidRPr="00146E6C">
              <w:rPr>
                <w:rFonts w:cs="Arial"/>
              </w:rPr>
              <w:t>Patients with anal ulceration or with anal or rectal masses</w:t>
            </w:r>
            <w:r w:rsidR="001A7C9F">
              <w:rPr>
                <w:rFonts w:cs="Arial"/>
              </w:rPr>
              <w:t>.</w:t>
            </w:r>
          </w:p>
        </w:tc>
      </w:tr>
    </w:tbl>
    <w:tbl>
      <w:tblPr>
        <w:tblStyle w:val="NHSTable"/>
        <w:tblW w:w="893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6035"/>
      </w:tblGrid>
      <w:tr w:rsidR="00C56192" w:rsidRPr="00146E6C" w14:paraId="125AAAC2" w14:textId="77777777" w:rsidTr="0040181B">
        <w:trPr>
          <w:cnfStyle w:val="100000000000" w:firstRow="1" w:lastRow="0" w:firstColumn="0" w:lastColumn="0" w:oddVBand="0" w:evenVBand="0" w:oddHBand="0" w:evenHBand="0" w:firstRowFirstColumn="0" w:firstRowLastColumn="0" w:lastRowFirstColumn="0" w:lastRowLastColumn="0"/>
        </w:trPr>
        <w:tc>
          <w:tcPr>
            <w:tcW w:w="2895" w:type="dxa"/>
          </w:tcPr>
          <w:p w14:paraId="4C7E6CA7" w14:textId="77777777" w:rsidR="00C56192" w:rsidRPr="00146E6C" w:rsidRDefault="00C56192" w:rsidP="00E36FE2">
            <w:pPr>
              <w:spacing w:before="60" w:after="60" w:line="276" w:lineRule="auto"/>
              <w:rPr>
                <w:b/>
              </w:rPr>
            </w:pPr>
            <w:r w:rsidRPr="00146E6C">
              <w:rPr>
                <w:b/>
              </w:rPr>
              <w:t>Desired direction</w:t>
            </w:r>
          </w:p>
        </w:tc>
        <w:tc>
          <w:tcPr>
            <w:tcW w:w="6035" w:type="dxa"/>
          </w:tcPr>
          <w:p w14:paraId="291B2B58" w14:textId="77777777" w:rsidR="00C56192" w:rsidRPr="00146E6C" w:rsidRDefault="00C56192" w:rsidP="00E36FE2">
            <w:pPr>
              <w:spacing w:before="60" w:after="60" w:line="276" w:lineRule="auto"/>
            </w:pPr>
            <w:r w:rsidRPr="00146E6C">
              <w:t>Upwards</w:t>
            </w:r>
          </w:p>
        </w:tc>
      </w:tr>
      <w:tr w:rsidR="00C56192" w:rsidRPr="00146E6C" w14:paraId="323164EB" w14:textId="77777777" w:rsidTr="0040181B">
        <w:trPr>
          <w:cnfStyle w:val="000000100000" w:firstRow="0" w:lastRow="0" w:firstColumn="0" w:lastColumn="0" w:oddVBand="0" w:evenVBand="0" w:oddHBand="1" w:evenHBand="0" w:firstRowFirstColumn="0" w:firstRowLastColumn="0" w:lastRowFirstColumn="0" w:lastRowLastColumn="0"/>
        </w:trPr>
        <w:tc>
          <w:tcPr>
            <w:tcW w:w="2895" w:type="dxa"/>
          </w:tcPr>
          <w:p w14:paraId="3B559B82" w14:textId="77777777" w:rsidR="00C56192" w:rsidRPr="00146E6C" w:rsidRDefault="00C56192" w:rsidP="00E36FE2">
            <w:pPr>
              <w:spacing w:before="60" w:after="60" w:line="276" w:lineRule="auto"/>
              <w:rPr>
                <w:b/>
              </w:rPr>
            </w:pPr>
            <w:r w:rsidRPr="00146E6C">
              <w:rPr>
                <w:b/>
              </w:rPr>
              <w:t>Thresholds</w:t>
            </w:r>
          </w:p>
        </w:tc>
        <w:tc>
          <w:tcPr>
            <w:tcW w:w="6035" w:type="dxa"/>
          </w:tcPr>
          <w:p w14:paraId="5E3BAB8F" w14:textId="77777777" w:rsidR="00C56192" w:rsidRPr="00146E6C" w:rsidRDefault="00C56192" w:rsidP="00E36FE2">
            <w:pPr>
              <w:spacing w:before="60" w:after="60" w:line="276" w:lineRule="auto"/>
            </w:pPr>
            <w:r w:rsidRPr="00146E6C">
              <w:t>65% (LT), 80% (UT)</w:t>
            </w:r>
          </w:p>
        </w:tc>
      </w:tr>
      <w:tr w:rsidR="00C56192" w:rsidRPr="00146E6C" w14:paraId="477C387A" w14:textId="77777777" w:rsidTr="0040181B">
        <w:tc>
          <w:tcPr>
            <w:tcW w:w="2895" w:type="dxa"/>
            <w:tcBorders>
              <w:bottom w:val="single" w:sz="4" w:space="0" w:color="auto"/>
            </w:tcBorders>
          </w:tcPr>
          <w:p w14:paraId="2BF9484A" w14:textId="77777777" w:rsidR="00C56192" w:rsidRPr="00146E6C" w:rsidRDefault="00C56192" w:rsidP="00E36FE2">
            <w:pPr>
              <w:spacing w:before="60" w:after="60" w:line="276" w:lineRule="auto"/>
              <w:rPr>
                <w:rFonts w:eastAsia="Times New Roman"/>
                <w:b/>
                <w:bCs/>
                <w:szCs w:val="26"/>
              </w:rPr>
            </w:pPr>
            <w:r w:rsidRPr="00146E6C">
              <w:rPr>
                <w:rFonts w:eastAsia="Times New Roman"/>
                <w:b/>
                <w:bCs/>
                <w:szCs w:val="26"/>
              </w:rPr>
              <w:t>Points</w:t>
            </w:r>
          </w:p>
        </w:tc>
        <w:tc>
          <w:tcPr>
            <w:tcW w:w="6035" w:type="dxa"/>
            <w:tcBorders>
              <w:bottom w:val="single" w:sz="4" w:space="0" w:color="auto"/>
            </w:tcBorders>
          </w:tcPr>
          <w:p w14:paraId="15570C36" w14:textId="77777777" w:rsidR="00C56192" w:rsidRPr="00146E6C" w:rsidRDefault="00C56192" w:rsidP="00E36FE2">
            <w:pPr>
              <w:spacing w:before="60" w:after="60" w:line="276" w:lineRule="auto"/>
              <w:rPr>
                <w:rFonts w:eastAsia="Times New Roman"/>
                <w:bCs/>
              </w:rPr>
            </w:pPr>
            <w:r w:rsidRPr="00146E6C">
              <w:rPr>
                <w:rFonts w:eastAsia="Times New Roman"/>
                <w:bCs/>
              </w:rPr>
              <w:t>22</w:t>
            </w:r>
          </w:p>
        </w:tc>
      </w:tr>
      <w:tr w:rsidR="00C56192" w:rsidRPr="00146E6C" w14:paraId="10156E1D" w14:textId="77777777" w:rsidTr="0040181B">
        <w:trPr>
          <w:cnfStyle w:val="000000100000" w:firstRow="0" w:lastRow="0" w:firstColumn="0" w:lastColumn="0" w:oddVBand="0" w:evenVBand="0" w:oddHBand="1" w:evenHBand="0" w:firstRowFirstColumn="0" w:firstRowLastColumn="0" w:lastRowFirstColumn="0" w:lastRowLastColumn="0"/>
        </w:trPr>
        <w:tc>
          <w:tcPr>
            <w:tcW w:w="2895" w:type="dxa"/>
            <w:tcBorders>
              <w:top w:val="single" w:sz="4" w:space="0" w:color="auto"/>
              <w:left w:val="single" w:sz="4" w:space="0" w:color="auto"/>
              <w:bottom w:val="single" w:sz="4" w:space="0" w:color="auto"/>
            </w:tcBorders>
          </w:tcPr>
          <w:p w14:paraId="038F7764" w14:textId="77777777" w:rsidR="00C56192" w:rsidRPr="00146E6C" w:rsidRDefault="00C56192" w:rsidP="00E36FE2">
            <w:pPr>
              <w:spacing w:before="60" w:after="60" w:line="276" w:lineRule="auto"/>
              <w:rPr>
                <w:rFonts w:eastAsia="Times New Roman"/>
                <w:b/>
                <w:bCs/>
                <w:szCs w:val="26"/>
              </w:rPr>
            </w:pPr>
            <w:r w:rsidRPr="00146E6C">
              <w:rPr>
                <w:rFonts w:eastAsia="Times New Roman" w:cs="Arial"/>
                <w:b/>
                <w:bCs/>
                <w:szCs w:val="26"/>
              </w:rPr>
              <w:t>Data source</w:t>
            </w:r>
          </w:p>
        </w:tc>
        <w:tc>
          <w:tcPr>
            <w:tcW w:w="6035" w:type="dxa"/>
            <w:tcBorders>
              <w:top w:val="single" w:sz="4" w:space="0" w:color="auto"/>
              <w:bottom w:val="single" w:sz="4" w:space="0" w:color="auto"/>
              <w:right w:val="single" w:sz="4" w:space="0" w:color="auto"/>
            </w:tcBorders>
          </w:tcPr>
          <w:p w14:paraId="31E3ED5A" w14:textId="77777777" w:rsidR="00C56192" w:rsidRPr="00146E6C" w:rsidRDefault="00C56192" w:rsidP="00E36FE2">
            <w:pPr>
              <w:spacing w:before="60" w:after="60" w:line="276" w:lineRule="auto"/>
              <w:rPr>
                <w:rFonts w:eastAsia="Times New Roman"/>
                <w:bCs/>
              </w:rPr>
            </w:pPr>
            <w:r w:rsidRPr="00146E6C">
              <w:rPr>
                <w:rFonts w:eastAsia="Times New Roman"/>
                <w:bCs/>
              </w:rPr>
              <w:t>General Practice Extraction Service (GPES)</w:t>
            </w:r>
          </w:p>
        </w:tc>
      </w:tr>
      <w:tr w:rsidR="00C56192" w:rsidRPr="00146E6C" w14:paraId="00FC7D6D" w14:textId="77777777" w:rsidTr="0040181B">
        <w:tc>
          <w:tcPr>
            <w:tcW w:w="2895" w:type="dxa"/>
          </w:tcPr>
          <w:p w14:paraId="212E0EE7" w14:textId="77777777" w:rsidR="00C56192" w:rsidRPr="00146E6C" w:rsidRDefault="00C56192" w:rsidP="00E36FE2">
            <w:pPr>
              <w:spacing w:before="60" w:after="60" w:line="276" w:lineRule="auto"/>
              <w:rPr>
                <w:rFonts w:eastAsia="Times New Roman"/>
                <w:b/>
                <w:bCs/>
                <w:szCs w:val="26"/>
              </w:rPr>
            </w:pPr>
            <w:r w:rsidRPr="00146E6C">
              <w:rPr>
                <w:rFonts w:eastAsia="Times New Roman" w:cs="Arial"/>
                <w:b/>
                <w:bCs/>
                <w:szCs w:val="26"/>
              </w:rPr>
              <w:t>Subject to declaration?</w:t>
            </w:r>
          </w:p>
        </w:tc>
        <w:tc>
          <w:tcPr>
            <w:tcW w:w="6035" w:type="dxa"/>
          </w:tcPr>
          <w:p w14:paraId="7EFE6884" w14:textId="77777777" w:rsidR="00C56192" w:rsidRPr="00146E6C" w:rsidRDefault="00C56192" w:rsidP="00E36FE2">
            <w:pPr>
              <w:spacing w:before="60" w:after="60" w:line="276" w:lineRule="auto"/>
              <w:rPr>
                <w:rFonts w:eastAsia="Times New Roman"/>
                <w:bCs/>
              </w:rPr>
            </w:pPr>
            <w:r w:rsidRPr="00146E6C">
              <w:rPr>
                <w:rFonts w:eastAsia="Times New Roman"/>
                <w:bCs/>
              </w:rPr>
              <w:t>Yes</w:t>
            </w:r>
          </w:p>
        </w:tc>
      </w:tr>
      <w:tr w:rsidR="00C56192" w:rsidRPr="00146E6C" w14:paraId="48D0D322" w14:textId="77777777" w:rsidTr="0040181B">
        <w:trPr>
          <w:cnfStyle w:val="000000100000" w:firstRow="0" w:lastRow="0" w:firstColumn="0" w:lastColumn="0" w:oddVBand="0" w:evenVBand="0" w:oddHBand="1" w:evenHBand="0" w:firstRowFirstColumn="0" w:firstRowLastColumn="0" w:lastRowFirstColumn="0" w:lastRowLastColumn="0"/>
        </w:trPr>
        <w:tc>
          <w:tcPr>
            <w:tcW w:w="2895" w:type="dxa"/>
            <w:tcBorders>
              <w:top w:val="single" w:sz="4" w:space="0" w:color="auto"/>
              <w:left w:val="single" w:sz="4" w:space="0" w:color="auto"/>
            </w:tcBorders>
          </w:tcPr>
          <w:p w14:paraId="7164809B" w14:textId="77777777" w:rsidR="00C56192" w:rsidRPr="00146E6C" w:rsidRDefault="00C56192" w:rsidP="00E36FE2">
            <w:pPr>
              <w:spacing w:before="60" w:after="60" w:line="276" w:lineRule="auto"/>
              <w:rPr>
                <w:rFonts w:eastAsia="Times New Roman" w:cs="Arial"/>
                <w:b/>
                <w:szCs w:val="26"/>
              </w:rPr>
            </w:pPr>
            <w:r w:rsidRPr="00146E6C">
              <w:rPr>
                <w:rFonts w:eastAsia="Times New Roman" w:cs="Arial"/>
                <w:b/>
                <w:szCs w:val="26"/>
              </w:rPr>
              <w:t>Additional information</w:t>
            </w:r>
          </w:p>
        </w:tc>
        <w:tc>
          <w:tcPr>
            <w:tcW w:w="6035" w:type="dxa"/>
            <w:tcBorders>
              <w:top w:val="single" w:sz="4" w:space="0" w:color="auto"/>
              <w:right w:val="single" w:sz="4" w:space="0" w:color="auto"/>
            </w:tcBorders>
          </w:tcPr>
          <w:p w14:paraId="6C90FFBA" w14:textId="514ABFC1" w:rsidR="00667CAA" w:rsidRPr="0080630B" w:rsidRDefault="000F2C60" w:rsidP="00E36FE2">
            <w:pPr>
              <w:spacing w:after="240" w:line="276" w:lineRule="auto"/>
              <w:textAlignment w:val="baseline"/>
              <w:rPr>
                <w:rFonts w:cs="Arial"/>
                <w:color w:val="auto"/>
              </w:rPr>
            </w:pPr>
            <w:r>
              <w:rPr>
                <w:rFonts w:cs="Arial"/>
                <w:color w:val="231F20"/>
              </w:rPr>
              <w:t>All GPs are expect</w:t>
            </w:r>
            <w:r w:rsidRPr="0080630B">
              <w:rPr>
                <w:rFonts w:cs="Arial"/>
                <w:color w:val="231F20"/>
              </w:rPr>
              <w:t xml:space="preserve">ed to implement the recommendations set out in </w:t>
            </w:r>
            <w:hyperlink r:id="rId25" w:history="1">
              <w:r w:rsidR="001A6B1C" w:rsidRPr="00BE1C90">
                <w:rPr>
                  <w:rStyle w:val="Hyperlink"/>
                  <w:rFonts w:ascii="Arial" w:hAnsi="Arial"/>
                  <w:highlight w:val="yellow"/>
                  <w:lang w:val="en-GB"/>
                </w:rPr>
                <w:t>NICE HTG690 guidance</w:t>
              </w:r>
            </w:hyperlink>
            <w:r w:rsidR="001A6B1C" w:rsidRPr="00BE1C90">
              <w:rPr>
                <w:highlight w:val="yellow"/>
                <w:lang w:val="en-GB"/>
              </w:rPr>
              <w:t xml:space="preserve"> (previously NICE DG56).</w:t>
            </w:r>
            <w:r w:rsidR="001A6B1C" w:rsidRPr="001A6B1C">
              <w:rPr>
                <w:lang w:val="en-GB"/>
              </w:rPr>
              <w:t> </w:t>
            </w:r>
            <w:r w:rsidRPr="0080630B">
              <w:rPr>
                <w:rFonts w:cs="Arial"/>
                <w:color w:val="231F20"/>
              </w:rPr>
              <w:br/>
              <w:t> </w:t>
            </w:r>
            <w:r w:rsidRPr="0080630B">
              <w:rPr>
                <w:rFonts w:cs="Arial"/>
                <w:color w:val="231F20"/>
              </w:rPr>
              <w:br/>
              <w:t>The guidance recommends the use of FIT in primary care for patients presenting with all NG12 suspected colorectal cancer symptoms</w:t>
            </w:r>
            <w:r w:rsidR="00667CAA" w:rsidRPr="0080630B">
              <w:rPr>
                <w:rFonts w:cs="Arial"/>
                <w:color w:val="231F20"/>
              </w:rPr>
              <w:t>.</w:t>
            </w:r>
            <w:r w:rsidRPr="0080630B">
              <w:rPr>
                <w:rFonts w:cs="Arial"/>
                <w:color w:val="231F20"/>
              </w:rPr>
              <w:t xml:space="preserve"> </w:t>
            </w:r>
          </w:p>
          <w:p w14:paraId="2EAF4E9E" w14:textId="7D61BB35" w:rsidR="000F2C60" w:rsidRDefault="00667CAA" w:rsidP="00E36FE2">
            <w:pPr>
              <w:spacing w:after="240" w:line="276" w:lineRule="auto"/>
              <w:textAlignment w:val="baseline"/>
              <w:rPr>
                <w:rFonts w:cs="Arial"/>
                <w:color w:val="231F20"/>
              </w:rPr>
            </w:pPr>
            <w:r w:rsidRPr="0080630B">
              <w:rPr>
                <w:rFonts w:cs="Arial"/>
                <w:color w:val="auto"/>
              </w:rPr>
              <w:lastRenderedPageBreak/>
              <w:t>The implementation of FIT in primary care has had a positive impact on lower GI referral volumes. Recent data has shown that referrals for all cancers are 2.3% above the pre-pandemic trend, while lower GI referrals are 14.1% below the trend. At the same time, there has been an increase in the proportion of lower GI urgent suspected cancer referrals that result in a cancer diagnosis, and no significant change to the trend in lower GI detection rates. This suggests that FIT is supporting the most appropriate patients to be referred for colonoscopy.</w:t>
            </w:r>
          </w:p>
          <w:p w14:paraId="1667CB42" w14:textId="77777777" w:rsidR="000F2C60" w:rsidRDefault="000F2C60" w:rsidP="00E36FE2">
            <w:pPr>
              <w:spacing w:line="276" w:lineRule="auto"/>
              <w:textAlignment w:val="baseline"/>
              <w:rPr>
                <w:rFonts w:cs="Arial"/>
                <w:color w:val="231F20"/>
              </w:rPr>
            </w:pPr>
            <w:r>
              <w:rPr>
                <w:rFonts w:cs="Arial"/>
                <w:color w:val="231F20"/>
              </w:rPr>
              <w:t>There are a number of steps a PCN may take to ensure that FIT is implemented across all practices:  </w:t>
            </w:r>
          </w:p>
          <w:p w14:paraId="4AE4D053" w14:textId="085811CC" w:rsidR="004A42EE" w:rsidRPr="004A42EE" w:rsidRDefault="004A42EE" w:rsidP="000741C5">
            <w:pPr>
              <w:pStyle w:val="ListParagraph"/>
              <w:numPr>
                <w:ilvl w:val="0"/>
                <w:numId w:val="42"/>
              </w:numPr>
              <w:spacing w:after="0" w:line="276" w:lineRule="auto"/>
              <w:textAlignment w:val="baseline"/>
              <w:rPr>
                <w:rFonts w:cs="Arial"/>
                <w:color w:val="231F20"/>
              </w:rPr>
            </w:pPr>
            <w:r w:rsidRPr="004A42EE">
              <w:rPr>
                <w:rFonts w:cs="Arial"/>
                <w:color w:val="231F20"/>
              </w:rPr>
              <w:t>Encouraging patient uptake of FIT: Make sure the patient is aware of the importance of completing a FIT test and returning it as quickly as possible. Cancer Research UK has materials to support patient uptake available on their website. </w:t>
            </w:r>
            <w:r w:rsidR="001A6B1C">
              <w:t xml:space="preserve"> </w:t>
            </w:r>
            <w:r w:rsidR="001A6B1C" w:rsidRPr="00BE1C90">
              <w:rPr>
                <w:rFonts w:cs="Arial"/>
                <w:color w:val="231F20"/>
                <w:highlight w:val="yellow"/>
              </w:rPr>
              <w:t>Safety netting, including through the use of electronic safety netting tools, also supports timely return of the FIT test.</w:t>
            </w:r>
          </w:p>
          <w:p w14:paraId="596602C8" w14:textId="77777777" w:rsidR="004A42EE" w:rsidRPr="004A42EE" w:rsidRDefault="004A42EE" w:rsidP="000741C5">
            <w:pPr>
              <w:pStyle w:val="ListParagraph"/>
              <w:numPr>
                <w:ilvl w:val="0"/>
                <w:numId w:val="42"/>
              </w:numPr>
              <w:spacing w:after="0" w:line="276" w:lineRule="auto"/>
              <w:textAlignment w:val="baseline"/>
              <w:rPr>
                <w:rFonts w:cs="Arial"/>
                <w:color w:val="231F20"/>
              </w:rPr>
            </w:pPr>
            <w:r w:rsidRPr="004A42EE">
              <w:rPr>
                <w:rFonts w:cs="Arial"/>
                <w:color w:val="231F20"/>
              </w:rPr>
              <w:t xml:space="preserve">Working closely with secondary care: Utilise e-RS pre-referral specialist advice (or ‘advice and guidance’) where it is unclear if a patient requires an urgent referral based on their FIT result and symptoms. </w:t>
            </w:r>
          </w:p>
          <w:p w14:paraId="1BEDC931" w14:textId="2A424626" w:rsidR="004A42EE" w:rsidRPr="0080630B" w:rsidRDefault="004A42EE" w:rsidP="000741C5">
            <w:pPr>
              <w:pStyle w:val="ListParagraph"/>
              <w:numPr>
                <w:ilvl w:val="0"/>
                <w:numId w:val="42"/>
              </w:numPr>
              <w:spacing w:after="0" w:line="276" w:lineRule="auto"/>
              <w:textAlignment w:val="baseline"/>
              <w:rPr>
                <w:rFonts w:cs="Arial"/>
                <w:color w:val="231F20"/>
              </w:rPr>
            </w:pPr>
            <w:r w:rsidRPr="004A42EE">
              <w:rPr>
                <w:rFonts w:cs="Arial"/>
                <w:color w:val="231F20"/>
              </w:rPr>
              <w:t xml:space="preserve">LGI urgent cancer forms: Include FIT results on the LGI </w:t>
            </w:r>
            <w:r w:rsidR="00D3280F" w:rsidRPr="0080630B">
              <w:rPr>
                <w:rFonts w:cs="Arial"/>
                <w:color w:val="231F20"/>
              </w:rPr>
              <w:t xml:space="preserve">Urgent Suspected Cancer </w:t>
            </w:r>
            <w:r w:rsidRPr="0080630B">
              <w:rPr>
                <w:rFonts w:cs="Arial"/>
                <w:color w:val="231F20"/>
              </w:rPr>
              <w:t>referral form so that it can be used by LGI triage teams to determine the appropriate onward pathway for the patient.</w:t>
            </w:r>
            <w:r w:rsidRPr="0080630B">
              <w:rPr>
                <w:rFonts w:cs="Arial"/>
                <w:color w:val="231F20"/>
              </w:rPr>
              <w:br/>
            </w:r>
          </w:p>
          <w:p w14:paraId="6553542B" w14:textId="67180A92" w:rsidR="00C56192" w:rsidRPr="004A42EE" w:rsidRDefault="000F2C60" w:rsidP="00E36FE2">
            <w:pPr>
              <w:spacing w:after="0" w:line="276" w:lineRule="auto"/>
              <w:textAlignment w:val="baseline"/>
              <w:rPr>
                <w:rFonts w:cs="Arial"/>
                <w:color w:val="231F20"/>
              </w:rPr>
            </w:pPr>
            <w:r w:rsidRPr="0080630B">
              <w:rPr>
                <w:rFonts w:cs="Arial"/>
                <w:color w:val="231F20" w:themeColor="background1"/>
              </w:rPr>
              <w:t>FIT kits should be commissioned</w:t>
            </w:r>
            <w:r w:rsidRPr="123478F2">
              <w:rPr>
                <w:rFonts w:cs="Arial"/>
                <w:color w:val="231F20" w:themeColor="background1"/>
              </w:rPr>
              <w:t xml:space="preserve"> locally through ICBs</w:t>
            </w:r>
            <w:r w:rsidR="003677A0">
              <w:rPr>
                <w:rFonts w:cs="Arial"/>
                <w:color w:val="231F20" w:themeColor="background1"/>
                <w:lang w:val="en-GB"/>
              </w:rPr>
              <w:t>.</w:t>
            </w:r>
            <w:r w:rsidRPr="123478F2">
              <w:rPr>
                <w:rFonts w:cs="Arial"/>
                <w:color w:val="auto"/>
              </w:rPr>
              <w:t xml:space="preserve"> </w:t>
            </w:r>
            <w:r w:rsidRPr="123478F2">
              <w:rPr>
                <w:rFonts w:cs="Arial"/>
                <w:color w:val="231F20" w:themeColor="background1"/>
              </w:rPr>
              <w:t xml:space="preserve">Where there are supply issues that are unable to be resolved locally via ICBs or Cancer Alliances, PCNs should contact </w:t>
            </w:r>
            <w:r w:rsidRPr="123478F2">
              <w:t>england.pcn.fitsupply@nhs.net</w:t>
            </w:r>
            <w:r w:rsidRPr="123478F2">
              <w:rPr>
                <w:rFonts w:cs="Arial"/>
                <w:color w:val="231F20" w:themeColor="background1"/>
              </w:rPr>
              <w:t xml:space="preserve"> for support from the National Cancer Team at NHS England.  </w:t>
            </w:r>
          </w:p>
        </w:tc>
      </w:tr>
    </w:tbl>
    <w:p w14:paraId="521B2822" w14:textId="77777777" w:rsidR="000D30F8" w:rsidRDefault="000D30F8" w:rsidP="00E36FE2">
      <w:pPr>
        <w:spacing w:line="276" w:lineRule="auto"/>
        <w:rPr>
          <w:color w:val="A00054"/>
          <w:sz w:val="28"/>
          <w:szCs w:val="26"/>
        </w:rPr>
      </w:pPr>
    </w:p>
    <w:p w14:paraId="478C74D8" w14:textId="77777777" w:rsidR="00D644A3" w:rsidRPr="00146E6C" w:rsidRDefault="00D644A3" w:rsidP="00084AFF">
      <w:pPr>
        <w:pStyle w:val="h2numbered"/>
      </w:pPr>
      <w:bookmarkStart w:id="325" w:name="_Toc89864971"/>
      <w:bookmarkStart w:id="326" w:name="_Toc127800013"/>
      <w:bookmarkStart w:id="327" w:name="_Toc129606204"/>
      <w:bookmarkStart w:id="328" w:name="_Toc223511176"/>
      <w:bookmarkStart w:id="329" w:name="_Toc223511455"/>
      <w:r w:rsidRPr="00146E6C">
        <w:t>Annex A: Prevalence adjustment and list size adjustment</w:t>
      </w:r>
      <w:bookmarkEnd w:id="325"/>
      <w:bookmarkEnd w:id="326"/>
      <w:bookmarkEnd w:id="327"/>
      <w:bookmarkEnd w:id="328"/>
      <w:bookmarkEnd w:id="329"/>
    </w:p>
    <w:p w14:paraId="726B6B84" w14:textId="0C9FAAA6" w:rsidR="00D644A3" w:rsidRPr="00BD5B45" w:rsidRDefault="00D644A3" w:rsidP="00E36FE2">
      <w:pPr>
        <w:spacing w:line="276" w:lineRule="auto"/>
        <w:ind w:left="720" w:hanging="720"/>
      </w:pPr>
      <w:r w:rsidRPr="00146E6C">
        <w:t>A.1</w:t>
      </w:r>
      <w:r w:rsidRPr="00146E6C">
        <w:tab/>
        <w:t xml:space="preserve">This annex explains why a prevalence adjustment and list size adjustment are applied when calculating IIF Indicator achievement payments, as well as explaining how they </w:t>
      </w:r>
      <w:r w:rsidRPr="00146E6C">
        <w:lastRenderedPageBreak/>
        <w:t>are calculated</w:t>
      </w:r>
      <w:r w:rsidRPr="00B9736E">
        <w:t xml:space="preserve">. Further details about calculation of these adjustments are provided in Annex C of the </w:t>
      </w:r>
      <w:r w:rsidR="00384011">
        <w:t>202</w:t>
      </w:r>
      <w:r w:rsidR="00384011" w:rsidRPr="007C3551">
        <w:rPr>
          <w:highlight w:val="yellow"/>
        </w:rPr>
        <w:t>6</w:t>
      </w:r>
      <w:r w:rsidR="00384011">
        <w:t>/2</w:t>
      </w:r>
      <w:r w:rsidR="00384011" w:rsidRPr="007C3551">
        <w:rPr>
          <w:highlight w:val="yellow"/>
        </w:rPr>
        <w:t>7</w:t>
      </w:r>
      <w:r w:rsidRPr="00BD5B45">
        <w:t xml:space="preserve"> Network Contract DES specification.</w:t>
      </w:r>
    </w:p>
    <w:p w14:paraId="1E089A1F" w14:textId="77777777" w:rsidR="00D644A3" w:rsidRPr="00BD5B45" w:rsidRDefault="00D644A3" w:rsidP="00E36FE2">
      <w:pPr>
        <w:pStyle w:val="Heading2"/>
        <w:keepNext w:val="0"/>
        <w:spacing w:line="276" w:lineRule="auto"/>
        <w:rPr>
          <w:b w:val="0"/>
          <w:bCs/>
        </w:rPr>
      </w:pPr>
      <w:bookmarkStart w:id="330" w:name="_Toc89864972"/>
      <w:bookmarkStart w:id="331" w:name="_Toc127800014"/>
      <w:bookmarkStart w:id="332" w:name="_Toc129606205"/>
      <w:bookmarkStart w:id="333" w:name="_Toc223511177"/>
      <w:r w:rsidRPr="00BD5B45">
        <w:t>Prevalence adjustment</w:t>
      </w:r>
      <w:bookmarkEnd w:id="330"/>
      <w:bookmarkEnd w:id="331"/>
      <w:bookmarkEnd w:id="332"/>
      <w:bookmarkEnd w:id="333"/>
    </w:p>
    <w:p w14:paraId="59073A2D" w14:textId="72F3794B" w:rsidR="00D644A3" w:rsidRPr="00BD5B45" w:rsidRDefault="00D644A3" w:rsidP="00E36FE2">
      <w:pPr>
        <w:pStyle w:val="Default"/>
        <w:spacing w:line="276" w:lineRule="auto"/>
        <w:ind w:left="720" w:hanging="720"/>
      </w:pPr>
      <w:r w:rsidRPr="00BD5B45">
        <w:t>A.2</w:t>
      </w:r>
      <w:r w:rsidRPr="00BD5B45">
        <w:tab/>
        <w:t xml:space="preserve">Prevalence refers to the percentage of a population affected by a given disease or condition. We use this concept to define a generalised ‘prevalence’ concept for every IIF indicator, equal to a prevalence numerator divided by the number of registered patients at the PCN. The prevalence numerator will usually, but not always, be equal to the indicator denominator (the denominator may be a count of eligible patients or a count of interventions e.g. medications delivered </w:t>
      </w:r>
      <w:r w:rsidRPr="0080630B">
        <w:t xml:space="preserve">to a set of eligible patients). For instance, for indicator HI03 prevalence is equal to the percentage of a PCN’s patients who are on the Learning Disability register </w:t>
      </w:r>
      <w:r w:rsidR="00A6478E" w:rsidRPr="0080630B">
        <w:t xml:space="preserve">(as defined in the SFE) </w:t>
      </w:r>
      <w:r w:rsidRPr="0080630B">
        <w:t>and aged 14 years or over.</w:t>
      </w:r>
    </w:p>
    <w:p w14:paraId="0FAD5FC3" w14:textId="77777777" w:rsidR="00A1525A" w:rsidRPr="00BD5B45" w:rsidRDefault="00A1525A" w:rsidP="00E36FE2">
      <w:pPr>
        <w:pStyle w:val="Default"/>
        <w:spacing w:line="276" w:lineRule="auto"/>
        <w:ind w:left="720" w:hanging="720"/>
      </w:pPr>
    </w:p>
    <w:p w14:paraId="054FA5FF" w14:textId="0181385F" w:rsidR="00D644A3" w:rsidRDefault="00D644A3" w:rsidP="00E36FE2">
      <w:pPr>
        <w:pStyle w:val="Default"/>
        <w:spacing w:line="276" w:lineRule="auto"/>
        <w:ind w:left="720" w:hanging="720"/>
      </w:pPr>
      <w:r w:rsidRPr="00BD5B45">
        <w:t>A.3</w:t>
      </w:r>
      <w:r w:rsidRPr="00BD5B45">
        <w:tab/>
        <w:t>Consider two PCNs that are identical other than one has twice as many patients on the</w:t>
      </w:r>
      <w:r w:rsidR="003A737A">
        <w:t xml:space="preserve"> </w:t>
      </w:r>
      <w:r w:rsidRPr="00BD5B45">
        <w:t>Learning Disability register aged 14 years or over. This would mean that PCN has to deliver twice as many interventions (a learning disability Annual Health Check, a completed Health Action Plan and a recording of ethnicity) to earn the same number of points. Applying a prevalence adjustment compensates that PCN for the extra effort required to earn a given number of points (i.e. achieve a given percentage point improvement in performance).</w:t>
      </w:r>
    </w:p>
    <w:p w14:paraId="223F500D" w14:textId="77777777" w:rsidR="000612F9" w:rsidRPr="00BD5B45" w:rsidRDefault="000612F9" w:rsidP="00E36FE2">
      <w:pPr>
        <w:pStyle w:val="Default"/>
        <w:spacing w:line="276" w:lineRule="auto"/>
        <w:ind w:left="720" w:hanging="720"/>
      </w:pPr>
    </w:p>
    <w:p w14:paraId="5B9FCC5A" w14:textId="51117D45" w:rsidR="00D644A3" w:rsidRDefault="00D644A3" w:rsidP="00E36FE2">
      <w:pPr>
        <w:pStyle w:val="Default"/>
        <w:spacing w:line="276" w:lineRule="auto"/>
        <w:ind w:left="720" w:hanging="720"/>
      </w:pPr>
      <w:r w:rsidRPr="00BD5B45">
        <w:t>A.4</w:t>
      </w:r>
      <w:r w:rsidRPr="00BD5B45">
        <w:tab/>
        <w:t>The prevalence adjustment for an indicator is equal to PCN prevalence divided by national prevalence. For instance, if 0.5% of the residents of England registered at practices signed up to the Network Contract DES are on the Learning Disability register and aged 14 years or over, then a PCN with 0.75% of registered patients on the Learning Disability register and aged 14 years or over</w:t>
      </w:r>
      <w:r w:rsidRPr="00BD5B45" w:rsidDel="006A3846">
        <w:t xml:space="preserve"> </w:t>
      </w:r>
      <w:r w:rsidRPr="00BD5B45">
        <w:t>would have a prevalence adjustment of 1.5 – that is, it would be paid 50% more for each additional achievement point than an otherwise identical PCN with a prevalence equal to the national average prevalence.</w:t>
      </w:r>
      <w:r w:rsidRPr="00BD5B45">
        <w:tab/>
      </w:r>
    </w:p>
    <w:p w14:paraId="5232F500" w14:textId="77777777" w:rsidR="000612F9" w:rsidRPr="00BD5B45" w:rsidRDefault="000612F9" w:rsidP="00E36FE2">
      <w:pPr>
        <w:pStyle w:val="Default"/>
        <w:spacing w:line="276" w:lineRule="auto"/>
        <w:ind w:left="720" w:hanging="720"/>
      </w:pPr>
    </w:p>
    <w:p w14:paraId="1C6F72B0" w14:textId="3FD00C23" w:rsidR="00D644A3" w:rsidRPr="00BD5B45" w:rsidRDefault="00D644A3" w:rsidP="00E36FE2">
      <w:pPr>
        <w:pStyle w:val="Default"/>
        <w:spacing w:line="276" w:lineRule="auto"/>
        <w:ind w:left="720" w:hanging="720"/>
      </w:pPr>
      <w:r w:rsidRPr="00BD5B45">
        <w:t>A.5</w:t>
      </w:r>
      <w:r w:rsidRPr="00BD5B45">
        <w:tab/>
        <w:t>As well as making payments more proportional to effort, applying a prevalence adjustment also encourages appropriate case finding for indicators whose denominator is under the control of the PCN. Consider HI0</w:t>
      </w:r>
      <w:r w:rsidR="00B84CB6" w:rsidRPr="00BD5B45">
        <w:t>3</w:t>
      </w:r>
      <w:r w:rsidRPr="00BD5B45">
        <w:t>, where the denominator is the number of patients on the learning disability register aged 14 and over. PCNs and their constituent practices are responsible for adding patients to this register. The prevalence adjustment encourages efforts to identify patients with a Learning Disability and to add them to the register, as case finding increases earnings ability.</w:t>
      </w:r>
    </w:p>
    <w:p w14:paraId="7A8F832E" w14:textId="77777777" w:rsidR="00D644A3" w:rsidRPr="00146E6C" w:rsidRDefault="00D644A3" w:rsidP="00E36FE2">
      <w:pPr>
        <w:pStyle w:val="Heading2"/>
        <w:keepNext w:val="0"/>
        <w:spacing w:line="276" w:lineRule="auto"/>
        <w:rPr>
          <w:b w:val="0"/>
          <w:bCs/>
        </w:rPr>
      </w:pPr>
      <w:bookmarkStart w:id="334" w:name="_Toc89864973"/>
      <w:bookmarkStart w:id="335" w:name="_Toc127800015"/>
      <w:bookmarkStart w:id="336" w:name="_Toc129606206"/>
      <w:bookmarkStart w:id="337" w:name="_Toc223511178"/>
      <w:r w:rsidRPr="00BD5B45">
        <w:t>List size adjustment</w:t>
      </w:r>
      <w:bookmarkEnd w:id="334"/>
      <w:bookmarkEnd w:id="335"/>
      <w:bookmarkEnd w:id="336"/>
      <w:bookmarkEnd w:id="337"/>
    </w:p>
    <w:p w14:paraId="6EA87338" w14:textId="77777777" w:rsidR="00D644A3" w:rsidRDefault="00D644A3" w:rsidP="00E36FE2">
      <w:pPr>
        <w:pStyle w:val="Default"/>
        <w:spacing w:line="276" w:lineRule="auto"/>
        <w:ind w:left="720" w:hanging="720"/>
      </w:pPr>
      <w:r w:rsidRPr="00146E6C">
        <w:t>A.6</w:t>
      </w:r>
      <w:r w:rsidRPr="00146E6C">
        <w:tab/>
        <w:t xml:space="preserve">The list size adjustment is based on a similar principle to the prevalence adjustment. If two PCNs are identical (including having identical prevalence for every IIF indicator) other than one has double the list size, that PCN would have to change its treatment of twice as many patients to earn the same number of points. The list size adjustment </w:t>
      </w:r>
      <w:r w:rsidRPr="00146E6C">
        <w:lastRenderedPageBreak/>
        <w:t>compensates larger PCNs for this situation by making the payment per achievement point proportional to list size.</w:t>
      </w:r>
    </w:p>
    <w:p w14:paraId="4BFC86D5" w14:textId="77777777" w:rsidR="000612F9" w:rsidRPr="00146E6C" w:rsidRDefault="000612F9" w:rsidP="00E36FE2">
      <w:pPr>
        <w:pStyle w:val="Default"/>
        <w:spacing w:line="276" w:lineRule="auto"/>
        <w:ind w:left="720" w:hanging="720"/>
      </w:pPr>
    </w:p>
    <w:p w14:paraId="4F5920C1" w14:textId="77777777" w:rsidR="00D644A3" w:rsidRPr="00146E6C" w:rsidRDefault="00D644A3" w:rsidP="00E36FE2">
      <w:pPr>
        <w:pStyle w:val="Default"/>
        <w:spacing w:line="276" w:lineRule="auto"/>
        <w:ind w:left="720" w:hanging="720"/>
      </w:pPr>
      <w:r w:rsidRPr="00146E6C">
        <w:t>A.7</w:t>
      </w:r>
      <w:r w:rsidRPr="00146E6C">
        <w:tab/>
        <w:t>Formally, the list size adjustment for a PCN is equal to the PCN list size divided by the national average PCN list size (i.e. the total number of patients registered that are a Core Network Practices that are part of a PCN, divided by the total number of PCNs). Thus, if the national average PCN list size is 49,000 and a PCN has 98,000 patients, that PCN’s list size adjustment would be 2. In other words, that PCN would be paid twice as much for each additional achievement point as an otherwise identical PCN with a list size equal to the national average.</w:t>
      </w:r>
    </w:p>
    <w:p w14:paraId="294A7E3B" w14:textId="77777777" w:rsidR="00D644A3" w:rsidRPr="00146E6C" w:rsidRDefault="00D644A3" w:rsidP="00E36FE2">
      <w:pPr>
        <w:pStyle w:val="Heading2"/>
        <w:keepNext w:val="0"/>
        <w:spacing w:line="276" w:lineRule="auto"/>
        <w:rPr>
          <w:b w:val="0"/>
          <w:bCs/>
        </w:rPr>
      </w:pPr>
      <w:bookmarkStart w:id="338" w:name="_Toc89864974"/>
      <w:bookmarkStart w:id="339" w:name="_Toc127800016"/>
      <w:bookmarkStart w:id="340" w:name="_Toc129606207"/>
      <w:bookmarkStart w:id="341" w:name="_Toc223511179"/>
      <w:r w:rsidRPr="00146E6C">
        <w:t>Summary</w:t>
      </w:r>
      <w:bookmarkEnd w:id="338"/>
      <w:bookmarkEnd w:id="339"/>
      <w:bookmarkEnd w:id="340"/>
      <w:bookmarkEnd w:id="341"/>
    </w:p>
    <w:p w14:paraId="5F9ECE59" w14:textId="389D08A2" w:rsidR="00851C57" w:rsidRDefault="00D644A3" w:rsidP="00E36FE2">
      <w:pPr>
        <w:spacing w:after="120" w:line="276" w:lineRule="auto"/>
        <w:ind w:left="720" w:hanging="720"/>
      </w:pPr>
      <w:r w:rsidRPr="00146E6C">
        <w:t>A.8</w:t>
      </w:r>
      <w:r w:rsidRPr="00146E6C">
        <w:tab/>
      </w:r>
      <w:bookmarkStart w:id="342" w:name="_Hlk80368808"/>
      <w:r w:rsidRPr="00146E6C">
        <w:t>The net effect of applying a prevalence adjustment (for Quantitative indicators) and a list size adjustment is to make payment proportional to the amount of activity undertaken (e.g. number of patients treated). The effort required to deliver one unit of activity is not fixed, but may vary according to patient demographics, socio-economic status and other characteristics. Likewise, there may be economies of scale, so that treating 200 patients does not require twice as much effort as treating 100 patients. Thus, applying a prevalence adjustment and a list size adjustment does not ensure an exact correspondence between effort and reward, but does bring the two closer together.</w:t>
      </w:r>
      <w:bookmarkEnd w:id="342"/>
    </w:p>
    <w:sectPr w:rsidR="00851C57" w:rsidSect="00876F28">
      <w:headerReference w:type="default" r:id="rId26"/>
      <w:footerReference w:type="default" r:id="rId27"/>
      <w:pgSz w:w="11906" w:h="16838"/>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E7C9" w14:textId="77777777" w:rsidR="00D61A5F" w:rsidRDefault="00D61A5F" w:rsidP="000C24AF">
      <w:pPr>
        <w:spacing w:after="0"/>
      </w:pPr>
      <w:r>
        <w:separator/>
      </w:r>
    </w:p>
  </w:endnote>
  <w:endnote w:type="continuationSeparator" w:id="0">
    <w:p w14:paraId="6B1093CB" w14:textId="77777777" w:rsidR="00D61A5F" w:rsidRDefault="00D61A5F" w:rsidP="000C24AF">
      <w:pPr>
        <w:spacing w:after="0"/>
      </w:pPr>
      <w:r>
        <w:continuationSeparator/>
      </w:r>
    </w:p>
  </w:endnote>
  <w:endnote w:type="continuationNotice" w:id="1">
    <w:p w14:paraId="6227AB45" w14:textId="77777777" w:rsidR="00D61A5F" w:rsidRDefault="00D61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GSMinchoE">
    <w:charset w:val="80"/>
    <w:family w:val="roman"/>
    <w:pitch w:val="variable"/>
    <w:sig w:usb0="E00002FF" w:usb1="2AC7EDFE" w:usb2="00000012" w:usb3="00000000" w:csb0="00020001" w:csb1="00000000"/>
  </w:font>
  <w:font w:name="MinionPro-Regular">
    <w:altName w:val="Calibri"/>
    <w:panose1 w:val="02040503050201020203"/>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Frutiger LT 45 Light">
    <w:altName w:val="Malgun Gothic"/>
    <w:charset w:val="00"/>
    <w:family w:val="swiss"/>
    <w:pitch w:val="variable"/>
    <w:sig w:usb0="8000002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C6DA" w14:textId="5C7C5C1E" w:rsidR="00D644A3" w:rsidRDefault="00632C73" w:rsidP="00632C73">
    <w:pPr>
      <w:pStyle w:val="Footer"/>
    </w:pPr>
    <w:r>
      <w:fldChar w:fldCharType="begin"/>
    </w:r>
    <w:r>
      <w:instrText xml:space="preserve"> page \* MERGEFORMAT </w:instrText>
    </w:r>
    <w:r>
      <w:fldChar w:fldCharType="separate"/>
    </w:r>
    <w:r>
      <w:rPr>
        <w:noProof/>
      </w:rPr>
      <w:t>100</w:t>
    </w:r>
    <w:r>
      <w:fldChar w:fldCharType="end"/>
    </w:r>
    <w:r>
      <w:t xml:space="preserve"> </w:t>
    </w:r>
    <w:r w:rsidRPr="00A24AAD">
      <w:t>|</w:t>
    </w:r>
    <w:r w:rsidR="0019439B" w:rsidRPr="00D34E87">
      <w:rPr>
        <w:rFonts w:cs="Arial"/>
        <w:spacing w:val="0"/>
        <w:sz w:val="24"/>
      </w:rPr>
      <w:t xml:space="preserve"> </w:t>
    </w:r>
    <w:r w:rsidR="0019439B" w:rsidRPr="00D34E87">
      <w:t>PRN02355</w:t>
    </w:r>
    <w:r w:rsidR="00D34E87" w:rsidRPr="00D34E87">
      <w:t xml:space="preserve">_v </w:t>
    </w:r>
    <w:r w:rsidR="0019439B" w:rsidRPr="00D34E87">
      <w:t>-</w:t>
    </w:r>
    <w:r>
      <w:t xml:space="preserve"> Part B guidance </w:t>
    </w:r>
    <w:r w:rsidRPr="00365F7F">
      <w:t>for 202</w:t>
    </w:r>
    <w:r w:rsidR="001D31DE" w:rsidRPr="00481EF4">
      <w:rPr>
        <w:highlight w:val="yellow"/>
      </w:rPr>
      <w:t>6</w:t>
    </w:r>
    <w:r w:rsidRPr="00365F7F">
      <w:t>/2</w:t>
    </w:r>
    <w:r w:rsidR="001D31DE" w:rsidRPr="00481EF4">
      <w:rPr>
        <w:highlight w:val="yellow"/>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2D8D" w14:textId="77777777" w:rsidR="00D61A5F" w:rsidRDefault="00D61A5F" w:rsidP="000C24AF">
      <w:pPr>
        <w:spacing w:after="0"/>
      </w:pPr>
      <w:r>
        <w:separator/>
      </w:r>
    </w:p>
  </w:footnote>
  <w:footnote w:type="continuationSeparator" w:id="0">
    <w:p w14:paraId="280E50E7" w14:textId="77777777" w:rsidR="00D61A5F" w:rsidRDefault="00D61A5F" w:rsidP="000C24AF">
      <w:pPr>
        <w:spacing w:after="0"/>
      </w:pPr>
      <w:r>
        <w:continuationSeparator/>
      </w:r>
    </w:p>
  </w:footnote>
  <w:footnote w:type="continuationNotice" w:id="1">
    <w:p w14:paraId="38203486" w14:textId="77777777" w:rsidR="00D61A5F" w:rsidRDefault="00D61A5F">
      <w:pPr>
        <w:spacing w:after="0" w:line="240" w:lineRule="auto"/>
      </w:pPr>
    </w:p>
  </w:footnote>
  <w:footnote w:id="2">
    <w:p w14:paraId="60B558AE" w14:textId="77777777" w:rsidR="008F2758" w:rsidRPr="004644F0" w:rsidRDefault="008F2758" w:rsidP="008F2758">
      <w:pPr>
        <w:pStyle w:val="FootnoteText"/>
        <w:ind w:left="142" w:hanging="142"/>
        <w:rPr>
          <w:sz w:val="18"/>
          <w:szCs w:val="18"/>
        </w:rPr>
      </w:pPr>
      <w:r w:rsidRPr="00F85591">
        <w:rPr>
          <w:rStyle w:val="FootnoteReference"/>
          <w:szCs w:val="18"/>
        </w:rPr>
        <w:footnoteRef/>
      </w:r>
      <w:r w:rsidRPr="00F85591">
        <w:rPr>
          <w:szCs w:val="18"/>
        </w:rPr>
        <w:t xml:space="preserve"> Where the PCN has formed as a legal entity, the local agreement could be made directly with the PCN.</w:t>
      </w:r>
    </w:p>
  </w:footnote>
  <w:footnote w:id="3">
    <w:p w14:paraId="28180772" w14:textId="7DC1D671" w:rsidR="008F2758" w:rsidRPr="00BD74A0" w:rsidRDefault="008F2758" w:rsidP="008F2758">
      <w:pPr>
        <w:pStyle w:val="FootnoteText"/>
        <w:ind w:left="142" w:hanging="142"/>
        <w:rPr>
          <w:rFonts w:cs="Arial"/>
        </w:rPr>
      </w:pPr>
      <w:r w:rsidRPr="004C4FD6">
        <w:rPr>
          <w:rStyle w:val="FootnoteReference"/>
          <w:rFonts w:cs="Arial"/>
        </w:rPr>
        <w:footnoteRef/>
      </w:r>
      <w:r w:rsidRPr="004C4FD6">
        <w:rPr>
          <w:rFonts w:cs="Arial"/>
        </w:rPr>
        <w:t xml:space="preserve"> The list outlines </w:t>
      </w:r>
      <w:r w:rsidRPr="00365F7F">
        <w:rPr>
          <w:rFonts w:cs="Arial"/>
        </w:rPr>
        <w:t xml:space="preserve">the </w:t>
      </w:r>
      <w:r w:rsidR="00384011">
        <w:rPr>
          <w:rFonts w:cs="Arial"/>
        </w:rPr>
        <w:t>2026/27</w:t>
      </w:r>
      <w:r w:rsidRPr="004C4FD6">
        <w:rPr>
          <w:rFonts w:cs="Arial"/>
        </w:rPr>
        <w:t xml:space="preserve"> requirements. Commissioners and PCNs will need to review local agreements in future years to ensure they remain aligned to any changes to the Network Contract DES </w:t>
      </w:r>
      <w:r>
        <w:rPr>
          <w:rFonts w:cs="Arial"/>
        </w:rPr>
        <w:t>S</w:t>
      </w:r>
      <w:r w:rsidRPr="004C4FD6">
        <w:rPr>
          <w:rFonts w:cs="Arial"/>
        </w:rPr>
        <w:t>pecification.</w:t>
      </w:r>
    </w:p>
  </w:footnote>
  <w:footnote w:id="4">
    <w:p w14:paraId="3CE25A09" w14:textId="3916C799" w:rsidR="008F2758" w:rsidRDefault="008F2758" w:rsidP="008F2758">
      <w:pPr>
        <w:pStyle w:val="FootnoteText"/>
        <w:ind w:left="142" w:hanging="142"/>
      </w:pPr>
      <w:r>
        <w:rPr>
          <w:rStyle w:val="FootnoteReference"/>
        </w:rPr>
        <w:footnoteRef/>
      </w:r>
      <w:r>
        <w:t xml:space="preserve"> </w:t>
      </w:r>
      <w:r>
        <w:rPr>
          <w:lang w:eastAsia="en-GB"/>
        </w:rPr>
        <w:t xml:space="preserve">Practices eligible to participate in the Network Contract DES </w:t>
      </w:r>
      <w:r w:rsidR="00114B27">
        <w:rPr>
          <w:lang w:eastAsia="en-GB"/>
        </w:rPr>
        <w:t xml:space="preserve">must </w:t>
      </w:r>
      <w:r>
        <w:rPr>
          <w:lang w:eastAsia="en-GB"/>
        </w:rPr>
        <w:t>hold a primary medical services contract, have a registered list of patients and offer in-hours (essential services) primary medical services.</w:t>
      </w:r>
    </w:p>
  </w:footnote>
  <w:footnote w:id="5">
    <w:p w14:paraId="52A4D8E5" w14:textId="1A3DDB54" w:rsidR="008F2758" w:rsidRPr="00485E78" w:rsidRDefault="008F2758" w:rsidP="008F2758">
      <w:pPr>
        <w:pStyle w:val="FootnoteText"/>
        <w:rPr>
          <w:rFonts w:cs="Arial"/>
        </w:rPr>
      </w:pPr>
      <w:r w:rsidRPr="0002751C">
        <w:rPr>
          <w:rStyle w:val="FootnoteReference"/>
        </w:rPr>
        <w:footnoteRef/>
      </w:r>
      <w:r w:rsidRPr="0002751C">
        <w:t xml:space="preserve"> The PCN ODS Change Instruction Notice is available </w:t>
      </w:r>
      <w:hyperlink r:id="rId1" w:history="1">
        <w:r w:rsidRPr="00DF044C">
          <w:rPr>
            <w:rStyle w:val="Hyperlink"/>
            <w:rFonts w:ascii="Arial" w:hAnsi="Arial"/>
          </w:rPr>
          <w:t>here</w:t>
        </w:r>
      </w:hyperlink>
      <w:r w:rsidRPr="0002751C">
        <w:rPr>
          <w:rStyle w:val="Hyperlink"/>
        </w:rPr>
        <w:t>.</w:t>
      </w:r>
    </w:p>
  </w:footnote>
  <w:footnote w:id="6">
    <w:p w14:paraId="1921A9ED" w14:textId="37173F20" w:rsidR="008F2758" w:rsidRDefault="008F2758" w:rsidP="008F2758">
      <w:pPr>
        <w:pStyle w:val="FootnoteText"/>
      </w:pPr>
      <w:r>
        <w:rPr>
          <w:rStyle w:val="FootnoteReference"/>
        </w:rPr>
        <w:footnoteRef/>
      </w:r>
      <w:r>
        <w:t xml:space="preserve"> </w:t>
      </w:r>
      <w:hyperlink r:id="rId2" w:history="1">
        <w:r w:rsidRPr="006828FD">
          <w:rPr>
            <w:rStyle w:val="Hyperlink"/>
            <w:rFonts w:ascii="Arial" w:hAnsi="Arial"/>
          </w:rPr>
          <w:t>NHS England’s template subcontract for the provision of services related to the Network Contract DES</w:t>
        </w:r>
      </w:hyperlink>
    </w:p>
  </w:footnote>
  <w:footnote w:id="7">
    <w:p w14:paraId="3B80AFAE" w14:textId="2CF7C9BC" w:rsidR="008F2758" w:rsidRDefault="008F2758" w:rsidP="008F2758">
      <w:pPr>
        <w:pStyle w:val="FootnoteText"/>
      </w:pPr>
      <w:r>
        <w:rPr>
          <w:rStyle w:val="FootnoteReference"/>
        </w:rPr>
        <w:footnoteRef/>
      </w:r>
      <w:r>
        <w:t xml:space="preserve"> </w:t>
      </w:r>
      <w:hyperlink r:id="rId3" w:history="1">
        <w:r w:rsidRPr="00361731">
          <w:rPr>
            <w:rStyle w:val="Hyperlink"/>
            <w:rFonts w:ascii="Arial" w:hAnsi="Arial"/>
          </w:rPr>
          <w:t>The NHS (GMS Contracts and PMS Agreements) (Amendment) (No2) Regulations 2020</w:t>
        </w:r>
      </w:hyperlink>
      <w:r>
        <w:t xml:space="preserve">: </w:t>
      </w:r>
    </w:p>
  </w:footnote>
  <w:footnote w:id="8">
    <w:p w14:paraId="0A387D6A" w14:textId="7A2581E3" w:rsidR="008F2758" w:rsidRDefault="008F2758" w:rsidP="008F2758">
      <w:pPr>
        <w:pStyle w:val="FootnoteText"/>
      </w:pPr>
      <w:r>
        <w:rPr>
          <w:rStyle w:val="FootnoteReference"/>
        </w:rPr>
        <w:footnoteRef/>
      </w:r>
      <w:r>
        <w:t xml:space="preserve"> </w:t>
      </w:r>
      <w:r w:rsidR="00BA4F4E">
        <w:fldChar w:fldCharType="begin"/>
      </w:r>
      <w:r w:rsidR="00BA4F4E" w:rsidRPr="00C052B3">
        <w:instrText>https://digital.nhs.uk/data-and-information/areas-of-interest/workforce/national-workforce-reporting-service-nwrs/guidance</w:instrText>
      </w:r>
      <w:r w:rsidR="00BA4F4E">
        <w:instrText>"</w:instrText>
      </w:r>
      <w:r w:rsidR="00BA4F4E">
        <w:fldChar w:fldCharType="separate"/>
      </w:r>
      <w:r w:rsidR="00BA4F4E" w:rsidRPr="00C370E0">
        <w:rPr>
          <w:rStyle w:val="Hyperlink"/>
          <w:rFonts w:ascii="Arial" w:hAnsi="Arial"/>
        </w:rPr>
        <w:t>https://digital.nhs.uk/data-and-information/areas-of-interest/workforce/national-workforce-reporting-service-nwrs/guidance</w:t>
      </w:r>
      <w:r w:rsidR="00BA4F4E">
        <w:fldChar w:fldCharType="end"/>
      </w:r>
      <w:r w:rsidR="00BA4F4E">
        <w:t xml:space="preserve"> </w:t>
      </w:r>
      <w:r w:rsidR="001674E3">
        <w:t xml:space="preserve"> </w:t>
      </w:r>
      <w:r w:rsidR="00BA4F4E">
        <w:t xml:space="preserve"> </w:t>
      </w:r>
      <w:hyperlink r:id="rId4" w:history="1">
        <w:r w:rsidR="00EA1365" w:rsidRPr="00761F79">
          <w:rPr>
            <w:rStyle w:val="Hyperlink"/>
            <w:rFonts w:ascii="Arial" w:hAnsi="Arial"/>
          </w:rPr>
          <w:t>https://digital.nhs.uk/data-and-information/areas-of-interest/workforce/national-workforce-reporting-service-nwrs/guidance</w:t>
        </w:r>
      </w:hyperlink>
      <w:r w:rsidR="00EA1365">
        <w:t xml:space="preserve"> </w:t>
      </w:r>
    </w:p>
  </w:footnote>
  <w:footnote w:id="9">
    <w:p w14:paraId="3430062D" w14:textId="77777777" w:rsidR="008F2758" w:rsidRPr="008D4763" w:rsidRDefault="008F2758" w:rsidP="008F2758">
      <w:pPr>
        <w:pStyle w:val="FootnoteText"/>
        <w:ind w:left="142" w:hanging="142"/>
      </w:pPr>
      <w:r w:rsidRPr="00514085">
        <w:rPr>
          <w:rStyle w:val="FootnoteReference"/>
        </w:rPr>
        <w:footnoteRef/>
      </w:r>
      <w:r w:rsidRPr="00514085">
        <w:t xml:space="preserve"> Contractor Weighted Population as defined in Annex A of the Statement of Financial Entitlements (SFE) taken as at 1 January of the financial year preceding. The SFE confirms that this is the number of patients arrived at </w:t>
      </w:r>
      <w:r w:rsidRPr="008D4763">
        <w:t>by the Global Sum Allocation Formula.</w:t>
      </w:r>
    </w:p>
  </w:footnote>
  <w:footnote w:id="10">
    <w:p w14:paraId="7B78EFB0" w14:textId="2C4FB77C" w:rsidR="00036465" w:rsidRDefault="00036465">
      <w:pPr>
        <w:pStyle w:val="FootnoteText"/>
      </w:pPr>
      <w:r w:rsidRPr="009E4CB6">
        <w:rPr>
          <w:rStyle w:val="FootnoteReference"/>
        </w:rPr>
        <w:footnoteRef/>
      </w:r>
      <w:r w:rsidRPr="009E4CB6">
        <w:t xml:space="preserve"> </w:t>
      </w:r>
      <w:hyperlink r:id="rId5" w:history="1">
        <w:r w:rsidR="00995BB5" w:rsidRPr="00995BB5">
          <w:rPr>
            <w:rStyle w:val="Hyperlink"/>
            <w:rFonts w:ascii="Arial" w:hAnsi="Arial"/>
          </w:rPr>
          <w:t>NHS England » General medical services (GMS) and primary care network (PCN) income ready reckoner from 1 April 2025</w:t>
        </w:r>
      </w:hyperlink>
    </w:p>
  </w:footnote>
  <w:footnote w:id="11">
    <w:p w14:paraId="3169CECE" w14:textId="77777777" w:rsidR="008F2758" w:rsidRPr="008662CE" w:rsidRDefault="008F2758" w:rsidP="008F2758">
      <w:pPr>
        <w:pStyle w:val="FootnoteText"/>
        <w:ind w:left="284" w:hanging="284"/>
        <w:rPr>
          <w:rFonts w:cs="Arial"/>
          <w:sz w:val="18"/>
        </w:rPr>
      </w:pPr>
      <w:r w:rsidRPr="00712721">
        <w:rPr>
          <w:rStyle w:val="FootnoteReference"/>
          <w:rFonts w:cs="Arial"/>
        </w:rPr>
        <w:footnoteRef/>
      </w:r>
      <w:r w:rsidRPr="00712721">
        <w:rPr>
          <w:rFonts w:cs="Arial"/>
        </w:rPr>
        <w:t xml:space="preserve"> The </w:t>
      </w:r>
      <w:r>
        <w:rPr>
          <w:rFonts w:cs="Arial"/>
        </w:rPr>
        <w:t>six</w:t>
      </w:r>
      <w:r w:rsidRPr="00712721">
        <w:rPr>
          <w:rFonts w:cs="Arial"/>
        </w:rPr>
        <w:t xml:space="preserve"> reimbursable roles funded include those directly employed by the CCG</w:t>
      </w:r>
      <w:r>
        <w:rPr>
          <w:rFonts w:cs="Arial"/>
        </w:rPr>
        <w:t>.</w:t>
      </w:r>
      <w:r>
        <w:rPr>
          <w:rFonts w:cs="Arial"/>
          <w:sz w:val="18"/>
        </w:rPr>
        <w:t xml:space="preserve"> </w:t>
      </w:r>
    </w:p>
  </w:footnote>
  <w:footnote w:id="12">
    <w:p w14:paraId="432F823D" w14:textId="1A800077" w:rsidR="008F2758" w:rsidRPr="007E7D11" w:rsidRDefault="008F2758" w:rsidP="008F2758">
      <w:pPr>
        <w:pStyle w:val="FootnoteText"/>
        <w:ind w:left="284" w:hanging="284"/>
      </w:pPr>
      <w:r w:rsidRPr="007E7D11">
        <w:rPr>
          <w:rStyle w:val="FootnoteReference"/>
        </w:rPr>
        <w:footnoteRef/>
      </w:r>
      <w:r w:rsidRPr="007E7D11">
        <w:t xml:space="preserve"> CPPE Clinical Pharmacists in General Practice Training Pathway </w:t>
      </w:r>
      <w:hyperlink r:id="rId6" w:anchor="navTop" w:history="1">
        <w:r w:rsidR="0066009B" w:rsidRPr="00761F79">
          <w:rPr>
            <w:rStyle w:val="Hyperlink"/>
            <w:rFonts w:ascii="Arial" w:hAnsi="Arial"/>
          </w:rPr>
          <w:t>https://www.cppe.ac.uk/career/clinical-pharmacists-in-general-practice-education#navTop</w:t>
        </w:r>
      </w:hyperlink>
      <w:r w:rsidR="0066009B">
        <w:t xml:space="preserve"> </w:t>
      </w:r>
    </w:p>
  </w:footnote>
  <w:footnote w:id="13">
    <w:p w14:paraId="10A429FE" w14:textId="7F960D66" w:rsidR="008F2758" w:rsidRPr="00476541" w:rsidRDefault="008F2758" w:rsidP="008F2758">
      <w:pPr>
        <w:pStyle w:val="FootnoteText"/>
        <w:ind w:left="284" w:hanging="284"/>
        <w:rPr>
          <w:sz w:val="18"/>
          <w:szCs w:val="18"/>
        </w:rPr>
      </w:pPr>
      <w:r w:rsidRPr="007E7D11">
        <w:rPr>
          <w:rStyle w:val="FootnoteReference"/>
        </w:rPr>
        <w:footnoteRef/>
      </w:r>
      <w:r w:rsidRPr="007E7D11">
        <w:t xml:space="preserve"> CPPE Medicines Optimisation in Care Homes Training Pathway </w:t>
      </w:r>
      <w:hyperlink r:id="rId7" w:anchor="navTop" w:history="1">
        <w:r w:rsidR="0066009B" w:rsidRPr="00761F79">
          <w:rPr>
            <w:rStyle w:val="Hyperlink"/>
            <w:rFonts w:ascii="Arial" w:hAnsi="Arial"/>
          </w:rPr>
          <w:t>https://www.cppe.ac.uk/career/moch/moch-training-pathway#navTop</w:t>
        </w:r>
      </w:hyperlink>
      <w:r w:rsidR="0066009B">
        <w:t xml:space="preserve"> </w:t>
      </w:r>
    </w:p>
  </w:footnote>
  <w:footnote w:id="14">
    <w:p w14:paraId="04EBA1DC" w14:textId="77777777" w:rsidR="008F2758" w:rsidRDefault="008F2758" w:rsidP="008F2758">
      <w:pPr>
        <w:pStyle w:val="FootnoteText"/>
        <w:ind w:left="284" w:hanging="284"/>
      </w:pPr>
      <w:r w:rsidRPr="00476541">
        <w:rPr>
          <w:rStyle w:val="FootnoteReference"/>
          <w:sz w:val="18"/>
          <w:szCs w:val="18"/>
        </w:rPr>
        <w:footnoteRef/>
      </w:r>
      <w:r w:rsidRPr="00476541">
        <w:rPr>
          <w:sz w:val="18"/>
          <w:szCs w:val="18"/>
        </w:rPr>
        <w:t xml:space="preserve"> </w:t>
      </w:r>
      <w:r w:rsidRPr="00196364">
        <w:t>This does not need to be a senior clinical pharmacist within the PCN but could be part of a wider local network, including from secondary care or another PCN.</w:t>
      </w:r>
    </w:p>
  </w:footnote>
  <w:footnote w:id="15">
    <w:p w14:paraId="4A21644C" w14:textId="4FF8D67E" w:rsidR="0052097A" w:rsidRDefault="0052097A">
      <w:pPr>
        <w:pStyle w:val="FootnoteText"/>
      </w:pPr>
      <w:r w:rsidRPr="009E4CB6">
        <w:rPr>
          <w:rStyle w:val="FootnoteReference"/>
        </w:rPr>
        <w:footnoteRef/>
      </w:r>
      <w:r w:rsidRPr="009E4CB6">
        <w:t xml:space="preserve"> </w:t>
      </w:r>
      <w:hyperlink r:id="rId8" w:history="1">
        <w:r w:rsidRPr="009E4CB6">
          <w:rPr>
            <w:rStyle w:val="Hyperlink"/>
            <w:rFonts w:ascii="Arial" w:hAnsi="Arial"/>
          </w:rPr>
          <w:t>https://www.nhsemployers.org/system/files/2021-06/TCS-GP-GMS-150409.pdf</w:t>
        </w:r>
      </w:hyperlink>
    </w:p>
  </w:footnote>
  <w:footnote w:id="16">
    <w:p w14:paraId="4012FAA2" w14:textId="0A6A07D4" w:rsidR="004A2A9F" w:rsidRDefault="004A2A9F" w:rsidP="004A2A9F">
      <w:pPr>
        <w:pStyle w:val="FootnoteText"/>
      </w:pPr>
      <w:r w:rsidRPr="00B96F7E">
        <w:rPr>
          <w:rStyle w:val="FootnoteReference"/>
        </w:rPr>
        <w:footnoteRef/>
      </w:r>
      <w:r w:rsidRPr="00B96F7E">
        <w:t xml:space="preserve"> This may also include PCNs delivering practice-level contractual requirements such as vaccinations, screening and health checks, </w:t>
      </w:r>
      <w:r w:rsidR="001259A9" w:rsidRPr="00B96F7E">
        <w:t xml:space="preserve">provision of personally administered items, </w:t>
      </w:r>
      <w:r w:rsidRPr="00B96F7E">
        <w:t>QOF and IIF-related activity during core hours</w:t>
      </w:r>
      <w:r w:rsidR="001259A9" w:rsidRPr="00B96F7E">
        <w:t xml:space="preserve">. </w:t>
      </w:r>
      <w:r w:rsidR="009E2E6B" w:rsidRPr="00B96F7E">
        <w:t>PCNs delivering vaccination</w:t>
      </w:r>
      <w:r w:rsidR="00A94A48" w:rsidRPr="00B96F7E">
        <w:t>s</w:t>
      </w:r>
      <w:r w:rsidR="009E2E6B" w:rsidRPr="00B96F7E">
        <w:t xml:space="preserve"> must document their arrangement in Schedule </w:t>
      </w:r>
      <w:r w:rsidR="00D24098" w:rsidRPr="00B96F7E">
        <w:t>8</w:t>
      </w:r>
      <w:r w:rsidR="009E2E6B" w:rsidRPr="00B96F7E">
        <w:t xml:space="preserve"> of their Network Agreement.</w:t>
      </w:r>
    </w:p>
    <w:p w14:paraId="3325DEB0" w14:textId="77777777" w:rsidR="004A2A9F" w:rsidRDefault="004A2A9F" w:rsidP="004A2A9F">
      <w:pPr>
        <w:pStyle w:val="FootnoteText"/>
      </w:pPr>
    </w:p>
  </w:footnote>
  <w:footnote w:id="17">
    <w:p w14:paraId="5EAD2B51" w14:textId="20DB2749" w:rsidR="008F2758" w:rsidRPr="0080630B" w:rsidRDefault="008F2758" w:rsidP="008F2758">
      <w:pPr>
        <w:pStyle w:val="FootnoteText"/>
        <w:ind w:left="284" w:hanging="284"/>
        <w:contextualSpacing/>
      </w:pPr>
      <w:r>
        <w:rPr>
          <w:rStyle w:val="FootnoteReference"/>
        </w:rPr>
        <w:footnoteRef/>
      </w:r>
      <w:r>
        <w:t xml:space="preserve"> </w:t>
      </w:r>
      <w:r>
        <w:rPr>
          <w:rFonts w:cs="Arial"/>
        </w:rPr>
        <w:t>B</w:t>
      </w:r>
      <w:r w:rsidRPr="00682B93">
        <w:rPr>
          <w:rFonts w:cs="Arial"/>
        </w:rPr>
        <w:t xml:space="preserve">ased on the patient </w:t>
      </w:r>
      <w:r w:rsidRPr="0080630B">
        <w:rPr>
          <w:rFonts w:cs="Arial"/>
        </w:rPr>
        <w:t>numbers as at 1 January immediately preceding the financial year. The 1 January 202</w:t>
      </w:r>
      <w:r w:rsidR="00D96E5C" w:rsidRPr="00922E70">
        <w:rPr>
          <w:rFonts w:cs="Arial"/>
          <w:highlight w:val="yellow"/>
        </w:rPr>
        <w:t>6</w:t>
      </w:r>
      <w:r w:rsidRPr="0080630B">
        <w:rPr>
          <w:rFonts w:cs="Arial"/>
        </w:rPr>
        <w:t xml:space="preserve"> patient figures are used for the 202</w:t>
      </w:r>
      <w:r w:rsidR="00D96E5C">
        <w:rPr>
          <w:rFonts w:cs="Arial"/>
        </w:rPr>
        <w:t>6</w:t>
      </w:r>
      <w:r w:rsidRPr="0080630B">
        <w:rPr>
          <w:rFonts w:cs="Arial"/>
        </w:rPr>
        <w:t>/2</w:t>
      </w:r>
      <w:r w:rsidR="00D96E5C">
        <w:rPr>
          <w:rFonts w:cs="Arial"/>
        </w:rPr>
        <w:t>7</w:t>
      </w:r>
      <w:r w:rsidRPr="0080630B">
        <w:rPr>
          <w:rFonts w:cs="Arial"/>
        </w:rPr>
        <w:t xml:space="preserve"> financial year.</w:t>
      </w:r>
    </w:p>
  </w:footnote>
  <w:footnote w:id="18">
    <w:p w14:paraId="6A09185A" w14:textId="04270B84" w:rsidR="00C90F06" w:rsidRPr="003A1A70" w:rsidRDefault="00C90F06">
      <w:pPr>
        <w:pStyle w:val="FootnoteText"/>
      </w:pPr>
      <w:r w:rsidRPr="0080630B">
        <w:rPr>
          <w:rStyle w:val="FootnoteReference"/>
        </w:rPr>
        <w:footnoteRef/>
      </w:r>
      <w:r w:rsidRPr="0080630B">
        <w:t xml:space="preserve"> </w:t>
      </w:r>
      <w:r w:rsidR="004548C9" w:rsidRPr="0080630B">
        <w:t>£</w:t>
      </w:r>
      <w:r w:rsidR="004548C9" w:rsidRPr="00635AAD">
        <w:rPr>
          <w:highlight w:val="yellow"/>
        </w:rPr>
        <w:t>2.</w:t>
      </w:r>
      <w:r w:rsidR="005763E8" w:rsidRPr="00635AAD">
        <w:rPr>
          <w:highlight w:val="yellow"/>
        </w:rPr>
        <w:t>311</w:t>
      </w:r>
      <w:r w:rsidR="004548C9" w:rsidRPr="0080630B">
        <w:t xml:space="preserve"> </w:t>
      </w:r>
      <w:r w:rsidRPr="0080630B">
        <w:t>being multiplied by the PCN registered list size as at 1 January 202</w:t>
      </w:r>
      <w:r w:rsidR="005763E8" w:rsidRPr="00922E70">
        <w:rPr>
          <w:highlight w:val="yellow"/>
        </w:rPr>
        <w:t>6</w:t>
      </w:r>
      <w:r w:rsidRPr="0080630B">
        <w:t xml:space="preserve"> and £</w:t>
      </w:r>
      <w:r w:rsidR="00822785" w:rsidRPr="00635AAD">
        <w:rPr>
          <w:highlight w:val="yellow"/>
        </w:rPr>
        <w:t>0.7</w:t>
      </w:r>
      <w:r w:rsidR="005763E8" w:rsidRPr="00635AAD">
        <w:rPr>
          <w:highlight w:val="yellow"/>
        </w:rPr>
        <w:t>48</w:t>
      </w:r>
      <w:r w:rsidRPr="0080630B">
        <w:t xml:space="preserve"> multiplied by PCN Adjusted Population as at 1 January 202</w:t>
      </w:r>
      <w:r w:rsidR="005763E8" w:rsidRPr="00922E70">
        <w:rPr>
          <w:highlight w:val="yellow"/>
        </w:rPr>
        <w:t>6</w:t>
      </w:r>
      <w:r w:rsidRPr="0080630B">
        <w:t>. This combines the funding that was previously labelled as Core PCN Funding, Clinical Director Payment and PCN Leadership and Management</w:t>
      </w:r>
      <w:r w:rsidR="00C25859" w:rsidRPr="0080630B">
        <w:t xml:space="preserve"> Payment</w:t>
      </w:r>
    </w:p>
  </w:footnote>
  <w:footnote w:id="19">
    <w:p w14:paraId="3463BDAF" w14:textId="77777777" w:rsidR="008F2758" w:rsidRPr="0080630B" w:rsidRDefault="008F2758" w:rsidP="008F2758">
      <w:pPr>
        <w:pStyle w:val="FootnoteText"/>
        <w:ind w:left="284" w:hanging="284"/>
        <w:contextualSpacing/>
        <w:rPr>
          <w:rFonts w:cs="Arial"/>
        </w:rPr>
      </w:pPr>
      <w:r w:rsidRPr="003A1A70">
        <w:rPr>
          <w:rStyle w:val="FootnoteReference"/>
          <w:rFonts w:cs="Arial"/>
        </w:rPr>
        <w:footnoteRef/>
      </w:r>
      <w:r w:rsidRPr="003A1A70">
        <w:rPr>
          <w:rFonts w:cs="Arial"/>
        </w:rPr>
        <w:t xml:space="preserve"> WTE is usually 37.5 hours in line with Agenda for Change (AfC) Terms and Conditions, although this may vary for non-AfC posts. Where AfC does not apply, PCNs should calculate the relevant WTE according to the normal full-time hours for that </w:t>
      </w:r>
      <w:r w:rsidRPr="0080630B">
        <w:rPr>
          <w:rFonts w:cs="Arial"/>
        </w:rPr>
        <w:t>role in the employing organisation with reimbursement being made on a pro-rata basis accordingly.</w:t>
      </w:r>
    </w:p>
  </w:footnote>
  <w:footnote w:id="20">
    <w:p w14:paraId="7170B4B1" w14:textId="10C218DB" w:rsidR="008F2758" w:rsidRDefault="008F2758" w:rsidP="008F2758">
      <w:pPr>
        <w:pStyle w:val="FootnoteText"/>
        <w:ind w:left="284" w:hanging="284"/>
        <w:contextualSpacing/>
      </w:pPr>
      <w:r w:rsidRPr="0080630B">
        <w:rPr>
          <w:rStyle w:val="FootnoteReference"/>
          <w:rFonts w:cs="Arial"/>
        </w:rPr>
        <w:footnoteRef/>
      </w:r>
      <w:r w:rsidRPr="0080630B">
        <w:rPr>
          <w:rFonts w:cs="Arial"/>
        </w:rPr>
        <w:t xml:space="preserve"> The annual maximum amounts for 202</w:t>
      </w:r>
      <w:r w:rsidR="00D96E5C" w:rsidRPr="00683F7E">
        <w:rPr>
          <w:rFonts w:cs="Arial"/>
          <w:highlight w:val="yellow"/>
        </w:rPr>
        <w:t>6</w:t>
      </w:r>
      <w:r w:rsidRPr="0080630B">
        <w:rPr>
          <w:rFonts w:cs="Arial"/>
        </w:rPr>
        <w:t>/2</w:t>
      </w:r>
      <w:r w:rsidR="00D96E5C" w:rsidRPr="00683F7E">
        <w:rPr>
          <w:rFonts w:cs="Arial"/>
          <w:highlight w:val="yellow"/>
        </w:rPr>
        <w:t>7</w:t>
      </w:r>
      <w:r w:rsidRPr="0080630B">
        <w:rPr>
          <w:rFonts w:cs="Arial"/>
        </w:rPr>
        <w:t xml:space="preserve"> as outlined</w:t>
      </w:r>
      <w:r w:rsidRPr="00682B93">
        <w:rPr>
          <w:rFonts w:cs="Arial"/>
        </w:rPr>
        <w:t xml:space="preserve"> in the Network Contract DES are to be pro-rated on the proportion of the year that an individual is in post.</w:t>
      </w:r>
    </w:p>
  </w:footnote>
  <w:footnote w:id="21">
    <w:p w14:paraId="094B9FFB" w14:textId="67BB1118" w:rsidR="008F2758" w:rsidRPr="00485E78" w:rsidRDefault="008F2758" w:rsidP="008F2758">
      <w:pPr>
        <w:pStyle w:val="FootnoteText"/>
        <w:rPr>
          <w:rFonts w:cs="Arial"/>
        </w:rPr>
      </w:pPr>
      <w:r w:rsidRPr="00485E78">
        <w:rPr>
          <w:rStyle w:val="FootnoteReference"/>
          <w:rFonts w:cs="Arial"/>
        </w:rPr>
        <w:footnoteRef/>
      </w:r>
      <w:r w:rsidRPr="00485E78">
        <w:rPr>
          <w:rFonts w:cs="Arial"/>
        </w:rPr>
        <w:t xml:space="preserve"> The PCN ODS Change Instruction Notice is available </w:t>
      </w:r>
      <w:hyperlink r:id="rId9" w:anchor=":~:text=Submit%20the%20document%20to%20PCSE,the%20Payment%20Query%20drop%20down." w:history="1">
        <w:r w:rsidRPr="00784732">
          <w:rPr>
            <w:rStyle w:val="Hyperlink"/>
            <w:rFonts w:ascii="Arial" w:hAnsi="Arial" w:cs="Arial"/>
          </w:rPr>
          <w:t>here</w:t>
        </w:r>
      </w:hyperlink>
      <w:r w:rsidRPr="00485E78">
        <w:rPr>
          <w:rStyle w:val="Hyperlink"/>
          <w:rFonts w:cs="Arial"/>
          <w:bCs/>
        </w:rPr>
        <w:t>.</w:t>
      </w:r>
    </w:p>
  </w:footnote>
  <w:footnote w:id="22">
    <w:p w14:paraId="775DDD14" w14:textId="3B2892FF" w:rsidR="00D14EF1" w:rsidRDefault="00D14EF1">
      <w:pPr>
        <w:pStyle w:val="FootnoteText"/>
      </w:pPr>
      <w:r w:rsidRPr="009E4CB6">
        <w:rPr>
          <w:rStyle w:val="FootnoteReference"/>
        </w:rPr>
        <w:footnoteRef/>
      </w:r>
      <w:r w:rsidRPr="009E4CB6">
        <w:t xml:space="preserve"> </w:t>
      </w:r>
      <w:hyperlink r:id="rId10" w:history="1">
        <w:r w:rsidR="00BB736E" w:rsidRPr="009E4CB6">
          <w:rPr>
            <w:rStyle w:val="Hyperlink"/>
            <w:rFonts w:ascii="Arial" w:hAnsi="Arial"/>
          </w:rPr>
          <w:t>https://future.nhs.uk/PrimaryCareDataHub/groupHome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4A75" w14:textId="0BD6CBEB" w:rsidR="00D644A3" w:rsidRPr="00332EE2" w:rsidRDefault="00415371" w:rsidP="00491413">
    <w:pPr>
      <w:pStyle w:val="Header"/>
      <w:pBdr>
        <w:bottom w:val="none" w:sz="0" w:space="0" w:color="auto"/>
      </w:pBdr>
      <w:rPr>
        <w:sz w:val="24"/>
      </w:rPr>
    </w:pPr>
    <w:r w:rsidRPr="00332EE2">
      <w:rPr>
        <w:sz w:val="24"/>
      </w:rPr>
      <w:t>Network contract DES guidance for 202</w:t>
    </w:r>
    <w:r w:rsidR="00D96E5C" w:rsidRPr="00853809">
      <w:rPr>
        <w:sz w:val="24"/>
        <w:highlight w:val="yellow"/>
      </w:rPr>
      <w:t>6</w:t>
    </w:r>
    <w:r w:rsidRPr="00332EE2">
      <w:rPr>
        <w:sz w:val="24"/>
      </w:rPr>
      <w:t>/2</w:t>
    </w:r>
    <w:r w:rsidR="00D96E5C" w:rsidRPr="00853809">
      <w:rPr>
        <w:sz w:val="24"/>
        <w:highlight w:val="yellow"/>
      </w:rPr>
      <w:t>7</w:t>
    </w:r>
    <w:r w:rsidRPr="00332EE2">
      <w:rPr>
        <w:sz w:val="24"/>
      </w:rPr>
      <w:t xml:space="preserve">: Part </w:t>
    </w:r>
    <w:r w:rsidR="007D3A5F" w:rsidRPr="00332EE2">
      <w:rPr>
        <w:sz w:val="24"/>
      </w:rPr>
      <w:t>B</w:t>
    </w:r>
    <w:r w:rsidR="007D3A5F" w:rsidRPr="00332EE2">
      <w:rPr>
        <w:b/>
        <w:bCs/>
        <w:color w:val="FF0000"/>
        <w:sz w:val="24"/>
      </w:rPr>
      <w:t xml:space="preserve"> </w:t>
    </w:r>
    <w:r w:rsidR="007D3A5F" w:rsidRPr="00332EE2">
      <w:rPr>
        <w:color w:val="231F20" w:themeColor="background1"/>
        <w:sz w:val="24"/>
      </w:rPr>
      <w:t>Guidance: Non Clinical</w:t>
    </w:r>
    <w:r w:rsidR="002C02CB" w:rsidRPr="00332EE2">
      <w:rPr>
        <w:color w:val="231F20" w:themeColor="background1"/>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E280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545B1"/>
    <w:multiLevelType w:val="hybridMultilevel"/>
    <w:tmpl w:val="21A4FBAE"/>
    <w:lvl w:ilvl="0" w:tplc="DD384026">
      <w:start w:val="1"/>
      <w:numFmt w:val="bullet"/>
      <w:pStyle w:val="BulletIndent1"/>
      <w:lvlText w:val=""/>
      <w:lvlJc w:val="left"/>
      <w:pPr>
        <w:ind w:left="720" w:hanging="360"/>
      </w:pPr>
      <w:rPr>
        <w:rFonts w:ascii="Symbol" w:hAnsi="Symbol" w:hint="default"/>
        <w:color w:val="auto"/>
        <w:sz w:val="22"/>
      </w:rPr>
    </w:lvl>
    <w:lvl w:ilvl="1" w:tplc="08090001">
      <w:start w:val="1"/>
      <w:numFmt w:val="bullet"/>
      <w:lvlText w:val=""/>
      <w:lvlJc w:val="left"/>
      <w:pPr>
        <w:tabs>
          <w:tab w:val="num" w:pos="1443"/>
        </w:tabs>
        <w:ind w:left="1443" w:hanging="360"/>
      </w:pPr>
      <w:rPr>
        <w:rFonts w:ascii="Symbol" w:hAnsi="Symbol" w:hint="default"/>
      </w:rPr>
    </w:lvl>
    <w:lvl w:ilvl="2" w:tplc="00050409">
      <w:start w:val="1"/>
      <w:numFmt w:val="bullet"/>
      <w:lvlText w:val=""/>
      <w:lvlJc w:val="left"/>
      <w:pPr>
        <w:tabs>
          <w:tab w:val="num" w:pos="2163"/>
        </w:tabs>
        <w:ind w:left="2163" w:hanging="360"/>
      </w:pPr>
      <w:rPr>
        <w:rFonts w:ascii="Wingdings" w:hAnsi="Wingdings" w:hint="default"/>
      </w:rPr>
    </w:lvl>
    <w:lvl w:ilvl="3" w:tplc="00010409" w:tentative="1">
      <w:start w:val="1"/>
      <w:numFmt w:val="bullet"/>
      <w:lvlText w:val=""/>
      <w:lvlJc w:val="left"/>
      <w:pPr>
        <w:tabs>
          <w:tab w:val="num" w:pos="2883"/>
        </w:tabs>
        <w:ind w:left="2883" w:hanging="360"/>
      </w:pPr>
      <w:rPr>
        <w:rFonts w:ascii="Symbol" w:hAnsi="Symbol" w:hint="default"/>
      </w:rPr>
    </w:lvl>
    <w:lvl w:ilvl="4" w:tplc="00030409" w:tentative="1">
      <w:start w:val="1"/>
      <w:numFmt w:val="bullet"/>
      <w:lvlText w:val="o"/>
      <w:lvlJc w:val="left"/>
      <w:pPr>
        <w:tabs>
          <w:tab w:val="num" w:pos="3603"/>
        </w:tabs>
        <w:ind w:left="3603" w:hanging="360"/>
      </w:pPr>
      <w:rPr>
        <w:rFonts w:ascii="Courier New" w:hAnsi="Courier New" w:hint="default"/>
      </w:rPr>
    </w:lvl>
    <w:lvl w:ilvl="5" w:tplc="00050409" w:tentative="1">
      <w:start w:val="1"/>
      <w:numFmt w:val="bullet"/>
      <w:lvlText w:val=""/>
      <w:lvlJc w:val="left"/>
      <w:pPr>
        <w:tabs>
          <w:tab w:val="num" w:pos="4323"/>
        </w:tabs>
        <w:ind w:left="4323" w:hanging="360"/>
      </w:pPr>
      <w:rPr>
        <w:rFonts w:ascii="Wingdings" w:hAnsi="Wingdings" w:hint="default"/>
      </w:rPr>
    </w:lvl>
    <w:lvl w:ilvl="6" w:tplc="00010409" w:tentative="1">
      <w:start w:val="1"/>
      <w:numFmt w:val="bullet"/>
      <w:lvlText w:val=""/>
      <w:lvlJc w:val="left"/>
      <w:pPr>
        <w:tabs>
          <w:tab w:val="num" w:pos="5043"/>
        </w:tabs>
        <w:ind w:left="5043" w:hanging="360"/>
      </w:pPr>
      <w:rPr>
        <w:rFonts w:ascii="Symbol" w:hAnsi="Symbol" w:hint="default"/>
      </w:rPr>
    </w:lvl>
    <w:lvl w:ilvl="7" w:tplc="00030409" w:tentative="1">
      <w:start w:val="1"/>
      <w:numFmt w:val="bullet"/>
      <w:lvlText w:val="o"/>
      <w:lvlJc w:val="left"/>
      <w:pPr>
        <w:tabs>
          <w:tab w:val="num" w:pos="5763"/>
        </w:tabs>
        <w:ind w:left="5763" w:hanging="360"/>
      </w:pPr>
      <w:rPr>
        <w:rFonts w:ascii="Courier New" w:hAnsi="Courier New" w:hint="default"/>
      </w:rPr>
    </w:lvl>
    <w:lvl w:ilvl="8" w:tplc="00050409" w:tentative="1">
      <w:start w:val="1"/>
      <w:numFmt w:val="bullet"/>
      <w:lvlText w:val=""/>
      <w:lvlJc w:val="left"/>
      <w:pPr>
        <w:tabs>
          <w:tab w:val="num" w:pos="6483"/>
        </w:tabs>
        <w:ind w:left="6483" w:hanging="360"/>
      </w:pPr>
      <w:rPr>
        <w:rFonts w:ascii="Wingdings" w:hAnsi="Wingdings" w:hint="default"/>
      </w:rPr>
    </w:lvl>
  </w:abstractNum>
  <w:abstractNum w:abstractNumId="3" w15:restartNumberingAfterBreak="0">
    <w:nsid w:val="0A313982"/>
    <w:multiLevelType w:val="multilevel"/>
    <w:tmpl w:val="1A4675A8"/>
    <w:numStyleLink w:val="Style2"/>
  </w:abstractNum>
  <w:abstractNum w:abstractNumId="4" w15:restartNumberingAfterBreak="0">
    <w:nsid w:val="0B236464"/>
    <w:multiLevelType w:val="multilevel"/>
    <w:tmpl w:val="6DA83F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1.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9667C9"/>
    <w:multiLevelType w:val="hybridMultilevel"/>
    <w:tmpl w:val="7D7EB688"/>
    <w:lvl w:ilvl="0" w:tplc="620E401C">
      <w:start w:val="1"/>
      <w:numFmt w:val="lowerLetter"/>
      <w:lvlText w:val="%1."/>
      <w:lvlJc w:val="left"/>
      <w:pPr>
        <w:ind w:left="720" w:hanging="360"/>
      </w:pPr>
      <w:rPr>
        <w:rFonts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8795B"/>
    <w:multiLevelType w:val="hybridMultilevel"/>
    <w:tmpl w:val="A73E6322"/>
    <w:lvl w:ilvl="0" w:tplc="C11A78AA">
      <w:start w:val="1"/>
      <w:numFmt w:val="bullet"/>
      <w:pStyle w:val="BulletUnindented"/>
      <w:lvlText w:val=""/>
      <w:lvlJc w:val="left"/>
      <w:pPr>
        <w:ind w:left="360" w:hanging="360"/>
      </w:pPr>
      <w:rPr>
        <w:rFonts w:ascii="Symbol" w:hAnsi="Symbol" w:hint="default"/>
        <w:color w:val="auto"/>
        <w:sz w:val="22"/>
      </w:rPr>
    </w:lvl>
    <w:lvl w:ilvl="1" w:tplc="00030409">
      <w:start w:val="1"/>
      <w:numFmt w:val="bullet"/>
      <w:lvlText w:val="o"/>
      <w:lvlJc w:val="left"/>
      <w:pPr>
        <w:tabs>
          <w:tab w:val="num" w:pos="1083"/>
        </w:tabs>
        <w:ind w:left="1083" w:hanging="360"/>
      </w:pPr>
      <w:rPr>
        <w:rFonts w:ascii="Courier New" w:hAnsi="Courier New" w:hint="default"/>
      </w:rPr>
    </w:lvl>
    <w:lvl w:ilvl="2" w:tplc="00050409" w:tentative="1">
      <w:start w:val="1"/>
      <w:numFmt w:val="bullet"/>
      <w:lvlText w:val=""/>
      <w:lvlJc w:val="left"/>
      <w:pPr>
        <w:tabs>
          <w:tab w:val="num" w:pos="1803"/>
        </w:tabs>
        <w:ind w:left="1803" w:hanging="360"/>
      </w:pPr>
      <w:rPr>
        <w:rFonts w:ascii="Wingdings" w:hAnsi="Wingdings" w:hint="default"/>
      </w:rPr>
    </w:lvl>
    <w:lvl w:ilvl="3" w:tplc="00010409" w:tentative="1">
      <w:start w:val="1"/>
      <w:numFmt w:val="bullet"/>
      <w:lvlText w:val=""/>
      <w:lvlJc w:val="left"/>
      <w:pPr>
        <w:tabs>
          <w:tab w:val="num" w:pos="2523"/>
        </w:tabs>
        <w:ind w:left="2523" w:hanging="360"/>
      </w:pPr>
      <w:rPr>
        <w:rFonts w:ascii="Symbol" w:hAnsi="Symbol" w:hint="default"/>
      </w:rPr>
    </w:lvl>
    <w:lvl w:ilvl="4" w:tplc="00030409" w:tentative="1">
      <w:start w:val="1"/>
      <w:numFmt w:val="bullet"/>
      <w:lvlText w:val="o"/>
      <w:lvlJc w:val="left"/>
      <w:pPr>
        <w:tabs>
          <w:tab w:val="num" w:pos="3243"/>
        </w:tabs>
        <w:ind w:left="3243" w:hanging="360"/>
      </w:pPr>
      <w:rPr>
        <w:rFonts w:ascii="Courier New" w:hAnsi="Courier New" w:hint="default"/>
      </w:rPr>
    </w:lvl>
    <w:lvl w:ilvl="5" w:tplc="00050409" w:tentative="1">
      <w:start w:val="1"/>
      <w:numFmt w:val="bullet"/>
      <w:lvlText w:val=""/>
      <w:lvlJc w:val="left"/>
      <w:pPr>
        <w:tabs>
          <w:tab w:val="num" w:pos="3963"/>
        </w:tabs>
        <w:ind w:left="3963" w:hanging="360"/>
      </w:pPr>
      <w:rPr>
        <w:rFonts w:ascii="Wingdings" w:hAnsi="Wingdings" w:hint="default"/>
      </w:rPr>
    </w:lvl>
    <w:lvl w:ilvl="6" w:tplc="00010409" w:tentative="1">
      <w:start w:val="1"/>
      <w:numFmt w:val="bullet"/>
      <w:lvlText w:val=""/>
      <w:lvlJc w:val="left"/>
      <w:pPr>
        <w:tabs>
          <w:tab w:val="num" w:pos="4683"/>
        </w:tabs>
        <w:ind w:left="4683" w:hanging="360"/>
      </w:pPr>
      <w:rPr>
        <w:rFonts w:ascii="Symbol" w:hAnsi="Symbol" w:hint="default"/>
      </w:rPr>
    </w:lvl>
    <w:lvl w:ilvl="7" w:tplc="00030409" w:tentative="1">
      <w:start w:val="1"/>
      <w:numFmt w:val="bullet"/>
      <w:lvlText w:val="o"/>
      <w:lvlJc w:val="left"/>
      <w:pPr>
        <w:tabs>
          <w:tab w:val="num" w:pos="5403"/>
        </w:tabs>
        <w:ind w:left="5403" w:hanging="360"/>
      </w:pPr>
      <w:rPr>
        <w:rFonts w:ascii="Courier New" w:hAnsi="Courier New" w:hint="default"/>
      </w:rPr>
    </w:lvl>
    <w:lvl w:ilvl="8" w:tplc="00050409"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13E454CA"/>
    <w:multiLevelType w:val="multilevel"/>
    <w:tmpl w:val="87069C64"/>
    <w:styleLink w:val="NHSTableHeadings"/>
    <w:lvl w:ilvl="0">
      <w:start w:val="1"/>
      <w:numFmt w:val="decimal"/>
      <w:suff w:val="spac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FB40AF"/>
    <w:multiLevelType w:val="multilevel"/>
    <w:tmpl w:val="7C88FCF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DB4A12"/>
    <w:multiLevelType w:val="multilevel"/>
    <w:tmpl w:val="55B44E1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Theme="minorHAnsi" w:hAnsiTheme="minorHAnsi" w:cstheme="minorHAnsi" w:hint="default"/>
        <w:b w:val="0"/>
        <w:bCs/>
        <w:color w:val="auto"/>
        <w:sz w:val="24"/>
      </w:rPr>
    </w:lvl>
    <w:lvl w:ilvl="2">
      <w:start w:val="1"/>
      <w:numFmt w:val="decimal"/>
      <w:lvlText w:val="%1.%2.%3."/>
      <w:lvlJc w:val="left"/>
      <w:pPr>
        <w:ind w:left="1224" w:hanging="504"/>
      </w:pPr>
      <w:rPr>
        <w:rFonts w:hint="default"/>
      </w:rPr>
    </w:lvl>
    <w:lvl w:ilvl="3">
      <w:start w:val="1"/>
      <w:numFmt w:val="decimal"/>
      <w:lvlText w:val="8.%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F35577"/>
    <w:multiLevelType w:val="multilevel"/>
    <w:tmpl w:val="D416FDA8"/>
    <w:styleLink w:val="NHSOutlineLevels"/>
    <w:lvl w:ilvl="0">
      <w:start w:val="1"/>
      <w:numFmt w:val="none"/>
      <w:suff w:val="nothing"/>
      <w:lvlText w:val=""/>
      <w:lvlJc w:val="left"/>
      <w:pPr>
        <w:ind w:left="0" w:firstLine="0"/>
      </w:pPr>
      <w:rPr>
        <w:rFonts w:hint="default"/>
      </w:rPr>
    </w:lvl>
    <w:lvl w:ilvl="1">
      <w:start w:val="1"/>
      <w:numFmt w:val="bullet"/>
      <w:lvlText w:val=""/>
      <w:lvlJc w:val="left"/>
      <w:pPr>
        <w:tabs>
          <w:tab w:val="num" w:pos="567"/>
        </w:tabs>
        <w:ind w:left="567" w:hanging="56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6F5FE6"/>
    <w:multiLevelType w:val="hybridMultilevel"/>
    <w:tmpl w:val="67F80D20"/>
    <w:lvl w:ilvl="0" w:tplc="FFFFFFFF">
      <w:start w:val="1"/>
      <w:numFmt w:val="lowerLetter"/>
      <w:lvlText w:val="%1."/>
      <w:lvlJc w:val="left"/>
      <w:pPr>
        <w:ind w:left="2345" w:hanging="360"/>
      </w:pPr>
      <w:rPr>
        <w:b w:val="0"/>
        <w:bCs/>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2" w15:restartNumberingAfterBreak="0">
    <w:nsid w:val="1E20699D"/>
    <w:multiLevelType w:val="multilevel"/>
    <w:tmpl w:val="0680C1A4"/>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F0613F"/>
    <w:multiLevelType w:val="hybridMultilevel"/>
    <w:tmpl w:val="0DF488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A64173"/>
    <w:multiLevelType w:val="hybridMultilevel"/>
    <w:tmpl w:val="AA18D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2F5BC6"/>
    <w:multiLevelType w:val="hybridMultilevel"/>
    <w:tmpl w:val="67F80D20"/>
    <w:lvl w:ilvl="0" w:tplc="FFFFFFFF">
      <w:start w:val="1"/>
      <w:numFmt w:val="lowerLetter"/>
      <w:lvlText w:val="%1."/>
      <w:lvlJc w:val="left"/>
      <w:pPr>
        <w:ind w:left="2345" w:hanging="360"/>
      </w:pPr>
      <w:rPr>
        <w:b w:val="0"/>
        <w:bCs/>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6" w15:restartNumberingAfterBreak="0">
    <w:nsid w:val="27E119E6"/>
    <w:multiLevelType w:val="multilevel"/>
    <w:tmpl w:val="CBDAF49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Arial" w:hAnsi="Arial" w:cs="Arial" w:hint="default"/>
        <w:b w:val="0"/>
        <w:bCs w:val="0"/>
        <w:color w:val="auto"/>
        <w:sz w:val="24"/>
      </w:rPr>
    </w:lvl>
    <w:lvl w:ilvl="2">
      <w:start w:val="1"/>
      <w:numFmt w:val="decimal"/>
      <w:lvlText w:val="%1.%2.%3."/>
      <w:lvlJc w:val="left"/>
      <w:pPr>
        <w:ind w:left="1224" w:hanging="504"/>
      </w:pPr>
      <w:rPr>
        <w:rFonts w:hint="default"/>
      </w:rPr>
    </w:lvl>
    <w:lvl w:ilvl="3">
      <w:start w:val="1"/>
      <w:numFmt w:val="decimal"/>
      <w:lvlText w:val="8.%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C969E3"/>
    <w:multiLevelType w:val="multilevel"/>
    <w:tmpl w:val="C75CCA6E"/>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1191" w:hanging="624"/>
      </w:pPr>
      <w:rPr>
        <w:rFonts w:asciiTheme="majorHAnsi" w:hAnsiTheme="majorHAnsi" w:cstheme="majorHAnsi" w:hint="default"/>
        <w:b w:val="0"/>
        <w:bCs w:val="0"/>
        <w:sz w:val="24"/>
        <w:szCs w:val="24"/>
      </w:rPr>
    </w:lvl>
    <w:lvl w:ilvl="2">
      <w:start w:val="1"/>
      <w:numFmt w:val="decimal"/>
      <w:pStyle w:val="h4numbered"/>
      <w:lvlText w:val="%1.%2.%3."/>
      <w:lvlJc w:val="left"/>
      <w:pPr>
        <w:ind w:left="1531" w:hanging="380"/>
      </w:pPr>
      <w:rPr>
        <w:rFonts w:ascii="Arial" w:hAnsi="Arial" w:hint="default"/>
        <w:b w:val="0"/>
        <w:bCs/>
        <w:sz w:val="24"/>
        <w:szCs w:val="24"/>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AE3719"/>
    <w:multiLevelType w:val="hybridMultilevel"/>
    <w:tmpl w:val="C360E2B8"/>
    <w:lvl w:ilvl="0" w:tplc="42868966">
      <w:start w:val="1"/>
      <w:numFmt w:val="bullet"/>
      <w:pStyle w:val="Body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DC63762"/>
    <w:multiLevelType w:val="multilevel"/>
    <w:tmpl w:val="125A7024"/>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F2D7F61"/>
    <w:multiLevelType w:val="multilevel"/>
    <w:tmpl w:val="0C22BE92"/>
    <w:styleLink w:val="Style3"/>
    <w:lvl w:ilvl="0">
      <w:start w:val="3"/>
      <w:numFmt w:val="decimal"/>
      <w:lvlText w:val="8.%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F330686"/>
    <w:multiLevelType w:val="multilevel"/>
    <w:tmpl w:val="1A4675A8"/>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463B78"/>
    <w:multiLevelType w:val="hybridMultilevel"/>
    <w:tmpl w:val="45CCF00E"/>
    <w:lvl w:ilvl="0" w:tplc="620E401C">
      <w:start w:val="1"/>
      <w:numFmt w:val="lowerLetter"/>
      <w:lvlText w:val="%1."/>
      <w:lvlJc w:val="left"/>
      <w:pPr>
        <w:ind w:left="1080" w:hanging="360"/>
      </w:pPr>
      <w:rPr>
        <w:rFonts w:hint="default"/>
        <w:b w:val="0"/>
        <w:color w:val="auto"/>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2A939D9"/>
    <w:multiLevelType w:val="multilevel"/>
    <w:tmpl w:val="2904F7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
      <w:lvlText w:val="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E912C0"/>
    <w:multiLevelType w:val="multilevel"/>
    <w:tmpl w:val="828E033A"/>
    <w:lvl w:ilvl="0">
      <w:start w:val="1"/>
      <w:numFmt w:val="decimal"/>
      <w:pStyle w:val="Style4"/>
      <w:lvlText w:val="7.2.%1."/>
      <w:lvlJc w:val="left"/>
      <w:pPr>
        <w:ind w:left="1512" w:hanging="360"/>
      </w:pPr>
      <w:rPr>
        <w:rFonts w:ascii="Arial" w:hAnsi="Arial" w:cs="Arial" w:hint="default"/>
        <w:sz w:val="24"/>
        <w:szCs w:val="24"/>
      </w:rPr>
    </w:lvl>
    <w:lvl w:ilvl="1">
      <w:start w:val="1"/>
      <w:numFmt w:val="lowerLetter"/>
      <w:lvlText w:val="%2."/>
      <w:lvlJc w:val="left"/>
      <w:pPr>
        <w:ind w:left="2232" w:hanging="360"/>
      </w:pPr>
      <w:rPr>
        <w:rFonts w:hint="default"/>
      </w:rPr>
    </w:lvl>
    <w:lvl w:ilvl="2">
      <w:start w:val="1"/>
      <w:numFmt w:val="lowerRoman"/>
      <w:lvlText w:val="%3."/>
      <w:lvlJc w:val="right"/>
      <w:pPr>
        <w:ind w:left="2952" w:hanging="180"/>
      </w:pPr>
      <w:rPr>
        <w:rFonts w:hint="default"/>
      </w:rPr>
    </w:lvl>
    <w:lvl w:ilvl="3">
      <w:start w:val="1"/>
      <w:numFmt w:val="decimal"/>
      <w:lvlText w:val="6.2.%4."/>
      <w:lvlJc w:val="left"/>
      <w:pPr>
        <w:ind w:left="3672" w:hanging="360"/>
      </w:pPr>
      <w:rPr>
        <w:rFonts w:hint="default"/>
      </w:rPr>
    </w:lvl>
    <w:lvl w:ilvl="4">
      <w:start w:val="1"/>
      <w:numFmt w:val="lowerLetter"/>
      <w:lvlText w:val="%5."/>
      <w:lvlJc w:val="left"/>
      <w:pPr>
        <w:ind w:left="4392" w:hanging="360"/>
      </w:pPr>
      <w:rPr>
        <w:rFonts w:hint="default"/>
      </w:rPr>
    </w:lvl>
    <w:lvl w:ilvl="5">
      <w:start w:val="1"/>
      <w:numFmt w:val="lowerRoman"/>
      <w:lvlText w:val="%6."/>
      <w:lvlJc w:val="right"/>
      <w:pPr>
        <w:ind w:left="5112" w:hanging="180"/>
      </w:pPr>
      <w:rPr>
        <w:rFonts w:hint="default"/>
      </w:rPr>
    </w:lvl>
    <w:lvl w:ilvl="6">
      <w:start w:val="1"/>
      <w:numFmt w:val="decimal"/>
      <w:lvlText w:val="%7."/>
      <w:lvlJc w:val="left"/>
      <w:pPr>
        <w:ind w:left="5832" w:hanging="360"/>
      </w:pPr>
      <w:rPr>
        <w:rFonts w:hint="default"/>
      </w:rPr>
    </w:lvl>
    <w:lvl w:ilvl="7">
      <w:start w:val="1"/>
      <w:numFmt w:val="lowerLetter"/>
      <w:lvlText w:val="%8."/>
      <w:lvlJc w:val="left"/>
      <w:pPr>
        <w:ind w:left="6552" w:hanging="360"/>
      </w:pPr>
      <w:rPr>
        <w:rFonts w:hint="default"/>
      </w:rPr>
    </w:lvl>
    <w:lvl w:ilvl="8">
      <w:start w:val="1"/>
      <w:numFmt w:val="lowerRoman"/>
      <w:lvlText w:val="%9."/>
      <w:lvlJc w:val="right"/>
      <w:pPr>
        <w:ind w:left="7272" w:hanging="180"/>
      </w:pPr>
      <w:rPr>
        <w:rFonts w:hint="default"/>
      </w:rPr>
    </w:lvl>
  </w:abstractNum>
  <w:abstractNum w:abstractNumId="25" w15:restartNumberingAfterBreak="0">
    <w:nsid w:val="36B17582"/>
    <w:multiLevelType w:val="multilevel"/>
    <w:tmpl w:val="984AE88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6DC5020"/>
    <w:multiLevelType w:val="multilevel"/>
    <w:tmpl w:val="3B349A1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80A1C25"/>
    <w:multiLevelType w:val="multilevel"/>
    <w:tmpl w:val="F9500238"/>
    <w:styleLink w:val="NHSBullets"/>
    <w:lvl w:ilvl="0">
      <w:start w:val="1"/>
      <w:numFmt w:val="decimal"/>
      <w:lvlText w:val="%1."/>
      <w:lvlJc w:val="left"/>
      <w:pPr>
        <w:tabs>
          <w:tab w:val="num" w:pos="2552"/>
        </w:tabs>
        <w:ind w:left="2552" w:hanging="284"/>
      </w:pPr>
      <w:rPr>
        <w:rFonts w:hint="default"/>
        <w:color w:val="005EB8"/>
        <w:sz w:val="32"/>
      </w:rPr>
    </w:lvl>
    <w:lvl w:ilvl="1">
      <w:start w:val="1"/>
      <w:numFmt w:val="bullet"/>
      <w:lvlText w:val="–"/>
      <w:lvlJc w:val="left"/>
      <w:pPr>
        <w:tabs>
          <w:tab w:val="num" w:pos="2835"/>
        </w:tabs>
        <w:ind w:left="2835" w:hanging="283"/>
      </w:pPr>
      <w:rPr>
        <w:rFonts w:ascii="Arial" w:hAnsi="Arial" w:hint="default"/>
        <w:color w:val="005EB8"/>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28" w15:restartNumberingAfterBreak="0">
    <w:nsid w:val="3FB2479E"/>
    <w:multiLevelType w:val="multilevel"/>
    <w:tmpl w:val="984AE88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32242BE"/>
    <w:multiLevelType w:val="multilevel"/>
    <w:tmpl w:val="FDD8E4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637F58"/>
    <w:multiLevelType w:val="hybridMultilevel"/>
    <w:tmpl w:val="67F80D20"/>
    <w:lvl w:ilvl="0" w:tplc="FFFFFFFF">
      <w:start w:val="1"/>
      <w:numFmt w:val="lowerLetter"/>
      <w:lvlText w:val="%1."/>
      <w:lvlJc w:val="left"/>
      <w:pPr>
        <w:ind w:left="2345" w:hanging="360"/>
      </w:pPr>
      <w:rPr>
        <w:b w:val="0"/>
        <w:bCs/>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31" w15:restartNumberingAfterBreak="0">
    <w:nsid w:val="45FC09DD"/>
    <w:multiLevelType w:val="multilevel"/>
    <w:tmpl w:val="984AE88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9B48B9"/>
    <w:multiLevelType w:val="hybridMultilevel"/>
    <w:tmpl w:val="3A10E164"/>
    <w:lvl w:ilvl="0" w:tplc="7DE05956">
      <w:start w:val="1"/>
      <w:numFmt w:val="lowerRoman"/>
      <w:lvlText w:val="%1."/>
      <w:lvlJc w:val="left"/>
      <w:pPr>
        <w:ind w:left="1080" w:hanging="360"/>
      </w:pPr>
      <w:rPr>
        <w:rFonts w:ascii="Arial" w:hAnsi="Arial"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CB75F9A"/>
    <w:multiLevelType w:val="hybridMultilevel"/>
    <w:tmpl w:val="A5AEA608"/>
    <w:lvl w:ilvl="0" w:tplc="620E401C">
      <w:start w:val="1"/>
      <w:numFmt w:val="lowerLetter"/>
      <w:lvlText w:val="%1."/>
      <w:lvlJc w:val="left"/>
      <w:pPr>
        <w:ind w:left="1512" w:hanging="360"/>
      </w:pPr>
      <w:rPr>
        <w:rFonts w:hint="default"/>
        <w:b w:val="0"/>
        <w:color w:val="auto"/>
        <w:sz w:val="24"/>
      </w:rPr>
    </w:lvl>
    <w:lvl w:ilvl="1" w:tplc="530C459C">
      <w:start w:val="1"/>
      <w:numFmt w:val="lowerRoman"/>
      <w:lvlText w:val="%2."/>
      <w:lvlJc w:val="left"/>
      <w:pPr>
        <w:ind w:left="2232" w:hanging="360"/>
      </w:pPr>
      <w:rPr>
        <w:rFonts w:ascii="Arial" w:hAnsi="Arial" w:hint="default"/>
        <w:color w:val="auto"/>
        <w:sz w:val="24"/>
      </w:r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5" w15:restartNumberingAfterBreak="0">
    <w:nsid w:val="4D771A5F"/>
    <w:multiLevelType w:val="multilevel"/>
    <w:tmpl w:val="BEB4B5F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8.%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FDE3FDE"/>
    <w:multiLevelType w:val="hybridMultilevel"/>
    <w:tmpl w:val="E278B220"/>
    <w:lvl w:ilvl="0" w:tplc="530C459C">
      <w:start w:val="1"/>
      <w:numFmt w:val="lowerRoman"/>
      <w:lvlText w:val="%1."/>
      <w:lvlJc w:val="left"/>
      <w:pPr>
        <w:ind w:left="2232" w:hanging="360"/>
      </w:pPr>
      <w:rPr>
        <w:rFonts w:ascii="Arial" w:hAnsi="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4973C7"/>
    <w:multiLevelType w:val="multilevel"/>
    <w:tmpl w:val="CE2E516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8.%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1B7DFF"/>
    <w:multiLevelType w:val="multilevel"/>
    <w:tmpl w:val="DADCD43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7.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34433B"/>
    <w:multiLevelType w:val="hybridMultilevel"/>
    <w:tmpl w:val="BD7E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5D559E"/>
    <w:multiLevelType w:val="multilevel"/>
    <w:tmpl w:val="7E9CBD04"/>
    <w:styleLink w:val="BulletList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7ED5835"/>
    <w:multiLevelType w:val="hybridMultilevel"/>
    <w:tmpl w:val="7D7EB688"/>
    <w:lvl w:ilvl="0" w:tplc="620E401C">
      <w:start w:val="1"/>
      <w:numFmt w:val="lowerLetter"/>
      <w:lvlText w:val="%1."/>
      <w:lvlJc w:val="left"/>
      <w:pPr>
        <w:ind w:left="720" w:hanging="360"/>
      </w:pPr>
      <w:rPr>
        <w:rFonts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BA041BF"/>
    <w:multiLevelType w:val="hybridMultilevel"/>
    <w:tmpl w:val="067AD172"/>
    <w:lvl w:ilvl="0" w:tplc="620E401C">
      <w:start w:val="1"/>
      <w:numFmt w:val="lowerLetter"/>
      <w:lvlText w:val="%1."/>
      <w:lvlJc w:val="left"/>
      <w:pPr>
        <w:ind w:left="1080" w:hanging="360"/>
      </w:pPr>
      <w:rPr>
        <w:rFonts w:hint="default"/>
        <w:b w:val="0"/>
        <w:color w:val="auto"/>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665128"/>
    <w:multiLevelType w:val="hybridMultilevel"/>
    <w:tmpl w:val="8702B75C"/>
    <w:lvl w:ilvl="0" w:tplc="620E401C">
      <w:start w:val="1"/>
      <w:numFmt w:val="lowerLetter"/>
      <w:lvlText w:val="%1."/>
      <w:lvlJc w:val="left"/>
      <w:pPr>
        <w:ind w:left="2061" w:hanging="360"/>
      </w:pPr>
      <w:rPr>
        <w:rFonts w:hint="default"/>
        <w:b w:val="0"/>
        <w:color w:val="auto"/>
        <w:sz w:val="24"/>
      </w:rPr>
    </w:lvl>
    <w:lvl w:ilvl="1" w:tplc="08090019">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45" w15:restartNumberingAfterBreak="0">
    <w:nsid w:val="71075BF6"/>
    <w:multiLevelType w:val="hybridMultilevel"/>
    <w:tmpl w:val="A75C2560"/>
    <w:lvl w:ilvl="0" w:tplc="33E2B968">
      <w:start w:val="1"/>
      <w:numFmt w:val="lowerRoman"/>
      <w:lvlText w:val="%1."/>
      <w:lvlJc w:val="left"/>
      <w:pPr>
        <w:ind w:left="2232" w:hanging="360"/>
      </w:pPr>
      <w:rPr>
        <w:rFonts w:ascii="Arial" w:hAnsi="Arial" w:hint="default"/>
        <w:b w:val="0"/>
        <w:bCs w:val="0"/>
        <w:color w:val="auto"/>
        <w:sz w:val="24"/>
      </w:rPr>
    </w:lvl>
    <w:lvl w:ilvl="1" w:tplc="08090019">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abstractNum w:abstractNumId="46" w15:restartNumberingAfterBreak="0">
    <w:nsid w:val="736A0528"/>
    <w:multiLevelType w:val="hybridMultilevel"/>
    <w:tmpl w:val="FC9A57CC"/>
    <w:lvl w:ilvl="0" w:tplc="08090019">
      <w:start w:val="1"/>
      <w:numFmt w:val="lowerLetter"/>
      <w:lvlText w:val="%1."/>
      <w:lvlJc w:val="left"/>
      <w:pPr>
        <w:ind w:left="1911" w:hanging="360"/>
      </w:p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47" w15:restartNumberingAfterBreak="0">
    <w:nsid w:val="760325B1"/>
    <w:multiLevelType w:val="hybridMultilevel"/>
    <w:tmpl w:val="5156C16A"/>
    <w:lvl w:ilvl="0" w:tplc="620E401C">
      <w:start w:val="1"/>
      <w:numFmt w:val="lowerLetter"/>
      <w:lvlText w:val="%1."/>
      <w:lvlJc w:val="left"/>
      <w:pPr>
        <w:ind w:left="1080" w:hanging="360"/>
      </w:pPr>
      <w:rPr>
        <w:rFonts w:hint="default"/>
        <w:b w:val="0"/>
        <w:color w:val="auto"/>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63403EE"/>
    <w:multiLevelType w:val="hybridMultilevel"/>
    <w:tmpl w:val="FAE85A70"/>
    <w:lvl w:ilvl="0" w:tplc="620E401C">
      <w:start w:val="1"/>
      <w:numFmt w:val="lowerLetter"/>
      <w:lvlText w:val="%1."/>
      <w:lvlJc w:val="left"/>
      <w:pPr>
        <w:ind w:left="1584" w:hanging="360"/>
      </w:pPr>
      <w:rPr>
        <w:rFonts w:hint="default"/>
        <w:b w:val="0"/>
        <w:color w:val="auto"/>
        <w:sz w:val="24"/>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49" w15:restartNumberingAfterBreak="0">
    <w:nsid w:val="76881375"/>
    <w:multiLevelType w:val="hybridMultilevel"/>
    <w:tmpl w:val="67F80D20"/>
    <w:lvl w:ilvl="0" w:tplc="08090019">
      <w:start w:val="1"/>
      <w:numFmt w:val="lowerLetter"/>
      <w:lvlText w:val="%1."/>
      <w:lvlJc w:val="left"/>
      <w:pPr>
        <w:ind w:left="2345" w:hanging="360"/>
      </w:pPr>
      <w:rPr>
        <w:b w:val="0"/>
        <w:bCs/>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50" w15:restartNumberingAfterBreak="0">
    <w:nsid w:val="77C465B8"/>
    <w:multiLevelType w:val="hybridMultilevel"/>
    <w:tmpl w:val="088C4982"/>
    <w:lvl w:ilvl="0" w:tplc="5A806A28">
      <w:start w:val="1"/>
      <w:numFmt w:val="lowerLetter"/>
      <w:lvlText w:val="%1."/>
      <w:lvlJc w:val="left"/>
      <w:pPr>
        <w:ind w:left="1440" w:hanging="360"/>
      </w:pPr>
    </w:lvl>
    <w:lvl w:ilvl="1" w:tplc="0CEE64F6">
      <w:start w:val="1"/>
      <w:numFmt w:val="lowerLetter"/>
      <w:lvlText w:val="%2."/>
      <w:lvlJc w:val="left"/>
      <w:pPr>
        <w:ind w:left="1440" w:hanging="360"/>
      </w:pPr>
    </w:lvl>
    <w:lvl w:ilvl="2" w:tplc="A96C2134">
      <w:start w:val="1"/>
      <w:numFmt w:val="lowerLetter"/>
      <w:lvlText w:val="%3."/>
      <w:lvlJc w:val="left"/>
      <w:pPr>
        <w:ind w:left="1440" w:hanging="360"/>
      </w:pPr>
    </w:lvl>
    <w:lvl w:ilvl="3" w:tplc="4F06E810">
      <w:start w:val="1"/>
      <w:numFmt w:val="lowerLetter"/>
      <w:lvlText w:val="%4."/>
      <w:lvlJc w:val="left"/>
      <w:pPr>
        <w:ind w:left="1440" w:hanging="360"/>
      </w:pPr>
    </w:lvl>
    <w:lvl w:ilvl="4" w:tplc="3314EA60">
      <w:start w:val="1"/>
      <w:numFmt w:val="lowerLetter"/>
      <w:lvlText w:val="%5."/>
      <w:lvlJc w:val="left"/>
      <w:pPr>
        <w:ind w:left="1440" w:hanging="360"/>
      </w:pPr>
    </w:lvl>
    <w:lvl w:ilvl="5" w:tplc="266A00AC">
      <w:start w:val="1"/>
      <w:numFmt w:val="lowerLetter"/>
      <w:lvlText w:val="%6."/>
      <w:lvlJc w:val="left"/>
      <w:pPr>
        <w:ind w:left="1440" w:hanging="360"/>
      </w:pPr>
    </w:lvl>
    <w:lvl w:ilvl="6" w:tplc="16749EB8">
      <w:start w:val="1"/>
      <w:numFmt w:val="lowerLetter"/>
      <w:lvlText w:val="%7."/>
      <w:lvlJc w:val="left"/>
      <w:pPr>
        <w:ind w:left="1440" w:hanging="360"/>
      </w:pPr>
    </w:lvl>
    <w:lvl w:ilvl="7" w:tplc="90E08B66">
      <w:start w:val="1"/>
      <w:numFmt w:val="lowerLetter"/>
      <w:lvlText w:val="%8."/>
      <w:lvlJc w:val="left"/>
      <w:pPr>
        <w:ind w:left="1440" w:hanging="360"/>
      </w:pPr>
    </w:lvl>
    <w:lvl w:ilvl="8" w:tplc="31808900">
      <w:start w:val="1"/>
      <w:numFmt w:val="lowerLetter"/>
      <w:lvlText w:val="%9."/>
      <w:lvlJc w:val="left"/>
      <w:pPr>
        <w:ind w:left="1440" w:hanging="360"/>
      </w:pPr>
    </w:lvl>
  </w:abstractNum>
  <w:abstractNum w:abstractNumId="51" w15:restartNumberingAfterBreak="0">
    <w:nsid w:val="78467388"/>
    <w:multiLevelType w:val="hybridMultilevel"/>
    <w:tmpl w:val="6C8CA9A4"/>
    <w:lvl w:ilvl="0" w:tplc="D0C0EA16">
      <w:start w:val="1"/>
      <w:numFmt w:val="bullet"/>
      <w:pStyle w:val="BulletIndent2"/>
      <w:lvlText w:val=""/>
      <w:lvlJc w:val="left"/>
      <w:pPr>
        <w:ind w:left="1080" w:hanging="360"/>
      </w:pPr>
      <w:rPr>
        <w:rFonts w:ascii="Symbol" w:hAnsi="Symbol" w:hint="default"/>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0429F0"/>
    <w:multiLevelType w:val="multilevel"/>
    <w:tmpl w:val="FDD8E4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9795252">
    <w:abstractNumId w:val="1"/>
  </w:num>
  <w:num w:numId="2" w16cid:durableId="1394693074">
    <w:abstractNumId w:val="32"/>
  </w:num>
  <w:num w:numId="3" w16cid:durableId="1989549803">
    <w:abstractNumId w:val="43"/>
  </w:num>
  <w:num w:numId="4" w16cid:durableId="934092752">
    <w:abstractNumId w:val="23"/>
  </w:num>
  <w:num w:numId="5" w16cid:durableId="822160286">
    <w:abstractNumId w:val="18"/>
  </w:num>
  <w:num w:numId="6" w16cid:durableId="2089840162">
    <w:abstractNumId w:val="21"/>
  </w:num>
  <w:num w:numId="7" w16cid:durableId="292954579">
    <w:abstractNumId w:val="29"/>
  </w:num>
  <w:num w:numId="8" w16cid:durableId="91112">
    <w:abstractNumId w:val="8"/>
  </w:num>
  <w:num w:numId="9" w16cid:durableId="1387992706">
    <w:abstractNumId w:val="26"/>
  </w:num>
  <w:num w:numId="10" w16cid:durableId="717358008">
    <w:abstractNumId w:val="41"/>
  </w:num>
  <w:num w:numId="11" w16cid:durableId="490491882">
    <w:abstractNumId w:val="33"/>
  </w:num>
  <w:num w:numId="12" w16cid:durableId="135490561">
    <w:abstractNumId w:val="28"/>
  </w:num>
  <w:num w:numId="13" w16cid:durableId="1762094558">
    <w:abstractNumId w:val="38"/>
  </w:num>
  <w:num w:numId="14" w16cid:durableId="352264585">
    <w:abstractNumId w:val="20"/>
  </w:num>
  <w:num w:numId="15" w16cid:durableId="1649477349">
    <w:abstractNumId w:val="35"/>
  </w:num>
  <w:num w:numId="16" w16cid:durableId="1476557590">
    <w:abstractNumId w:val="48"/>
  </w:num>
  <w:num w:numId="17" w16cid:durableId="1222983423">
    <w:abstractNumId w:val="44"/>
  </w:num>
  <w:num w:numId="18" w16cid:durableId="861406153">
    <w:abstractNumId w:val="34"/>
  </w:num>
  <w:num w:numId="19" w16cid:durableId="879978813">
    <w:abstractNumId w:val="45"/>
  </w:num>
  <w:num w:numId="20" w16cid:durableId="1674725582">
    <w:abstractNumId w:val="22"/>
  </w:num>
  <w:num w:numId="21" w16cid:durableId="514226649">
    <w:abstractNumId w:val="47"/>
  </w:num>
  <w:num w:numId="22" w16cid:durableId="528639611">
    <w:abstractNumId w:val="3"/>
    <w:lvlOverride w:ilvl="0">
      <w:lvl w:ilvl="0">
        <w:start w:val="2"/>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214582259">
    <w:abstractNumId w:val="42"/>
  </w:num>
  <w:num w:numId="24" w16cid:durableId="2141536693">
    <w:abstractNumId w:val="24"/>
    <w:lvlOverride w:ilvl="0">
      <w:lvl w:ilvl="0">
        <w:start w:val="1"/>
        <w:numFmt w:val="decimal"/>
        <w:pStyle w:val="Style4"/>
        <w:lvlText w:val="7.3.%1."/>
        <w:lvlJc w:val="left"/>
        <w:pPr>
          <w:ind w:left="1512" w:hanging="360"/>
        </w:pPr>
        <w:rPr>
          <w:rFonts w:ascii="Arial" w:hAnsi="Arial" w:cs="Arial" w:hint="default"/>
          <w:b w:val="0"/>
          <w:bCs/>
          <w:sz w:val="24"/>
          <w:szCs w:val="24"/>
        </w:rPr>
      </w:lvl>
    </w:lvlOverride>
    <w:lvlOverride w:ilvl="1">
      <w:lvl w:ilvl="1">
        <w:start w:val="1"/>
        <w:numFmt w:val="lowerLetter"/>
        <w:lvlText w:val="%2."/>
        <w:lvlJc w:val="left"/>
        <w:pPr>
          <w:ind w:left="2232" w:hanging="360"/>
        </w:pPr>
        <w:rPr>
          <w:rFonts w:hint="default"/>
        </w:rPr>
      </w:lvl>
    </w:lvlOverride>
    <w:lvlOverride w:ilvl="2">
      <w:lvl w:ilvl="2">
        <w:start w:val="1"/>
        <w:numFmt w:val="lowerRoman"/>
        <w:lvlText w:val="%3."/>
        <w:lvlJc w:val="right"/>
        <w:pPr>
          <w:ind w:left="2952" w:hanging="180"/>
        </w:pPr>
        <w:rPr>
          <w:rFonts w:hint="default"/>
        </w:rPr>
      </w:lvl>
    </w:lvlOverride>
    <w:lvlOverride w:ilvl="3">
      <w:lvl w:ilvl="3">
        <w:start w:val="1"/>
        <w:numFmt w:val="decimal"/>
        <w:lvlText w:val="6.2.%4."/>
        <w:lvlJc w:val="left"/>
        <w:pPr>
          <w:ind w:left="3672" w:hanging="360"/>
        </w:pPr>
        <w:rPr>
          <w:rFonts w:hint="default"/>
        </w:rPr>
      </w:lvl>
    </w:lvlOverride>
    <w:lvlOverride w:ilvl="4">
      <w:lvl w:ilvl="4">
        <w:start w:val="1"/>
        <w:numFmt w:val="lowerLetter"/>
        <w:lvlText w:val="%5."/>
        <w:lvlJc w:val="left"/>
        <w:pPr>
          <w:ind w:left="4392" w:hanging="360"/>
        </w:pPr>
        <w:rPr>
          <w:rFonts w:hint="default"/>
        </w:rPr>
      </w:lvl>
    </w:lvlOverride>
    <w:lvlOverride w:ilvl="5">
      <w:lvl w:ilvl="5">
        <w:start w:val="1"/>
        <w:numFmt w:val="lowerRoman"/>
        <w:lvlText w:val="%6."/>
        <w:lvlJc w:val="right"/>
        <w:pPr>
          <w:ind w:left="5112" w:hanging="180"/>
        </w:pPr>
        <w:rPr>
          <w:rFonts w:hint="default"/>
        </w:rPr>
      </w:lvl>
    </w:lvlOverride>
    <w:lvlOverride w:ilvl="6">
      <w:lvl w:ilvl="6">
        <w:start w:val="1"/>
        <w:numFmt w:val="decimal"/>
        <w:lvlText w:val="%7."/>
        <w:lvlJc w:val="left"/>
        <w:pPr>
          <w:ind w:left="5832" w:hanging="360"/>
        </w:pPr>
        <w:rPr>
          <w:rFonts w:hint="default"/>
        </w:rPr>
      </w:lvl>
    </w:lvlOverride>
    <w:lvlOverride w:ilvl="7">
      <w:lvl w:ilvl="7">
        <w:start w:val="1"/>
        <w:numFmt w:val="lowerLetter"/>
        <w:lvlText w:val="%8."/>
        <w:lvlJc w:val="left"/>
        <w:pPr>
          <w:ind w:left="6552" w:hanging="360"/>
        </w:pPr>
        <w:rPr>
          <w:rFonts w:hint="default"/>
        </w:rPr>
      </w:lvl>
    </w:lvlOverride>
    <w:lvlOverride w:ilvl="8">
      <w:lvl w:ilvl="8">
        <w:start w:val="1"/>
        <w:numFmt w:val="lowerRoman"/>
        <w:lvlText w:val="%9."/>
        <w:lvlJc w:val="right"/>
        <w:pPr>
          <w:ind w:left="7272" w:hanging="180"/>
        </w:pPr>
        <w:rPr>
          <w:rFonts w:hint="default"/>
        </w:rPr>
      </w:lvl>
    </w:lvlOverride>
  </w:num>
  <w:num w:numId="25" w16cid:durableId="1132089204">
    <w:abstractNumId w:val="37"/>
  </w:num>
  <w:num w:numId="26" w16cid:durableId="1731616421">
    <w:abstractNumId w:val="4"/>
  </w:num>
  <w:num w:numId="27" w16cid:durableId="202526754">
    <w:abstractNumId w:val="5"/>
  </w:num>
  <w:num w:numId="28" w16cid:durableId="1050031432">
    <w:abstractNumId w:val="52"/>
  </w:num>
  <w:num w:numId="29" w16cid:durableId="1704205453">
    <w:abstractNumId w:val="25"/>
  </w:num>
  <w:num w:numId="30" w16cid:durableId="223570706">
    <w:abstractNumId w:val="14"/>
  </w:num>
  <w:num w:numId="31" w16cid:durableId="439842285">
    <w:abstractNumId w:val="40"/>
  </w:num>
  <w:num w:numId="32" w16cid:durableId="1209609897">
    <w:abstractNumId w:val="19"/>
  </w:num>
  <w:num w:numId="33" w16cid:durableId="1242718574">
    <w:abstractNumId w:val="10"/>
  </w:num>
  <w:num w:numId="34" w16cid:durableId="330530573">
    <w:abstractNumId w:val="12"/>
  </w:num>
  <w:num w:numId="35" w16cid:durableId="1891768467">
    <w:abstractNumId w:val="7"/>
  </w:num>
  <w:num w:numId="36" w16cid:durableId="223876569">
    <w:abstractNumId w:val="6"/>
  </w:num>
  <w:num w:numId="37" w16cid:durableId="306933369">
    <w:abstractNumId w:val="2"/>
  </w:num>
  <w:num w:numId="38" w16cid:durableId="1690136489">
    <w:abstractNumId w:val="51"/>
  </w:num>
  <w:num w:numId="39" w16cid:durableId="418063863">
    <w:abstractNumId w:val="0"/>
  </w:num>
  <w:num w:numId="40" w16cid:durableId="1708405750">
    <w:abstractNumId w:val="27"/>
  </w:num>
  <w:num w:numId="41" w16cid:durableId="1671445697">
    <w:abstractNumId w:val="46"/>
  </w:num>
  <w:num w:numId="42" w16cid:durableId="1260017388">
    <w:abstractNumId w:val="39"/>
  </w:num>
  <w:num w:numId="43" w16cid:durableId="254286468">
    <w:abstractNumId w:val="17"/>
  </w:num>
  <w:num w:numId="44" w16cid:durableId="1243637571">
    <w:abstractNumId w:val="16"/>
  </w:num>
  <w:num w:numId="45" w16cid:durableId="1538929787">
    <w:abstractNumId w:val="9"/>
  </w:num>
  <w:num w:numId="46" w16cid:durableId="450902699">
    <w:abstractNumId w:val="31"/>
  </w:num>
  <w:num w:numId="47" w16cid:durableId="622079199">
    <w:abstractNumId w:val="50"/>
  </w:num>
  <w:num w:numId="48" w16cid:durableId="401488363">
    <w:abstractNumId w:val="49"/>
  </w:num>
  <w:num w:numId="49" w16cid:durableId="536088578">
    <w:abstractNumId w:val="30"/>
  </w:num>
  <w:num w:numId="50" w16cid:durableId="163321924">
    <w:abstractNumId w:val="15"/>
  </w:num>
  <w:num w:numId="51" w16cid:durableId="1223714392">
    <w:abstractNumId w:val="11"/>
  </w:num>
  <w:num w:numId="52" w16cid:durableId="274754018">
    <w:abstractNumId w:val="36"/>
  </w:num>
  <w:num w:numId="53" w16cid:durableId="526334209">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9D"/>
    <w:rsid w:val="00000197"/>
    <w:rsid w:val="00000396"/>
    <w:rsid w:val="000005C7"/>
    <w:rsid w:val="00001F95"/>
    <w:rsid w:val="000023CB"/>
    <w:rsid w:val="00002C13"/>
    <w:rsid w:val="00003319"/>
    <w:rsid w:val="000039A1"/>
    <w:rsid w:val="00003C0C"/>
    <w:rsid w:val="00003EE8"/>
    <w:rsid w:val="00004142"/>
    <w:rsid w:val="0000416F"/>
    <w:rsid w:val="000043AB"/>
    <w:rsid w:val="0000463B"/>
    <w:rsid w:val="00004E7E"/>
    <w:rsid w:val="0000568B"/>
    <w:rsid w:val="00006771"/>
    <w:rsid w:val="00006985"/>
    <w:rsid w:val="0000710B"/>
    <w:rsid w:val="00007872"/>
    <w:rsid w:val="00007FA2"/>
    <w:rsid w:val="000102C8"/>
    <w:rsid w:val="00010761"/>
    <w:rsid w:val="00010791"/>
    <w:rsid w:val="000108B8"/>
    <w:rsid w:val="000114D3"/>
    <w:rsid w:val="0001164C"/>
    <w:rsid w:val="0001412C"/>
    <w:rsid w:val="000161A8"/>
    <w:rsid w:val="00016348"/>
    <w:rsid w:val="00016B03"/>
    <w:rsid w:val="00016CD8"/>
    <w:rsid w:val="00020CD0"/>
    <w:rsid w:val="000216E0"/>
    <w:rsid w:val="00021875"/>
    <w:rsid w:val="000224D3"/>
    <w:rsid w:val="0002259A"/>
    <w:rsid w:val="00023026"/>
    <w:rsid w:val="00023193"/>
    <w:rsid w:val="000241F0"/>
    <w:rsid w:val="00025C25"/>
    <w:rsid w:val="00026252"/>
    <w:rsid w:val="000267FA"/>
    <w:rsid w:val="000271F6"/>
    <w:rsid w:val="00027993"/>
    <w:rsid w:val="00027CF9"/>
    <w:rsid w:val="00027EA3"/>
    <w:rsid w:val="00027F1E"/>
    <w:rsid w:val="0003185C"/>
    <w:rsid w:val="00031FD0"/>
    <w:rsid w:val="000336CE"/>
    <w:rsid w:val="00033D05"/>
    <w:rsid w:val="0003442C"/>
    <w:rsid w:val="00034E19"/>
    <w:rsid w:val="00035029"/>
    <w:rsid w:val="0003621A"/>
    <w:rsid w:val="000363DE"/>
    <w:rsid w:val="00036465"/>
    <w:rsid w:val="00037045"/>
    <w:rsid w:val="00037547"/>
    <w:rsid w:val="00041E35"/>
    <w:rsid w:val="00042250"/>
    <w:rsid w:val="00042804"/>
    <w:rsid w:val="00042C24"/>
    <w:rsid w:val="00042D5A"/>
    <w:rsid w:val="000432F4"/>
    <w:rsid w:val="00047993"/>
    <w:rsid w:val="000500A1"/>
    <w:rsid w:val="00050299"/>
    <w:rsid w:val="0005057B"/>
    <w:rsid w:val="000509DE"/>
    <w:rsid w:val="00050F4B"/>
    <w:rsid w:val="00051B48"/>
    <w:rsid w:val="000526CB"/>
    <w:rsid w:val="000528E7"/>
    <w:rsid w:val="00052D08"/>
    <w:rsid w:val="0005410D"/>
    <w:rsid w:val="00054F86"/>
    <w:rsid w:val="00055630"/>
    <w:rsid w:val="0005577F"/>
    <w:rsid w:val="00055956"/>
    <w:rsid w:val="00055A6D"/>
    <w:rsid w:val="00055F42"/>
    <w:rsid w:val="0005639F"/>
    <w:rsid w:val="00056B01"/>
    <w:rsid w:val="00056C3E"/>
    <w:rsid w:val="00057CB7"/>
    <w:rsid w:val="00057FE9"/>
    <w:rsid w:val="000607E6"/>
    <w:rsid w:val="00060874"/>
    <w:rsid w:val="00060BE0"/>
    <w:rsid w:val="000612C0"/>
    <w:rsid w:val="000612F9"/>
    <w:rsid w:val="00061452"/>
    <w:rsid w:val="00061A1A"/>
    <w:rsid w:val="00061F38"/>
    <w:rsid w:val="00062795"/>
    <w:rsid w:val="00062EA2"/>
    <w:rsid w:val="00063086"/>
    <w:rsid w:val="00063515"/>
    <w:rsid w:val="000638B9"/>
    <w:rsid w:val="00064A04"/>
    <w:rsid w:val="000654CD"/>
    <w:rsid w:val="00066AE0"/>
    <w:rsid w:val="00066C47"/>
    <w:rsid w:val="00066D05"/>
    <w:rsid w:val="000676C4"/>
    <w:rsid w:val="00067C91"/>
    <w:rsid w:val="000701C4"/>
    <w:rsid w:val="000713C0"/>
    <w:rsid w:val="00071ACB"/>
    <w:rsid w:val="000733A2"/>
    <w:rsid w:val="00073F8D"/>
    <w:rsid w:val="0007413D"/>
    <w:rsid w:val="000741C5"/>
    <w:rsid w:val="00074A4E"/>
    <w:rsid w:val="00074AA7"/>
    <w:rsid w:val="00074E01"/>
    <w:rsid w:val="00074EC5"/>
    <w:rsid w:val="00075620"/>
    <w:rsid w:val="0007586D"/>
    <w:rsid w:val="00077102"/>
    <w:rsid w:val="0007716D"/>
    <w:rsid w:val="00077902"/>
    <w:rsid w:val="000806D4"/>
    <w:rsid w:val="00080853"/>
    <w:rsid w:val="00080A3C"/>
    <w:rsid w:val="00080B69"/>
    <w:rsid w:val="000816C7"/>
    <w:rsid w:val="00082FB1"/>
    <w:rsid w:val="0008313C"/>
    <w:rsid w:val="00083302"/>
    <w:rsid w:val="000834AC"/>
    <w:rsid w:val="00083F20"/>
    <w:rsid w:val="000847E5"/>
    <w:rsid w:val="00084AFF"/>
    <w:rsid w:val="00084FD9"/>
    <w:rsid w:val="00085F35"/>
    <w:rsid w:val="000863E2"/>
    <w:rsid w:val="00086479"/>
    <w:rsid w:val="0008724C"/>
    <w:rsid w:val="000872F7"/>
    <w:rsid w:val="0009163B"/>
    <w:rsid w:val="00091D3C"/>
    <w:rsid w:val="0009204A"/>
    <w:rsid w:val="0009252C"/>
    <w:rsid w:val="0009278D"/>
    <w:rsid w:val="000935A1"/>
    <w:rsid w:val="000939AA"/>
    <w:rsid w:val="00094E06"/>
    <w:rsid w:val="00095621"/>
    <w:rsid w:val="00095D18"/>
    <w:rsid w:val="00095D92"/>
    <w:rsid w:val="00095FEF"/>
    <w:rsid w:val="000966CE"/>
    <w:rsid w:val="000967F5"/>
    <w:rsid w:val="00096B90"/>
    <w:rsid w:val="0009722A"/>
    <w:rsid w:val="00097288"/>
    <w:rsid w:val="000A01C5"/>
    <w:rsid w:val="000A08F2"/>
    <w:rsid w:val="000A0924"/>
    <w:rsid w:val="000A0C4C"/>
    <w:rsid w:val="000A130B"/>
    <w:rsid w:val="000A266D"/>
    <w:rsid w:val="000A2880"/>
    <w:rsid w:val="000A28E3"/>
    <w:rsid w:val="000A2BD6"/>
    <w:rsid w:val="000A3DD1"/>
    <w:rsid w:val="000A46BE"/>
    <w:rsid w:val="000A5583"/>
    <w:rsid w:val="000A5980"/>
    <w:rsid w:val="000A6056"/>
    <w:rsid w:val="000A64E4"/>
    <w:rsid w:val="000A66B1"/>
    <w:rsid w:val="000A672C"/>
    <w:rsid w:val="000A716E"/>
    <w:rsid w:val="000B01C9"/>
    <w:rsid w:val="000B0210"/>
    <w:rsid w:val="000B086D"/>
    <w:rsid w:val="000B093A"/>
    <w:rsid w:val="000B09A3"/>
    <w:rsid w:val="000B121D"/>
    <w:rsid w:val="000B1B0F"/>
    <w:rsid w:val="000B368B"/>
    <w:rsid w:val="000B3F31"/>
    <w:rsid w:val="000B434D"/>
    <w:rsid w:val="000B439E"/>
    <w:rsid w:val="000B4407"/>
    <w:rsid w:val="000B4629"/>
    <w:rsid w:val="000B519A"/>
    <w:rsid w:val="000C0592"/>
    <w:rsid w:val="000C09C7"/>
    <w:rsid w:val="000C1B26"/>
    <w:rsid w:val="000C2210"/>
    <w:rsid w:val="000C23CE"/>
    <w:rsid w:val="000C2447"/>
    <w:rsid w:val="000C24AF"/>
    <w:rsid w:val="000C3228"/>
    <w:rsid w:val="000C3678"/>
    <w:rsid w:val="000C3801"/>
    <w:rsid w:val="000C396F"/>
    <w:rsid w:val="000C3A3B"/>
    <w:rsid w:val="000C51EC"/>
    <w:rsid w:val="000C5CB5"/>
    <w:rsid w:val="000C7C8C"/>
    <w:rsid w:val="000D03D6"/>
    <w:rsid w:val="000D07BD"/>
    <w:rsid w:val="000D0BFA"/>
    <w:rsid w:val="000D0D52"/>
    <w:rsid w:val="000D240E"/>
    <w:rsid w:val="000D28A8"/>
    <w:rsid w:val="000D2995"/>
    <w:rsid w:val="000D2B8A"/>
    <w:rsid w:val="000D2BA3"/>
    <w:rsid w:val="000D2F71"/>
    <w:rsid w:val="000D30F8"/>
    <w:rsid w:val="000D39C3"/>
    <w:rsid w:val="000D460C"/>
    <w:rsid w:val="000D4967"/>
    <w:rsid w:val="000D527E"/>
    <w:rsid w:val="000D6727"/>
    <w:rsid w:val="000D6A00"/>
    <w:rsid w:val="000D6ACE"/>
    <w:rsid w:val="000D6E61"/>
    <w:rsid w:val="000E253D"/>
    <w:rsid w:val="000E2613"/>
    <w:rsid w:val="000E281D"/>
    <w:rsid w:val="000E2EBE"/>
    <w:rsid w:val="000E31F1"/>
    <w:rsid w:val="000E35C3"/>
    <w:rsid w:val="000E5EA0"/>
    <w:rsid w:val="000E6A3A"/>
    <w:rsid w:val="000E7B2D"/>
    <w:rsid w:val="000E7CC7"/>
    <w:rsid w:val="000F0201"/>
    <w:rsid w:val="000F14BE"/>
    <w:rsid w:val="000F177A"/>
    <w:rsid w:val="000F28FE"/>
    <w:rsid w:val="000F29E9"/>
    <w:rsid w:val="000F2C60"/>
    <w:rsid w:val="000F388B"/>
    <w:rsid w:val="000F3968"/>
    <w:rsid w:val="000F3FF2"/>
    <w:rsid w:val="000F4260"/>
    <w:rsid w:val="000F4E38"/>
    <w:rsid w:val="000F50C0"/>
    <w:rsid w:val="000F540A"/>
    <w:rsid w:val="000F55FC"/>
    <w:rsid w:val="000F5C2A"/>
    <w:rsid w:val="000F653D"/>
    <w:rsid w:val="000F7246"/>
    <w:rsid w:val="000F790A"/>
    <w:rsid w:val="00100EE1"/>
    <w:rsid w:val="001010B0"/>
    <w:rsid w:val="00101883"/>
    <w:rsid w:val="0010192E"/>
    <w:rsid w:val="001029C9"/>
    <w:rsid w:val="00103CBF"/>
    <w:rsid w:val="00103F4D"/>
    <w:rsid w:val="00104094"/>
    <w:rsid w:val="00104474"/>
    <w:rsid w:val="00104482"/>
    <w:rsid w:val="001046F0"/>
    <w:rsid w:val="001049A2"/>
    <w:rsid w:val="00104C35"/>
    <w:rsid w:val="00105329"/>
    <w:rsid w:val="0010592F"/>
    <w:rsid w:val="00106250"/>
    <w:rsid w:val="00106289"/>
    <w:rsid w:val="00107126"/>
    <w:rsid w:val="00107382"/>
    <w:rsid w:val="00107F13"/>
    <w:rsid w:val="00110A1E"/>
    <w:rsid w:val="00110D2A"/>
    <w:rsid w:val="00111FC7"/>
    <w:rsid w:val="001125A3"/>
    <w:rsid w:val="001125BE"/>
    <w:rsid w:val="00113EEC"/>
    <w:rsid w:val="00114581"/>
    <w:rsid w:val="00114B27"/>
    <w:rsid w:val="00114FBC"/>
    <w:rsid w:val="0011538A"/>
    <w:rsid w:val="001157D2"/>
    <w:rsid w:val="00115900"/>
    <w:rsid w:val="00115E51"/>
    <w:rsid w:val="00115F28"/>
    <w:rsid w:val="00116F04"/>
    <w:rsid w:val="001174C7"/>
    <w:rsid w:val="001202A0"/>
    <w:rsid w:val="001206FE"/>
    <w:rsid w:val="00120E6C"/>
    <w:rsid w:val="0012167B"/>
    <w:rsid w:val="00121A3A"/>
    <w:rsid w:val="00122675"/>
    <w:rsid w:val="00124CBF"/>
    <w:rsid w:val="001259A9"/>
    <w:rsid w:val="00125FE7"/>
    <w:rsid w:val="00126384"/>
    <w:rsid w:val="00126EF0"/>
    <w:rsid w:val="00127801"/>
    <w:rsid w:val="00127856"/>
    <w:rsid w:val="001278D0"/>
    <w:rsid w:val="001279A6"/>
    <w:rsid w:val="00127C11"/>
    <w:rsid w:val="0013143F"/>
    <w:rsid w:val="0013165F"/>
    <w:rsid w:val="00132AB5"/>
    <w:rsid w:val="00132D0B"/>
    <w:rsid w:val="0013342C"/>
    <w:rsid w:val="001336ED"/>
    <w:rsid w:val="001337E9"/>
    <w:rsid w:val="00134268"/>
    <w:rsid w:val="001343D9"/>
    <w:rsid w:val="001349CC"/>
    <w:rsid w:val="001353DB"/>
    <w:rsid w:val="0013544B"/>
    <w:rsid w:val="00135647"/>
    <w:rsid w:val="0013619A"/>
    <w:rsid w:val="001362F6"/>
    <w:rsid w:val="00136DD7"/>
    <w:rsid w:val="0013708E"/>
    <w:rsid w:val="00137167"/>
    <w:rsid w:val="0013749F"/>
    <w:rsid w:val="00137B29"/>
    <w:rsid w:val="00142062"/>
    <w:rsid w:val="0014244C"/>
    <w:rsid w:val="001428B0"/>
    <w:rsid w:val="00142FF5"/>
    <w:rsid w:val="001433D3"/>
    <w:rsid w:val="00144F37"/>
    <w:rsid w:val="00146013"/>
    <w:rsid w:val="00146362"/>
    <w:rsid w:val="00146F43"/>
    <w:rsid w:val="00147900"/>
    <w:rsid w:val="00147919"/>
    <w:rsid w:val="0015005D"/>
    <w:rsid w:val="0015029A"/>
    <w:rsid w:val="0015048E"/>
    <w:rsid w:val="001508C0"/>
    <w:rsid w:val="00150F44"/>
    <w:rsid w:val="00151BAB"/>
    <w:rsid w:val="001522D7"/>
    <w:rsid w:val="0015256A"/>
    <w:rsid w:val="0015259B"/>
    <w:rsid w:val="0015282B"/>
    <w:rsid w:val="0015296C"/>
    <w:rsid w:val="00153DE1"/>
    <w:rsid w:val="00155F6C"/>
    <w:rsid w:val="00156343"/>
    <w:rsid w:val="00156FB3"/>
    <w:rsid w:val="00156FBB"/>
    <w:rsid w:val="0015719F"/>
    <w:rsid w:val="00157774"/>
    <w:rsid w:val="00160EB2"/>
    <w:rsid w:val="00161BF3"/>
    <w:rsid w:val="00162611"/>
    <w:rsid w:val="00162EFE"/>
    <w:rsid w:val="00163877"/>
    <w:rsid w:val="00164179"/>
    <w:rsid w:val="001647E2"/>
    <w:rsid w:val="00164974"/>
    <w:rsid w:val="00164A62"/>
    <w:rsid w:val="0016510F"/>
    <w:rsid w:val="00167435"/>
    <w:rsid w:val="001674E3"/>
    <w:rsid w:val="001677D1"/>
    <w:rsid w:val="001716E5"/>
    <w:rsid w:val="00172CD6"/>
    <w:rsid w:val="001739E5"/>
    <w:rsid w:val="00173A75"/>
    <w:rsid w:val="001748DE"/>
    <w:rsid w:val="00174E90"/>
    <w:rsid w:val="00174EB8"/>
    <w:rsid w:val="00175643"/>
    <w:rsid w:val="00177462"/>
    <w:rsid w:val="00177960"/>
    <w:rsid w:val="00180B87"/>
    <w:rsid w:val="00180F81"/>
    <w:rsid w:val="001818B0"/>
    <w:rsid w:val="00181EF2"/>
    <w:rsid w:val="00182116"/>
    <w:rsid w:val="0018213B"/>
    <w:rsid w:val="001823E9"/>
    <w:rsid w:val="00182772"/>
    <w:rsid w:val="00183474"/>
    <w:rsid w:val="00184845"/>
    <w:rsid w:val="001850F0"/>
    <w:rsid w:val="00185A64"/>
    <w:rsid w:val="00185F92"/>
    <w:rsid w:val="00186758"/>
    <w:rsid w:val="00186A16"/>
    <w:rsid w:val="0018752A"/>
    <w:rsid w:val="00187838"/>
    <w:rsid w:val="00187FD8"/>
    <w:rsid w:val="00192466"/>
    <w:rsid w:val="00193AF0"/>
    <w:rsid w:val="00193DA1"/>
    <w:rsid w:val="00193ED6"/>
    <w:rsid w:val="0019439B"/>
    <w:rsid w:val="0019469B"/>
    <w:rsid w:val="00195768"/>
    <w:rsid w:val="0019592C"/>
    <w:rsid w:val="00195C50"/>
    <w:rsid w:val="0019662D"/>
    <w:rsid w:val="00196869"/>
    <w:rsid w:val="00196C2C"/>
    <w:rsid w:val="00196CD3"/>
    <w:rsid w:val="00196E1D"/>
    <w:rsid w:val="00197105"/>
    <w:rsid w:val="001972CC"/>
    <w:rsid w:val="001975F7"/>
    <w:rsid w:val="0019790E"/>
    <w:rsid w:val="00197B23"/>
    <w:rsid w:val="00197D1A"/>
    <w:rsid w:val="00197DDC"/>
    <w:rsid w:val="00197EDA"/>
    <w:rsid w:val="001A0BD4"/>
    <w:rsid w:val="001A167B"/>
    <w:rsid w:val="001A19AB"/>
    <w:rsid w:val="001A22A9"/>
    <w:rsid w:val="001A344F"/>
    <w:rsid w:val="001A4648"/>
    <w:rsid w:val="001A5404"/>
    <w:rsid w:val="001A56AD"/>
    <w:rsid w:val="001A6256"/>
    <w:rsid w:val="001A6B1C"/>
    <w:rsid w:val="001A7AD1"/>
    <w:rsid w:val="001A7C9F"/>
    <w:rsid w:val="001B03E2"/>
    <w:rsid w:val="001B0694"/>
    <w:rsid w:val="001B0BA9"/>
    <w:rsid w:val="001B16BB"/>
    <w:rsid w:val="001B23C0"/>
    <w:rsid w:val="001B424D"/>
    <w:rsid w:val="001B44BD"/>
    <w:rsid w:val="001B4D3B"/>
    <w:rsid w:val="001B520B"/>
    <w:rsid w:val="001B5367"/>
    <w:rsid w:val="001B603D"/>
    <w:rsid w:val="001B6B9A"/>
    <w:rsid w:val="001B6D18"/>
    <w:rsid w:val="001B7A1A"/>
    <w:rsid w:val="001B7B28"/>
    <w:rsid w:val="001C00CE"/>
    <w:rsid w:val="001C0262"/>
    <w:rsid w:val="001C15C2"/>
    <w:rsid w:val="001C1F2B"/>
    <w:rsid w:val="001C2D22"/>
    <w:rsid w:val="001C3565"/>
    <w:rsid w:val="001C363C"/>
    <w:rsid w:val="001C4029"/>
    <w:rsid w:val="001C482B"/>
    <w:rsid w:val="001C5869"/>
    <w:rsid w:val="001C635E"/>
    <w:rsid w:val="001C6937"/>
    <w:rsid w:val="001C7ABD"/>
    <w:rsid w:val="001D013D"/>
    <w:rsid w:val="001D10B2"/>
    <w:rsid w:val="001D1D00"/>
    <w:rsid w:val="001D1E3E"/>
    <w:rsid w:val="001D215E"/>
    <w:rsid w:val="001D243C"/>
    <w:rsid w:val="001D29DA"/>
    <w:rsid w:val="001D2D83"/>
    <w:rsid w:val="001D2E4D"/>
    <w:rsid w:val="001D31DE"/>
    <w:rsid w:val="001D331A"/>
    <w:rsid w:val="001D33DA"/>
    <w:rsid w:val="001D4C4C"/>
    <w:rsid w:val="001D4F27"/>
    <w:rsid w:val="001D54F6"/>
    <w:rsid w:val="001E004E"/>
    <w:rsid w:val="001E055E"/>
    <w:rsid w:val="001E0873"/>
    <w:rsid w:val="001E1111"/>
    <w:rsid w:val="001E1E97"/>
    <w:rsid w:val="001E2745"/>
    <w:rsid w:val="001E27F8"/>
    <w:rsid w:val="001E305B"/>
    <w:rsid w:val="001E366C"/>
    <w:rsid w:val="001E4266"/>
    <w:rsid w:val="001E4451"/>
    <w:rsid w:val="001E4C11"/>
    <w:rsid w:val="001E6C9B"/>
    <w:rsid w:val="001E7460"/>
    <w:rsid w:val="001E757A"/>
    <w:rsid w:val="001E7831"/>
    <w:rsid w:val="001E7966"/>
    <w:rsid w:val="001F0682"/>
    <w:rsid w:val="001F0F8E"/>
    <w:rsid w:val="001F10A5"/>
    <w:rsid w:val="001F15A3"/>
    <w:rsid w:val="001F191A"/>
    <w:rsid w:val="001F211E"/>
    <w:rsid w:val="001F3126"/>
    <w:rsid w:val="001F334D"/>
    <w:rsid w:val="001F37ED"/>
    <w:rsid w:val="001F4261"/>
    <w:rsid w:val="001F465F"/>
    <w:rsid w:val="001F48EC"/>
    <w:rsid w:val="001F5725"/>
    <w:rsid w:val="001F58D7"/>
    <w:rsid w:val="001F641B"/>
    <w:rsid w:val="001F73A9"/>
    <w:rsid w:val="001F7F8C"/>
    <w:rsid w:val="00202165"/>
    <w:rsid w:val="002022AA"/>
    <w:rsid w:val="00202AD2"/>
    <w:rsid w:val="0020356A"/>
    <w:rsid w:val="0020493A"/>
    <w:rsid w:val="00204DD7"/>
    <w:rsid w:val="00205337"/>
    <w:rsid w:val="00205A7D"/>
    <w:rsid w:val="00205BC2"/>
    <w:rsid w:val="0020611F"/>
    <w:rsid w:val="002061A1"/>
    <w:rsid w:val="002066CB"/>
    <w:rsid w:val="0020682B"/>
    <w:rsid w:val="00206BA2"/>
    <w:rsid w:val="0020785A"/>
    <w:rsid w:val="00211285"/>
    <w:rsid w:val="00211478"/>
    <w:rsid w:val="00211F8C"/>
    <w:rsid w:val="0021212B"/>
    <w:rsid w:val="002122A9"/>
    <w:rsid w:val="002129B3"/>
    <w:rsid w:val="00212CC8"/>
    <w:rsid w:val="0021313C"/>
    <w:rsid w:val="00213D94"/>
    <w:rsid w:val="00214AF3"/>
    <w:rsid w:val="00215132"/>
    <w:rsid w:val="002160BB"/>
    <w:rsid w:val="0021654F"/>
    <w:rsid w:val="00216CA2"/>
    <w:rsid w:val="00216DD9"/>
    <w:rsid w:val="00217331"/>
    <w:rsid w:val="00217654"/>
    <w:rsid w:val="00217F40"/>
    <w:rsid w:val="00220067"/>
    <w:rsid w:val="00220327"/>
    <w:rsid w:val="0022134A"/>
    <w:rsid w:val="00221C3F"/>
    <w:rsid w:val="002222AD"/>
    <w:rsid w:val="002229EF"/>
    <w:rsid w:val="00223976"/>
    <w:rsid w:val="00223A89"/>
    <w:rsid w:val="00223CBB"/>
    <w:rsid w:val="002243B0"/>
    <w:rsid w:val="0022540E"/>
    <w:rsid w:val="00225572"/>
    <w:rsid w:val="0022596F"/>
    <w:rsid w:val="002259FC"/>
    <w:rsid w:val="00225FD3"/>
    <w:rsid w:val="002262AD"/>
    <w:rsid w:val="00226794"/>
    <w:rsid w:val="00226B6C"/>
    <w:rsid w:val="00227F1D"/>
    <w:rsid w:val="00230348"/>
    <w:rsid w:val="002310A1"/>
    <w:rsid w:val="0023427B"/>
    <w:rsid w:val="00234865"/>
    <w:rsid w:val="0023517B"/>
    <w:rsid w:val="002361C9"/>
    <w:rsid w:val="00236223"/>
    <w:rsid w:val="002365A0"/>
    <w:rsid w:val="00236D38"/>
    <w:rsid w:val="00237016"/>
    <w:rsid w:val="002372F1"/>
    <w:rsid w:val="00240B6E"/>
    <w:rsid w:val="00241B2A"/>
    <w:rsid w:val="00241C99"/>
    <w:rsid w:val="00244517"/>
    <w:rsid w:val="00244B4A"/>
    <w:rsid w:val="0024584A"/>
    <w:rsid w:val="00245FE3"/>
    <w:rsid w:val="00246075"/>
    <w:rsid w:val="0024630C"/>
    <w:rsid w:val="00246B42"/>
    <w:rsid w:val="00247BAD"/>
    <w:rsid w:val="00250190"/>
    <w:rsid w:val="00251769"/>
    <w:rsid w:val="00251B94"/>
    <w:rsid w:val="00252073"/>
    <w:rsid w:val="002529ED"/>
    <w:rsid w:val="00254443"/>
    <w:rsid w:val="002544B6"/>
    <w:rsid w:val="002545D1"/>
    <w:rsid w:val="00254917"/>
    <w:rsid w:val="00254D49"/>
    <w:rsid w:val="00255308"/>
    <w:rsid w:val="00255F1D"/>
    <w:rsid w:val="00256E5C"/>
    <w:rsid w:val="00257283"/>
    <w:rsid w:val="00257450"/>
    <w:rsid w:val="00257809"/>
    <w:rsid w:val="00257D53"/>
    <w:rsid w:val="0026021D"/>
    <w:rsid w:val="00260DE0"/>
    <w:rsid w:val="002610B1"/>
    <w:rsid w:val="002617E0"/>
    <w:rsid w:val="00261DF3"/>
    <w:rsid w:val="002628A9"/>
    <w:rsid w:val="00262AD7"/>
    <w:rsid w:val="00262C9D"/>
    <w:rsid w:val="00263565"/>
    <w:rsid w:val="00263A07"/>
    <w:rsid w:val="00264545"/>
    <w:rsid w:val="00264D1B"/>
    <w:rsid w:val="002656E0"/>
    <w:rsid w:val="00265C38"/>
    <w:rsid w:val="0026693E"/>
    <w:rsid w:val="00270996"/>
    <w:rsid w:val="00270DAD"/>
    <w:rsid w:val="00271B20"/>
    <w:rsid w:val="00272031"/>
    <w:rsid w:val="00272129"/>
    <w:rsid w:val="00272EC4"/>
    <w:rsid w:val="00273426"/>
    <w:rsid w:val="00273438"/>
    <w:rsid w:val="00273F3C"/>
    <w:rsid w:val="00273F4F"/>
    <w:rsid w:val="00274302"/>
    <w:rsid w:val="002743D9"/>
    <w:rsid w:val="00274954"/>
    <w:rsid w:val="00275483"/>
    <w:rsid w:val="00276F4F"/>
    <w:rsid w:val="00277622"/>
    <w:rsid w:val="00277884"/>
    <w:rsid w:val="0027789E"/>
    <w:rsid w:val="00277A6F"/>
    <w:rsid w:val="00277A7D"/>
    <w:rsid w:val="00277CB8"/>
    <w:rsid w:val="00281464"/>
    <w:rsid w:val="00281B60"/>
    <w:rsid w:val="002825EE"/>
    <w:rsid w:val="002828E7"/>
    <w:rsid w:val="00283535"/>
    <w:rsid w:val="00283BA5"/>
    <w:rsid w:val="00283FE5"/>
    <w:rsid w:val="002842F7"/>
    <w:rsid w:val="002846EA"/>
    <w:rsid w:val="00284A88"/>
    <w:rsid w:val="002855F7"/>
    <w:rsid w:val="002858FD"/>
    <w:rsid w:val="00286160"/>
    <w:rsid w:val="00286AF8"/>
    <w:rsid w:val="00286FC7"/>
    <w:rsid w:val="002870BE"/>
    <w:rsid w:val="0029165F"/>
    <w:rsid w:val="00291F49"/>
    <w:rsid w:val="00292C79"/>
    <w:rsid w:val="00292CF3"/>
    <w:rsid w:val="00293186"/>
    <w:rsid w:val="00293818"/>
    <w:rsid w:val="00294488"/>
    <w:rsid w:val="00294A1D"/>
    <w:rsid w:val="00295182"/>
    <w:rsid w:val="00295580"/>
    <w:rsid w:val="0029595F"/>
    <w:rsid w:val="00297ACF"/>
    <w:rsid w:val="002A0422"/>
    <w:rsid w:val="002A0B41"/>
    <w:rsid w:val="002A1351"/>
    <w:rsid w:val="002A2ED8"/>
    <w:rsid w:val="002A3F48"/>
    <w:rsid w:val="002A424F"/>
    <w:rsid w:val="002A45CD"/>
    <w:rsid w:val="002A4724"/>
    <w:rsid w:val="002A4CBE"/>
    <w:rsid w:val="002A64EC"/>
    <w:rsid w:val="002A6AB1"/>
    <w:rsid w:val="002A6BD2"/>
    <w:rsid w:val="002A7064"/>
    <w:rsid w:val="002A79C3"/>
    <w:rsid w:val="002A7C99"/>
    <w:rsid w:val="002B1B63"/>
    <w:rsid w:val="002B24BD"/>
    <w:rsid w:val="002B31CF"/>
    <w:rsid w:val="002B3BFD"/>
    <w:rsid w:val="002B563A"/>
    <w:rsid w:val="002B58D6"/>
    <w:rsid w:val="002B5DF5"/>
    <w:rsid w:val="002B677B"/>
    <w:rsid w:val="002B7643"/>
    <w:rsid w:val="002C02CB"/>
    <w:rsid w:val="002C0816"/>
    <w:rsid w:val="002C09E0"/>
    <w:rsid w:val="002C176D"/>
    <w:rsid w:val="002C223C"/>
    <w:rsid w:val="002C24E5"/>
    <w:rsid w:val="002C2529"/>
    <w:rsid w:val="002C26CE"/>
    <w:rsid w:val="002C29C1"/>
    <w:rsid w:val="002C2A01"/>
    <w:rsid w:val="002C2E5F"/>
    <w:rsid w:val="002C2FD3"/>
    <w:rsid w:val="002C36FF"/>
    <w:rsid w:val="002C491B"/>
    <w:rsid w:val="002C4F3A"/>
    <w:rsid w:val="002C5148"/>
    <w:rsid w:val="002C599B"/>
    <w:rsid w:val="002C66F6"/>
    <w:rsid w:val="002C73E6"/>
    <w:rsid w:val="002C7985"/>
    <w:rsid w:val="002D0611"/>
    <w:rsid w:val="002D1009"/>
    <w:rsid w:val="002D2CC1"/>
    <w:rsid w:val="002D3DA4"/>
    <w:rsid w:val="002D3F21"/>
    <w:rsid w:val="002D415D"/>
    <w:rsid w:val="002D4F38"/>
    <w:rsid w:val="002D50C5"/>
    <w:rsid w:val="002D64EC"/>
    <w:rsid w:val="002E0A2B"/>
    <w:rsid w:val="002E1DA1"/>
    <w:rsid w:val="002E1EAC"/>
    <w:rsid w:val="002E2324"/>
    <w:rsid w:val="002E25FC"/>
    <w:rsid w:val="002E2757"/>
    <w:rsid w:val="002E3123"/>
    <w:rsid w:val="002E36F1"/>
    <w:rsid w:val="002E3F4B"/>
    <w:rsid w:val="002E54F5"/>
    <w:rsid w:val="002E58C3"/>
    <w:rsid w:val="002E637E"/>
    <w:rsid w:val="002E6F43"/>
    <w:rsid w:val="002E70A0"/>
    <w:rsid w:val="002E73B3"/>
    <w:rsid w:val="002E7FD5"/>
    <w:rsid w:val="002F070C"/>
    <w:rsid w:val="002F1232"/>
    <w:rsid w:val="002F12D5"/>
    <w:rsid w:val="002F1A9C"/>
    <w:rsid w:val="002F1B58"/>
    <w:rsid w:val="002F1B9A"/>
    <w:rsid w:val="002F1CE5"/>
    <w:rsid w:val="002F21C6"/>
    <w:rsid w:val="002F3532"/>
    <w:rsid w:val="002F359B"/>
    <w:rsid w:val="002F36B2"/>
    <w:rsid w:val="002F4028"/>
    <w:rsid w:val="002F45CE"/>
    <w:rsid w:val="002F48D6"/>
    <w:rsid w:val="002F6673"/>
    <w:rsid w:val="002F7A25"/>
    <w:rsid w:val="002F7B8F"/>
    <w:rsid w:val="003003F4"/>
    <w:rsid w:val="00302226"/>
    <w:rsid w:val="00302242"/>
    <w:rsid w:val="003023B2"/>
    <w:rsid w:val="00302C41"/>
    <w:rsid w:val="003035B0"/>
    <w:rsid w:val="0030498C"/>
    <w:rsid w:val="003050D6"/>
    <w:rsid w:val="00305562"/>
    <w:rsid w:val="00305A31"/>
    <w:rsid w:val="00306990"/>
    <w:rsid w:val="003070ED"/>
    <w:rsid w:val="00307497"/>
    <w:rsid w:val="0031011E"/>
    <w:rsid w:val="003107EF"/>
    <w:rsid w:val="00310972"/>
    <w:rsid w:val="00310A8A"/>
    <w:rsid w:val="00310EE1"/>
    <w:rsid w:val="003111DF"/>
    <w:rsid w:val="00311CB3"/>
    <w:rsid w:val="003124B3"/>
    <w:rsid w:val="0031276A"/>
    <w:rsid w:val="00312A4D"/>
    <w:rsid w:val="00312CB0"/>
    <w:rsid w:val="00312EDE"/>
    <w:rsid w:val="00312F2A"/>
    <w:rsid w:val="003132E8"/>
    <w:rsid w:val="00313EF2"/>
    <w:rsid w:val="0031420C"/>
    <w:rsid w:val="0031460F"/>
    <w:rsid w:val="00315001"/>
    <w:rsid w:val="0031529B"/>
    <w:rsid w:val="0031577E"/>
    <w:rsid w:val="00315BD0"/>
    <w:rsid w:val="00315C56"/>
    <w:rsid w:val="0031736C"/>
    <w:rsid w:val="0031739B"/>
    <w:rsid w:val="00317C6B"/>
    <w:rsid w:val="003207B3"/>
    <w:rsid w:val="0032143F"/>
    <w:rsid w:val="003215C4"/>
    <w:rsid w:val="0032221B"/>
    <w:rsid w:val="00322BE1"/>
    <w:rsid w:val="00322F91"/>
    <w:rsid w:val="00323043"/>
    <w:rsid w:val="00325774"/>
    <w:rsid w:val="00327531"/>
    <w:rsid w:val="00327AF5"/>
    <w:rsid w:val="003304E9"/>
    <w:rsid w:val="003305DF"/>
    <w:rsid w:val="003306F2"/>
    <w:rsid w:val="0033098A"/>
    <w:rsid w:val="003313CE"/>
    <w:rsid w:val="003321F6"/>
    <w:rsid w:val="0033286B"/>
    <w:rsid w:val="00332D6F"/>
    <w:rsid w:val="00332EE2"/>
    <w:rsid w:val="003337B5"/>
    <w:rsid w:val="0033400B"/>
    <w:rsid w:val="00334E04"/>
    <w:rsid w:val="00335977"/>
    <w:rsid w:val="00336733"/>
    <w:rsid w:val="0033715E"/>
    <w:rsid w:val="00337650"/>
    <w:rsid w:val="0034041C"/>
    <w:rsid w:val="0034048C"/>
    <w:rsid w:val="00340895"/>
    <w:rsid w:val="003409B4"/>
    <w:rsid w:val="00340E17"/>
    <w:rsid w:val="00341F49"/>
    <w:rsid w:val="003423A7"/>
    <w:rsid w:val="00342799"/>
    <w:rsid w:val="0034422B"/>
    <w:rsid w:val="0034439B"/>
    <w:rsid w:val="003444C7"/>
    <w:rsid w:val="00344629"/>
    <w:rsid w:val="0034463B"/>
    <w:rsid w:val="0034560E"/>
    <w:rsid w:val="00345690"/>
    <w:rsid w:val="00345972"/>
    <w:rsid w:val="00345AFF"/>
    <w:rsid w:val="00345ED5"/>
    <w:rsid w:val="00346D14"/>
    <w:rsid w:val="00347180"/>
    <w:rsid w:val="0034765E"/>
    <w:rsid w:val="003502D1"/>
    <w:rsid w:val="003503CE"/>
    <w:rsid w:val="003505EB"/>
    <w:rsid w:val="00350CB1"/>
    <w:rsid w:val="00351443"/>
    <w:rsid w:val="003518C6"/>
    <w:rsid w:val="00351F91"/>
    <w:rsid w:val="003522EC"/>
    <w:rsid w:val="0035386A"/>
    <w:rsid w:val="003544E6"/>
    <w:rsid w:val="0035464A"/>
    <w:rsid w:val="0035573B"/>
    <w:rsid w:val="00355C32"/>
    <w:rsid w:val="00355C51"/>
    <w:rsid w:val="00356F65"/>
    <w:rsid w:val="003602FC"/>
    <w:rsid w:val="0036109F"/>
    <w:rsid w:val="00361597"/>
    <w:rsid w:val="00361731"/>
    <w:rsid w:val="003645D3"/>
    <w:rsid w:val="00364D1A"/>
    <w:rsid w:val="003650D2"/>
    <w:rsid w:val="00365D8F"/>
    <w:rsid w:val="00365F7F"/>
    <w:rsid w:val="0036675C"/>
    <w:rsid w:val="003677A0"/>
    <w:rsid w:val="00367A29"/>
    <w:rsid w:val="00370162"/>
    <w:rsid w:val="00370213"/>
    <w:rsid w:val="0037094D"/>
    <w:rsid w:val="0037097B"/>
    <w:rsid w:val="00372BFE"/>
    <w:rsid w:val="003733E4"/>
    <w:rsid w:val="003770D1"/>
    <w:rsid w:val="003772A6"/>
    <w:rsid w:val="00377435"/>
    <w:rsid w:val="00377CA8"/>
    <w:rsid w:val="00380074"/>
    <w:rsid w:val="00380889"/>
    <w:rsid w:val="00381951"/>
    <w:rsid w:val="00381B3E"/>
    <w:rsid w:val="00381CEB"/>
    <w:rsid w:val="00382417"/>
    <w:rsid w:val="00383701"/>
    <w:rsid w:val="003839AB"/>
    <w:rsid w:val="00383A7E"/>
    <w:rsid w:val="00383FE4"/>
    <w:rsid w:val="00384011"/>
    <w:rsid w:val="00384855"/>
    <w:rsid w:val="00385866"/>
    <w:rsid w:val="00386C5B"/>
    <w:rsid w:val="00386ECC"/>
    <w:rsid w:val="003872F6"/>
    <w:rsid w:val="003879A6"/>
    <w:rsid w:val="0039257D"/>
    <w:rsid w:val="00392CDD"/>
    <w:rsid w:val="00392D9F"/>
    <w:rsid w:val="0039341A"/>
    <w:rsid w:val="00393BA6"/>
    <w:rsid w:val="00393EE9"/>
    <w:rsid w:val="00394A2A"/>
    <w:rsid w:val="00395417"/>
    <w:rsid w:val="00395E9F"/>
    <w:rsid w:val="00395FFE"/>
    <w:rsid w:val="003969D4"/>
    <w:rsid w:val="00397362"/>
    <w:rsid w:val="0039762E"/>
    <w:rsid w:val="003A0B3B"/>
    <w:rsid w:val="003A1752"/>
    <w:rsid w:val="003A17E3"/>
    <w:rsid w:val="003A1802"/>
    <w:rsid w:val="003A188B"/>
    <w:rsid w:val="003A1A70"/>
    <w:rsid w:val="003A2E71"/>
    <w:rsid w:val="003A3422"/>
    <w:rsid w:val="003A38C0"/>
    <w:rsid w:val="003A398F"/>
    <w:rsid w:val="003A4531"/>
    <w:rsid w:val="003A4644"/>
    <w:rsid w:val="003A4937"/>
    <w:rsid w:val="003A4B22"/>
    <w:rsid w:val="003A5706"/>
    <w:rsid w:val="003A5781"/>
    <w:rsid w:val="003A66F3"/>
    <w:rsid w:val="003A697F"/>
    <w:rsid w:val="003A6D37"/>
    <w:rsid w:val="003A70E9"/>
    <w:rsid w:val="003A737A"/>
    <w:rsid w:val="003A7E16"/>
    <w:rsid w:val="003A7E4C"/>
    <w:rsid w:val="003B04EB"/>
    <w:rsid w:val="003B0748"/>
    <w:rsid w:val="003B0FC6"/>
    <w:rsid w:val="003B16F7"/>
    <w:rsid w:val="003B1EDB"/>
    <w:rsid w:val="003B1FE8"/>
    <w:rsid w:val="003B2686"/>
    <w:rsid w:val="003B4169"/>
    <w:rsid w:val="003B53DF"/>
    <w:rsid w:val="003B6413"/>
    <w:rsid w:val="003B651E"/>
    <w:rsid w:val="003B6BB4"/>
    <w:rsid w:val="003B6F04"/>
    <w:rsid w:val="003B7AFD"/>
    <w:rsid w:val="003C134E"/>
    <w:rsid w:val="003C21A2"/>
    <w:rsid w:val="003C27E6"/>
    <w:rsid w:val="003C2A7F"/>
    <w:rsid w:val="003C2C7E"/>
    <w:rsid w:val="003C334D"/>
    <w:rsid w:val="003C3B14"/>
    <w:rsid w:val="003C451F"/>
    <w:rsid w:val="003C48F7"/>
    <w:rsid w:val="003C59A3"/>
    <w:rsid w:val="003C77BE"/>
    <w:rsid w:val="003D06DF"/>
    <w:rsid w:val="003D09FE"/>
    <w:rsid w:val="003D13BC"/>
    <w:rsid w:val="003D251E"/>
    <w:rsid w:val="003D3722"/>
    <w:rsid w:val="003D38E2"/>
    <w:rsid w:val="003D3A42"/>
    <w:rsid w:val="003D3A88"/>
    <w:rsid w:val="003D4742"/>
    <w:rsid w:val="003D580A"/>
    <w:rsid w:val="003D6310"/>
    <w:rsid w:val="003D63BC"/>
    <w:rsid w:val="003D66E1"/>
    <w:rsid w:val="003D69B5"/>
    <w:rsid w:val="003D77DB"/>
    <w:rsid w:val="003D78E3"/>
    <w:rsid w:val="003E053D"/>
    <w:rsid w:val="003E071F"/>
    <w:rsid w:val="003E0B20"/>
    <w:rsid w:val="003E1D92"/>
    <w:rsid w:val="003E2236"/>
    <w:rsid w:val="003E43DF"/>
    <w:rsid w:val="003E57B6"/>
    <w:rsid w:val="003E59E0"/>
    <w:rsid w:val="003E74C8"/>
    <w:rsid w:val="003E7726"/>
    <w:rsid w:val="003E78C8"/>
    <w:rsid w:val="003F06F1"/>
    <w:rsid w:val="003F097E"/>
    <w:rsid w:val="003F1BDA"/>
    <w:rsid w:val="003F23A1"/>
    <w:rsid w:val="003F2AB4"/>
    <w:rsid w:val="003F2D51"/>
    <w:rsid w:val="003F3450"/>
    <w:rsid w:val="003F36DC"/>
    <w:rsid w:val="003F3B2E"/>
    <w:rsid w:val="003F402A"/>
    <w:rsid w:val="003F5086"/>
    <w:rsid w:val="003F69BD"/>
    <w:rsid w:val="003F71D3"/>
    <w:rsid w:val="003F7B0C"/>
    <w:rsid w:val="0040070C"/>
    <w:rsid w:val="0040181B"/>
    <w:rsid w:val="0040253E"/>
    <w:rsid w:val="00402897"/>
    <w:rsid w:val="00402D8B"/>
    <w:rsid w:val="00402E44"/>
    <w:rsid w:val="0040337F"/>
    <w:rsid w:val="00403AB5"/>
    <w:rsid w:val="00403D6E"/>
    <w:rsid w:val="00403EA1"/>
    <w:rsid w:val="00405243"/>
    <w:rsid w:val="00405BF6"/>
    <w:rsid w:val="00405D25"/>
    <w:rsid w:val="00407EF5"/>
    <w:rsid w:val="00410860"/>
    <w:rsid w:val="00410BB8"/>
    <w:rsid w:val="00411D1D"/>
    <w:rsid w:val="00411F4C"/>
    <w:rsid w:val="0041287E"/>
    <w:rsid w:val="004129A5"/>
    <w:rsid w:val="00412CFE"/>
    <w:rsid w:val="00413963"/>
    <w:rsid w:val="00414524"/>
    <w:rsid w:val="00414B9F"/>
    <w:rsid w:val="00415371"/>
    <w:rsid w:val="00415EF9"/>
    <w:rsid w:val="0041615D"/>
    <w:rsid w:val="004165BF"/>
    <w:rsid w:val="00417217"/>
    <w:rsid w:val="00417D14"/>
    <w:rsid w:val="00420CCF"/>
    <w:rsid w:val="00420E7F"/>
    <w:rsid w:val="00421518"/>
    <w:rsid w:val="00421C6F"/>
    <w:rsid w:val="004229BC"/>
    <w:rsid w:val="00422CC0"/>
    <w:rsid w:val="00423108"/>
    <w:rsid w:val="00423148"/>
    <w:rsid w:val="0042356E"/>
    <w:rsid w:val="004239F2"/>
    <w:rsid w:val="00423C88"/>
    <w:rsid w:val="00423FAF"/>
    <w:rsid w:val="00425F93"/>
    <w:rsid w:val="00426588"/>
    <w:rsid w:val="0042711D"/>
    <w:rsid w:val="004273B5"/>
    <w:rsid w:val="00427636"/>
    <w:rsid w:val="004277E8"/>
    <w:rsid w:val="00427906"/>
    <w:rsid w:val="00427CFC"/>
    <w:rsid w:val="00427EEF"/>
    <w:rsid w:val="00430131"/>
    <w:rsid w:val="00430731"/>
    <w:rsid w:val="004307DC"/>
    <w:rsid w:val="00430A18"/>
    <w:rsid w:val="00430AA0"/>
    <w:rsid w:val="00431011"/>
    <w:rsid w:val="004316B6"/>
    <w:rsid w:val="004317BD"/>
    <w:rsid w:val="00431D1F"/>
    <w:rsid w:val="004322D9"/>
    <w:rsid w:val="0043235A"/>
    <w:rsid w:val="00433125"/>
    <w:rsid w:val="0043317C"/>
    <w:rsid w:val="004335B3"/>
    <w:rsid w:val="0043414B"/>
    <w:rsid w:val="00434F94"/>
    <w:rsid w:val="00435680"/>
    <w:rsid w:val="0043613B"/>
    <w:rsid w:val="00436598"/>
    <w:rsid w:val="00436C01"/>
    <w:rsid w:val="004370B8"/>
    <w:rsid w:val="004374BE"/>
    <w:rsid w:val="004377C0"/>
    <w:rsid w:val="004401FB"/>
    <w:rsid w:val="004414E2"/>
    <w:rsid w:val="00441955"/>
    <w:rsid w:val="00441E86"/>
    <w:rsid w:val="004422E2"/>
    <w:rsid w:val="004427F4"/>
    <w:rsid w:val="00442A98"/>
    <w:rsid w:val="00443088"/>
    <w:rsid w:val="00443493"/>
    <w:rsid w:val="00443CD4"/>
    <w:rsid w:val="00443D24"/>
    <w:rsid w:val="00444193"/>
    <w:rsid w:val="00446FC8"/>
    <w:rsid w:val="00447E51"/>
    <w:rsid w:val="004503D8"/>
    <w:rsid w:val="004504B3"/>
    <w:rsid w:val="0045068F"/>
    <w:rsid w:val="00450F44"/>
    <w:rsid w:val="00452669"/>
    <w:rsid w:val="004533CA"/>
    <w:rsid w:val="0045378A"/>
    <w:rsid w:val="004548C9"/>
    <w:rsid w:val="00455A3F"/>
    <w:rsid w:val="00455D78"/>
    <w:rsid w:val="004567CE"/>
    <w:rsid w:val="004579CE"/>
    <w:rsid w:val="00457F59"/>
    <w:rsid w:val="004601E7"/>
    <w:rsid w:val="00460B8D"/>
    <w:rsid w:val="004619C3"/>
    <w:rsid w:val="00461B99"/>
    <w:rsid w:val="0046217D"/>
    <w:rsid w:val="00462870"/>
    <w:rsid w:val="00463213"/>
    <w:rsid w:val="00463474"/>
    <w:rsid w:val="00463550"/>
    <w:rsid w:val="00463713"/>
    <w:rsid w:val="0046451E"/>
    <w:rsid w:val="00464BE6"/>
    <w:rsid w:val="004653BA"/>
    <w:rsid w:val="004656F7"/>
    <w:rsid w:val="0046585C"/>
    <w:rsid w:val="00465AF4"/>
    <w:rsid w:val="00466C6F"/>
    <w:rsid w:val="00466D84"/>
    <w:rsid w:val="00467230"/>
    <w:rsid w:val="00467360"/>
    <w:rsid w:val="00467569"/>
    <w:rsid w:val="004678AC"/>
    <w:rsid w:val="00467E72"/>
    <w:rsid w:val="00470170"/>
    <w:rsid w:val="0047155B"/>
    <w:rsid w:val="00472D33"/>
    <w:rsid w:val="00473295"/>
    <w:rsid w:val="00473A36"/>
    <w:rsid w:val="00473AB3"/>
    <w:rsid w:val="00473EEE"/>
    <w:rsid w:val="00474355"/>
    <w:rsid w:val="004746D2"/>
    <w:rsid w:val="00474A36"/>
    <w:rsid w:val="00474B1B"/>
    <w:rsid w:val="00474F0F"/>
    <w:rsid w:val="004767EE"/>
    <w:rsid w:val="00481465"/>
    <w:rsid w:val="00481EF4"/>
    <w:rsid w:val="004827DA"/>
    <w:rsid w:val="0048316C"/>
    <w:rsid w:val="004832EE"/>
    <w:rsid w:val="004839AA"/>
    <w:rsid w:val="00484213"/>
    <w:rsid w:val="00484652"/>
    <w:rsid w:val="004849D3"/>
    <w:rsid w:val="0048542F"/>
    <w:rsid w:val="00485B68"/>
    <w:rsid w:val="00485DBF"/>
    <w:rsid w:val="00486EF3"/>
    <w:rsid w:val="0048707C"/>
    <w:rsid w:val="004871E2"/>
    <w:rsid w:val="00487843"/>
    <w:rsid w:val="00490485"/>
    <w:rsid w:val="004904DA"/>
    <w:rsid w:val="00490BC8"/>
    <w:rsid w:val="00491413"/>
    <w:rsid w:val="00491977"/>
    <w:rsid w:val="00491E7A"/>
    <w:rsid w:val="00493836"/>
    <w:rsid w:val="00493B66"/>
    <w:rsid w:val="00493CDD"/>
    <w:rsid w:val="00493F26"/>
    <w:rsid w:val="00494404"/>
    <w:rsid w:val="00494C5A"/>
    <w:rsid w:val="004956C7"/>
    <w:rsid w:val="00495C19"/>
    <w:rsid w:val="004967F8"/>
    <w:rsid w:val="004974A6"/>
    <w:rsid w:val="004978C0"/>
    <w:rsid w:val="00497DE0"/>
    <w:rsid w:val="004A05D2"/>
    <w:rsid w:val="004A07D2"/>
    <w:rsid w:val="004A1C21"/>
    <w:rsid w:val="004A2019"/>
    <w:rsid w:val="004A218C"/>
    <w:rsid w:val="004A223F"/>
    <w:rsid w:val="004A2663"/>
    <w:rsid w:val="004A2A9F"/>
    <w:rsid w:val="004A2D6A"/>
    <w:rsid w:val="004A2F79"/>
    <w:rsid w:val="004A32A4"/>
    <w:rsid w:val="004A39E7"/>
    <w:rsid w:val="004A3F16"/>
    <w:rsid w:val="004A40A7"/>
    <w:rsid w:val="004A42EE"/>
    <w:rsid w:val="004A4414"/>
    <w:rsid w:val="004A51F2"/>
    <w:rsid w:val="004A6603"/>
    <w:rsid w:val="004A6AF3"/>
    <w:rsid w:val="004A797D"/>
    <w:rsid w:val="004B016C"/>
    <w:rsid w:val="004B0327"/>
    <w:rsid w:val="004B0698"/>
    <w:rsid w:val="004B2CC9"/>
    <w:rsid w:val="004B5B83"/>
    <w:rsid w:val="004B5E5D"/>
    <w:rsid w:val="004B6076"/>
    <w:rsid w:val="004B6ACB"/>
    <w:rsid w:val="004C0040"/>
    <w:rsid w:val="004C053F"/>
    <w:rsid w:val="004C0A3C"/>
    <w:rsid w:val="004C0C5E"/>
    <w:rsid w:val="004C17F4"/>
    <w:rsid w:val="004C1840"/>
    <w:rsid w:val="004C1847"/>
    <w:rsid w:val="004C1D2E"/>
    <w:rsid w:val="004C23C4"/>
    <w:rsid w:val="004C3D6B"/>
    <w:rsid w:val="004C458E"/>
    <w:rsid w:val="004C4E87"/>
    <w:rsid w:val="004C5331"/>
    <w:rsid w:val="004C594F"/>
    <w:rsid w:val="004C5B9B"/>
    <w:rsid w:val="004C5BE4"/>
    <w:rsid w:val="004C5DE9"/>
    <w:rsid w:val="004C5FBE"/>
    <w:rsid w:val="004C7442"/>
    <w:rsid w:val="004C75CC"/>
    <w:rsid w:val="004D0064"/>
    <w:rsid w:val="004D0207"/>
    <w:rsid w:val="004D0E51"/>
    <w:rsid w:val="004D1B28"/>
    <w:rsid w:val="004D1CB4"/>
    <w:rsid w:val="004D2FD3"/>
    <w:rsid w:val="004D36F8"/>
    <w:rsid w:val="004D3774"/>
    <w:rsid w:val="004D42B1"/>
    <w:rsid w:val="004D4894"/>
    <w:rsid w:val="004D4FB9"/>
    <w:rsid w:val="004D763F"/>
    <w:rsid w:val="004E0D9D"/>
    <w:rsid w:val="004E15F0"/>
    <w:rsid w:val="004E1A42"/>
    <w:rsid w:val="004E1C2D"/>
    <w:rsid w:val="004E1E58"/>
    <w:rsid w:val="004E1F2C"/>
    <w:rsid w:val="004E2628"/>
    <w:rsid w:val="004E331F"/>
    <w:rsid w:val="004E377C"/>
    <w:rsid w:val="004E3CD3"/>
    <w:rsid w:val="004E41CB"/>
    <w:rsid w:val="004E488D"/>
    <w:rsid w:val="004E4CD4"/>
    <w:rsid w:val="004E55A4"/>
    <w:rsid w:val="004E6058"/>
    <w:rsid w:val="004E614A"/>
    <w:rsid w:val="004E69FF"/>
    <w:rsid w:val="004E6B75"/>
    <w:rsid w:val="004E7E7D"/>
    <w:rsid w:val="004F01EC"/>
    <w:rsid w:val="004F06B8"/>
    <w:rsid w:val="004F0A67"/>
    <w:rsid w:val="004F0C18"/>
    <w:rsid w:val="004F1337"/>
    <w:rsid w:val="004F1732"/>
    <w:rsid w:val="004F1CD7"/>
    <w:rsid w:val="004F1FE4"/>
    <w:rsid w:val="004F26A0"/>
    <w:rsid w:val="004F28CE"/>
    <w:rsid w:val="004F2EB7"/>
    <w:rsid w:val="004F328B"/>
    <w:rsid w:val="004F3B54"/>
    <w:rsid w:val="004F4825"/>
    <w:rsid w:val="004F4B67"/>
    <w:rsid w:val="004F571D"/>
    <w:rsid w:val="004F5F7E"/>
    <w:rsid w:val="004F6303"/>
    <w:rsid w:val="004F6542"/>
    <w:rsid w:val="004F690A"/>
    <w:rsid w:val="004F7142"/>
    <w:rsid w:val="004F75AC"/>
    <w:rsid w:val="004F79BA"/>
    <w:rsid w:val="0050043E"/>
    <w:rsid w:val="005014A8"/>
    <w:rsid w:val="005014AF"/>
    <w:rsid w:val="005038D1"/>
    <w:rsid w:val="00503EC4"/>
    <w:rsid w:val="00504C6F"/>
    <w:rsid w:val="00504F11"/>
    <w:rsid w:val="0050728A"/>
    <w:rsid w:val="005074D9"/>
    <w:rsid w:val="0051037A"/>
    <w:rsid w:val="00510573"/>
    <w:rsid w:val="0051070A"/>
    <w:rsid w:val="00510CC0"/>
    <w:rsid w:val="005126A0"/>
    <w:rsid w:val="005126B7"/>
    <w:rsid w:val="00512E10"/>
    <w:rsid w:val="005130E1"/>
    <w:rsid w:val="005133D2"/>
    <w:rsid w:val="0051415D"/>
    <w:rsid w:val="00514B71"/>
    <w:rsid w:val="0051688C"/>
    <w:rsid w:val="00516AB1"/>
    <w:rsid w:val="0052097A"/>
    <w:rsid w:val="00520E33"/>
    <w:rsid w:val="00520E46"/>
    <w:rsid w:val="005218CE"/>
    <w:rsid w:val="00521C4B"/>
    <w:rsid w:val="0052300B"/>
    <w:rsid w:val="0052302B"/>
    <w:rsid w:val="00523A1D"/>
    <w:rsid w:val="005240FE"/>
    <w:rsid w:val="005242C9"/>
    <w:rsid w:val="005247A0"/>
    <w:rsid w:val="00525A3C"/>
    <w:rsid w:val="005273A2"/>
    <w:rsid w:val="0052756A"/>
    <w:rsid w:val="00527877"/>
    <w:rsid w:val="00527D72"/>
    <w:rsid w:val="0053017A"/>
    <w:rsid w:val="0053067D"/>
    <w:rsid w:val="00530E5E"/>
    <w:rsid w:val="00531340"/>
    <w:rsid w:val="00533538"/>
    <w:rsid w:val="00533CB9"/>
    <w:rsid w:val="00534180"/>
    <w:rsid w:val="00534241"/>
    <w:rsid w:val="005344D5"/>
    <w:rsid w:val="0053499D"/>
    <w:rsid w:val="00534EA3"/>
    <w:rsid w:val="0053647A"/>
    <w:rsid w:val="00536A6D"/>
    <w:rsid w:val="00536ECF"/>
    <w:rsid w:val="00536F80"/>
    <w:rsid w:val="00541C17"/>
    <w:rsid w:val="00541CF7"/>
    <w:rsid w:val="00543544"/>
    <w:rsid w:val="005438AA"/>
    <w:rsid w:val="005439D3"/>
    <w:rsid w:val="00544C0C"/>
    <w:rsid w:val="00544E67"/>
    <w:rsid w:val="005457A4"/>
    <w:rsid w:val="005461B0"/>
    <w:rsid w:val="005464D2"/>
    <w:rsid w:val="005479E3"/>
    <w:rsid w:val="00547A9E"/>
    <w:rsid w:val="005504B2"/>
    <w:rsid w:val="005505A9"/>
    <w:rsid w:val="005508EC"/>
    <w:rsid w:val="00550C23"/>
    <w:rsid w:val="00551330"/>
    <w:rsid w:val="005518D3"/>
    <w:rsid w:val="0055317C"/>
    <w:rsid w:val="00553B97"/>
    <w:rsid w:val="00554ED0"/>
    <w:rsid w:val="0055578E"/>
    <w:rsid w:val="00555EB2"/>
    <w:rsid w:val="00556B73"/>
    <w:rsid w:val="00557033"/>
    <w:rsid w:val="005576A5"/>
    <w:rsid w:val="0056348D"/>
    <w:rsid w:val="005634F0"/>
    <w:rsid w:val="00563F70"/>
    <w:rsid w:val="00564497"/>
    <w:rsid w:val="00564764"/>
    <w:rsid w:val="00564813"/>
    <w:rsid w:val="005648C3"/>
    <w:rsid w:val="00565BD1"/>
    <w:rsid w:val="00566D37"/>
    <w:rsid w:val="005674DC"/>
    <w:rsid w:val="00567865"/>
    <w:rsid w:val="00567BD2"/>
    <w:rsid w:val="00567E83"/>
    <w:rsid w:val="00571041"/>
    <w:rsid w:val="00571540"/>
    <w:rsid w:val="005717ED"/>
    <w:rsid w:val="00571F5A"/>
    <w:rsid w:val="00573B72"/>
    <w:rsid w:val="00574FF5"/>
    <w:rsid w:val="00575FDA"/>
    <w:rsid w:val="005763E8"/>
    <w:rsid w:val="00576465"/>
    <w:rsid w:val="00577A42"/>
    <w:rsid w:val="00577AAB"/>
    <w:rsid w:val="00580124"/>
    <w:rsid w:val="00580B0E"/>
    <w:rsid w:val="0058121B"/>
    <w:rsid w:val="00581D2C"/>
    <w:rsid w:val="00581EAC"/>
    <w:rsid w:val="0058233C"/>
    <w:rsid w:val="00582784"/>
    <w:rsid w:val="00583C14"/>
    <w:rsid w:val="0058424B"/>
    <w:rsid w:val="0058480E"/>
    <w:rsid w:val="00584CD0"/>
    <w:rsid w:val="00584D6A"/>
    <w:rsid w:val="005864A7"/>
    <w:rsid w:val="005865C1"/>
    <w:rsid w:val="00586A50"/>
    <w:rsid w:val="00586A8C"/>
    <w:rsid w:val="00586BB5"/>
    <w:rsid w:val="00586BDA"/>
    <w:rsid w:val="00586E44"/>
    <w:rsid w:val="00590D21"/>
    <w:rsid w:val="00591F16"/>
    <w:rsid w:val="00593CE8"/>
    <w:rsid w:val="0059451C"/>
    <w:rsid w:val="00594BD6"/>
    <w:rsid w:val="00594FC0"/>
    <w:rsid w:val="00595AD4"/>
    <w:rsid w:val="00595B3D"/>
    <w:rsid w:val="00595E76"/>
    <w:rsid w:val="00596082"/>
    <w:rsid w:val="00596D40"/>
    <w:rsid w:val="005975E3"/>
    <w:rsid w:val="005A1226"/>
    <w:rsid w:val="005A2997"/>
    <w:rsid w:val="005A2B49"/>
    <w:rsid w:val="005A2C28"/>
    <w:rsid w:val="005A32F6"/>
    <w:rsid w:val="005A33B2"/>
    <w:rsid w:val="005A3B89"/>
    <w:rsid w:val="005A450D"/>
    <w:rsid w:val="005A4530"/>
    <w:rsid w:val="005A5326"/>
    <w:rsid w:val="005A53FB"/>
    <w:rsid w:val="005A56DD"/>
    <w:rsid w:val="005A5D4D"/>
    <w:rsid w:val="005A60EA"/>
    <w:rsid w:val="005A797E"/>
    <w:rsid w:val="005B0CFF"/>
    <w:rsid w:val="005B17EF"/>
    <w:rsid w:val="005B191B"/>
    <w:rsid w:val="005B1AF6"/>
    <w:rsid w:val="005B26D6"/>
    <w:rsid w:val="005B2A28"/>
    <w:rsid w:val="005B3494"/>
    <w:rsid w:val="005B35AE"/>
    <w:rsid w:val="005B3B99"/>
    <w:rsid w:val="005B4394"/>
    <w:rsid w:val="005B61D7"/>
    <w:rsid w:val="005B7446"/>
    <w:rsid w:val="005C068C"/>
    <w:rsid w:val="005C0E79"/>
    <w:rsid w:val="005C115B"/>
    <w:rsid w:val="005C19B9"/>
    <w:rsid w:val="005C1EDB"/>
    <w:rsid w:val="005C2024"/>
    <w:rsid w:val="005C2644"/>
    <w:rsid w:val="005C3745"/>
    <w:rsid w:val="005C3B04"/>
    <w:rsid w:val="005C4148"/>
    <w:rsid w:val="005C4967"/>
    <w:rsid w:val="005C50A1"/>
    <w:rsid w:val="005C556E"/>
    <w:rsid w:val="005C5B5A"/>
    <w:rsid w:val="005C63D1"/>
    <w:rsid w:val="005C6760"/>
    <w:rsid w:val="005C6D66"/>
    <w:rsid w:val="005D0108"/>
    <w:rsid w:val="005D03CE"/>
    <w:rsid w:val="005D0C38"/>
    <w:rsid w:val="005D147F"/>
    <w:rsid w:val="005D36C3"/>
    <w:rsid w:val="005D4434"/>
    <w:rsid w:val="005D44E5"/>
    <w:rsid w:val="005D4512"/>
    <w:rsid w:val="005D4811"/>
    <w:rsid w:val="005D4E5A"/>
    <w:rsid w:val="005D520A"/>
    <w:rsid w:val="005D61B4"/>
    <w:rsid w:val="005D6B11"/>
    <w:rsid w:val="005E044E"/>
    <w:rsid w:val="005E1596"/>
    <w:rsid w:val="005E1701"/>
    <w:rsid w:val="005E19A3"/>
    <w:rsid w:val="005E21EC"/>
    <w:rsid w:val="005E34AD"/>
    <w:rsid w:val="005E4045"/>
    <w:rsid w:val="005E461C"/>
    <w:rsid w:val="005E4649"/>
    <w:rsid w:val="005E496D"/>
    <w:rsid w:val="005E53D3"/>
    <w:rsid w:val="005E6304"/>
    <w:rsid w:val="005E7C56"/>
    <w:rsid w:val="005F0359"/>
    <w:rsid w:val="005F14A1"/>
    <w:rsid w:val="005F27B0"/>
    <w:rsid w:val="005F2AE0"/>
    <w:rsid w:val="005F2DC7"/>
    <w:rsid w:val="005F3FEF"/>
    <w:rsid w:val="005F4821"/>
    <w:rsid w:val="005F691B"/>
    <w:rsid w:val="00600A67"/>
    <w:rsid w:val="00600EAC"/>
    <w:rsid w:val="006011F1"/>
    <w:rsid w:val="006015F1"/>
    <w:rsid w:val="00601DBA"/>
    <w:rsid w:val="006022B6"/>
    <w:rsid w:val="00603868"/>
    <w:rsid w:val="00603A2C"/>
    <w:rsid w:val="00603A72"/>
    <w:rsid w:val="00604BB6"/>
    <w:rsid w:val="00604E75"/>
    <w:rsid w:val="006050B4"/>
    <w:rsid w:val="0060555A"/>
    <w:rsid w:val="006056BD"/>
    <w:rsid w:val="00606145"/>
    <w:rsid w:val="0060763F"/>
    <w:rsid w:val="00607800"/>
    <w:rsid w:val="00610245"/>
    <w:rsid w:val="00610658"/>
    <w:rsid w:val="006112CF"/>
    <w:rsid w:val="00611331"/>
    <w:rsid w:val="00611664"/>
    <w:rsid w:val="006121CF"/>
    <w:rsid w:val="00613251"/>
    <w:rsid w:val="00613585"/>
    <w:rsid w:val="00614F79"/>
    <w:rsid w:val="0061513D"/>
    <w:rsid w:val="00615214"/>
    <w:rsid w:val="00615917"/>
    <w:rsid w:val="00616632"/>
    <w:rsid w:val="006169CC"/>
    <w:rsid w:val="00616CDC"/>
    <w:rsid w:val="006170C4"/>
    <w:rsid w:val="0061717B"/>
    <w:rsid w:val="006173C2"/>
    <w:rsid w:val="006204A4"/>
    <w:rsid w:val="00620703"/>
    <w:rsid w:val="00621682"/>
    <w:rsid w:val="00621743"/>
    <w:rsid w:val="00621A52"/>
    <w:rsid w:val="006229D2"/>
    <w:rsid w:val="00622D7B"/>
    <w:rsid w:val="00623315"/>
    <w:rsid w:val="0062476E"/>
    <w:rsid w:val="006269DA"/>
    <w:rsid w:val="006278DC"/>
    <w:rsid w:val="006279AA"/>
    <w:rsid w:val="00627AE4"/>
    <w:rsid w:val="00630F75"/>
    <w:rsid w:val="006310CC"/>
    <w:rsid w:val="006311C6"/>
    <w:rsid w:val="00632C73"/>
    <w:rsid w:val="006335CE"/>
    <w:rsid w:val="0063400E"/>
    <w:rsid w:val="00634757"/>
    <w:rsid w:val="00634FEA"/>
    <w:rsid w:val="0063502E"/>
    <w:rsid w:val="00635AAD"/>
    <w:rsid w:val="00635E0B"/>
    <w:rsid w:val="006375CB"/>
    <w:rsid w:val="00640400"/>
    <w:rsid w:val="00642C8D"/>
    <w:rsid w:val="00643CFC"/>
    <w:rsid w:val="006457A3"/>
    <w:rsid w:val="0064709B"/>
    <w:rsid w:val="00650236"/>
    <w:rsid w:val="00650C7D"/>
    <w:rsid w:val="006510A0"/>
    <w:rsid w:val="006521AA"/>
    <w:rsid w:val="00654601"/>
    <w:rsid w:val="00654EE0"/>
    <w:rsid w:val="0065588C"/>
    <w:rsid w:val="006564DE"/>
    <w:rsid w:val="00656620"/>
    <w:rsid w:val="00656A40"/>
    <w:rsid w:val="0066009B"/>
    <w:rsid w:val="0066099C"/>
    <w:rsid w:val="00661747"/>
    <w:rsid w:val="006618AE"/>
    <w:rsid w:val="00661AD9"/>
    <w:rsid w:val="00664A69"/>
    <w:rsid w:val="00665F0D"/>
    <w:rsid w:val="006674B7"/>
    <w:rsid w:val="006679DE"/>
    <w:rsid w:val="00667CAA"/>
    <w:rsid w:val="006700C2"/>
    <w:rsid w:val="00670B15"/>
    <w:rsid w:val="00670FD5"/>
    <w:rsid w:val="00671B7A"/>
    <w:rsid w:val="00671D12"/>
    <w:rsid w:val="00672717"/>
    <w:rsid w:val="00673150"/>
    <w:rsid w:val="00675253"/>
    <w:rsid w:val="00675E35"/>
    <w:rsid w:val="006773BF"/>
    <w:rsid w:val="00677454"/>
    <w:rsid w:val="006779DC"/>
    <w:rsid w:val="00677A7B"/>
    <w:rsid w:val="00680CCE"/>
    <w:rsid w:val="0068111B"/>
    <w:rsid w:val="006825A5"/>
    <w:rsid w:val="006828FD"/>
    <w:rsid w:val="0068358A"/>
    <w:rsid w:val="00683F7E"/>
    <w:rsid w:val="0068438F"/>
    <w:rsid w:val="00684633"/>
    <w:rsid w:val="0068486B"/>
    <w:rsid w:val="00690CAD"/>
    <w:rsid w:val="00691300"/>
    <w:rsid w:val="00691E39"/>
    <w:rsid w:val="00692041"/>
    <w:rsid w:val="006923A7"/>
    <w:rsid w:val="006924CD"/>
    <w:rsid w:val="006930B2"/>
    <w:rsid w:val="00693102"/>
    <w:rsid w:val="006931FC"/>
    <w:rsid w:val="00693531"/>
    <w:rsid w:val="00693888"/>
    <w:rsid w:val="00694C6E"/>
    <w:rsid w:val="00694FC4"/>
    <w:rsid w:val="00695B3B"/>
    <w:rsid w:val="00695CFB"/>
    <w:rsid w:val="00696325"/>
    <w:rsid w:val="00696952"/>
    <w:rsid w:val="006969B2"/>
    <w:rsid w:val="006972B3"/>
    <w:rsid w:val="00697C96"/>
    <w:rsid w:val="006A0874"/>
    <w:rsid w:val="006A0F51"/>
    <w:rsid w:val="006A2622"/>
    <w:rsid w:val="006A3418"/>
    <w:rsid w:val="006A3A7A"/>
    <w:rsid w:val="006A3F1A"/>
    <w:rsid w:val="006A3F9A"/>
    <w:rsid w:val="006A45D6"/>
    <w:rsid w:val="006A51F2"/>
    <w:rsid w:val="006A5579"/>
    <w:rsid w:val="006A620A"/>
    <w:rsid w:val="006A716C"/>
    <w:rsid w:val="006A7A31"/>
    <w:rsid w:val="006A7FA9"/>
    <w:rsid w:val="006B0467"/>
    <w:rsid w:val="006B0657"/>
    <w:rsid w:val="006B0FDD"/>
    <w:rsid w:val="006B1483"/>
    <w:rsid w:val="006B1799"/>
    <w:rsid w:val="006B224F"/>
    <w:rsid w:val="006B306B"/>
    <w:rsid w:val="006B30C4"/>
    <w:rsid w:val="006B3789"/>
    <w:rsid w:val="006B3FDE"/>
    <w:rsid w:val="006B515D"/>
    <w:rsid w:val="006B52EA"/>
    <w:rsid w:val="006B5893"/>
    <w:rsid w:val="006C110C"/>
    <w:rsid w:val="006C1FAC"/>
    <w:rsid w:val="006C2819"/>
    <w:rsid w:val="006C3C8B"/>
    <w:rsid w:val="006C4241"/>
    <w:rsid w:val="006C43C4"/>
    <w:rsid w:val="006C4626"/>
    <w:rsid w:val="006C46D8"/>
    <w:rsid w:val="006C474A"/>
    <w:rsid w:val="006C4F94"/>
    <w:rsid w:val="006C5411"/>
    <w:rsid w:val="006C59B2"/>
    <w:rsid w:val="006C66B2"/>
    <w:rsid w:val="006C6E54"/>
    <w:rsid w:val="006C7386"/>
    <w:rsid w:val="006D01CA"/>
    <w:rsid w:val="006D02E8"/>
    <w:rsid w:val="006D152D"/>
    <w:rsid w:val="006D2857"/>
    <w:rsid w:val="006D35B3"/>
    <w:rsid w:val="006D3A1F"/>
    <w:rsid w:val="006D3F6A"/>
    <w:rsid w:val="006D44D8"/>
    <w:rsid w:val="006D4B22"/>
    <w:rsid w:val="006D5FCF"/>
    <w:rsid w:val="006D61BB"/>
    <w:rsid w:val="006D71DC"/>
    <w:rsid w:val="006D7B62"/>
    <w:rsid w:val="006D7C39"/>
    <w:rsid w:val="006E1DB8"/>
    <w:rsid w:val="006E293D"/>
    <w:rsid w:val="006E2FE7"/>
    <w:rsid w:val="006E341A"/>
    <w:rsid w:val="006E432A"/>
    <w:rsid w:val="006E5367"/>
    <w:rsid w:val="006E551C"/>
    <w:rsid w:val="006E5E2B"/>
    <w:rsid w:val="006E67B4"/>
    <w:rsid w:val="006E75DF"/>
    <w:rsid w:val="006E7823"/>
    <w:rsid w:val="006F0020"/>
    <w:rsid w:val="006F08A3"/>
    <w:rsid w:val="006F0D0E"/>
    <w:rsid w:val="006F1646"/>
    <w:rsid w:val="006F2876"/>
    <w:rsid w:val="006F2EDC"/>
    <w:rsid w:val="006F37F0"/>
    <w:rsid w:val="006F43D6"/>
    <w:rsid w:val="006F4C09"/>
    <w:rsid w:val="006F6C01"/>
    <w:rsid w:val="006F75ED"/>
    <w:rsid w:val="00700382"/>
    <w:rsid w:val="00702B4D"/>
    <w:rsid w:val="007030EB"/>
    <w:rsid w:val="0070375B"/>
    <w:rsid w:val="0070387A"/>
    <w:rsid w:val="00703A54"/>
    <w:rsid w:val="00704E1C"/>
    <w:rsid w:val="00705A15"/>
    <w:rsid w:val="00705B45"/>
    <w:rsid w:val="007062B5"/>
    <w:rsid w:val="0070707C"/>
    <w:rsid w:val="00707543"/>
    <w:rsid w:val="007102A6"/>
    <w:rsid w:val="00710E40"/>
    <w:rsid w:val="00710F35"/>
    <w:rsid w:val="007111B6"/>
    <w:rsid w:val="007114CC"/>
    <w:rsid w:val="00711C35"/>
    <w:rsid w:val="00712638"/>
    <w:rsid w:val="007133A5"/>
    <w:rsid w:val="007138A3"/>
    <w:rsid w:val="0071417D"/>
    <w:rsid w:val="00714215"/>
    <w:rsid w:val="0071497F"/>
    <w:rsid w:val="00714983"/>
    <w:rsid w:val="00715476"/>
    <w:rsid w:val="00715CA6"/>
    <w:rsid w:val="00716B5D"/>
    <w:rsid w:val="007171CD"/>
    <w:rsid w:val="0071758E"/>
    <w:rsid w:val="00717E40"/>
    <w:rsid w:val="00717E59"/>
    <w:rsid w:val="0072048C"/>
    <w:rsid w:val="00720C64"/>
    <w:rsid w:val="00720E4F"/>
    <w:rsid w:val="00721F4E"/>
    <w:rsid w:val="007229FC"/>
    <w:rsid w:val="00722BF6"/>
    <w:rsid w:val="00723A85"/>
    <w:rsid w:val="00723B19"/>
    <w:rsid w:val="0072461C"/>
    <w:rsid w:val="007247DC"/>
    <w:rsid w:val="00724994"/>
    <w:rsid w:val="00724CB9"/>
    <w:rsid w:val="007253DA"/>
    <w:rsid w:val="0072713D"/>
    <w:rsid w:val="007273BA"/>
    <w:rsid w:val="00727465"/>
    <w:rsid w:val="00727CDA"/>
    <w:rsid w:val="007318FE"/>
    <w:rsid w:val="00731992"/>
    <w:rsid w:val="00732493"/>
    <w:rsid w:val="0073295C"/>
    <w:rsid w:val="00732B76"/>
    <w:rsid w:val="00732E4B"/>
    <w:rsid w:val="00733B31"/>
    <w:rsid w:val="00733C88"/>
    <w:rsid w:val="00734271"/>
    <w:rsid w:val="0073429A"/>
    <w:rsid w:val="00735894"/>
    <w:rsid w:val="00735AEE"/>
    <w:rsid w:val="00736303"/>
    <w:rsid w:val="0073637A"/>
    <w:rsid w:val="007369BB"/>
    <w:rsid w:val="00737361"/>
    <w:rsid w:val="00737401"/>
    <w:rsid w:val="00737477"/>
    <w:rsid w:val="007375BC"/>
    <w:rsid w:val="00737E17"/>
    <w:rsid w:val="00740186"/>
    <w:rsid w:val="0074055B"/>
    <w:rsid w:val="00740573"/>
    <w:rsid w:val="00741B35"/>
    <w:rsid w:val="00741E9B"/>
    <w:rsid w:val="007422F4"/>
    <w:rsid w:val="007426F8"/>
    <w:rsid w:val="00743548"/>
    <w:rsid w:val="00743F2C"/>
    <w:rsid w:val="0074422D"/>
    <w:rsid w:val="00744B1D"/>
    <w:rsid w:val="007459E8"/>
    <w:rsid w:val="00745CC5"/>
    <w:rsid w:val="0074675C"/>
    <w:rsid w:val="007474B5"/>
    <w:rsid w:val="00747BB0"/>
    <w:rsid w:val="00747DBF"/>
    <w:rsid w:val="00750D7C"/>
    <w:rsid w:val="007511A1"/>
    <w:rsid w:val="007515E9"/>
    <w:rsid w:val="00751915"/>
    <w:rsid w:val="00751EEF"/>
    <w:rsid w:val="00751FC8"/>
    <w:rsid w:val="007530B7"/>
    <w:rsid w:val="00753818"/>
    <w:rsid w:val="00753953"/>
    <w:rsid w:val="00754388"/>
    <w:rsid w:val="00755589"/>
    <w:rsid w:val="0075683E"/>
    <w:rsid w:val="00757808"/>
    <w:rsid w:val="0076000A"/>
    <w:rsid w:val="00761584"/>
    <w:rsid w:val="0076173F"/>
    <w:rsid w:val="00761E45"/>
    <w:rsid w:val="007635FC"/>
    <w:rsid w:val="00763714"/>
    <w:rsid w:val="00763FA3"/>
    <w:rsid w:val="00764FEB"/>
    <w:rsid w:val="007663CB"/>
    <w:rsid w:val="00766863"/>
    <w:rsid w:val="00766ECC"/>
    <w:rsid w:val="00767A9E"/>
    <w:rsid w:val="0077005E"/>
    <w:rsid w:val="007707EC"/>
    <w:rsid w:val="00770F3C"/>
    <w:rsid w:val="00771E60"/>
    <w:rsid w:val="0077288F"/>
    <w:rsid w:val="00772B16"/>
    <w:rsid w:val="00772D78"/>
    <w:rsid w:val="00773046"/>
    <w:rsid w:val="00773BEC"/>
    <w:rsid w:val="0077491A"/>
    <w:rsid w:val="00774F9A"/>
    <w:rsid w:val="007757FE"/>
    <w:rsid w:val="00776716"/>
    <w:rsid w:val="007768CA"/>
    <w:rsid w:val="00776973"/>
    <w:rsid w:val="00776B55"/>
    <w:rsid w:val="007776F9"/>
    <w:rsid w:val="0078069C"/>
    <w:rsid w:val="007827A4"/>
    <w:rsid w:val="007828F6"/>
    <w:rsid w:val="00782A17"/>
    <w:rsid w:val="0078332B"/>
    <w:rsid w:val="007839B2"/>
    <w:rsid w:val="007844EB"/>
    <w:rsid w:val="00784732"/>
    <w:rsid w:val="00784B43"/>
    <w:rsid w:val="0078540E"/>
    <w:rsid w:val="00785F44"/>
    <w:rsid w:val="0078618D"/>
    <w:rsid w:val="00786310"/>
    <w:rsid w:val="00786C35"/>
    <w:rsid w:val="00787E6A"/>
    <w:rsid w:val="007900D8"/>
    <w:rsid w:val="00790327"/>
    <w:rsid w:val="007911B2"/>
    <w:rsid w:val="00792708"/>
    <w:rsid w:val="00792A53"/>
    <w:rsid w:val="00792D77"/>
    <w:rsid w:val="00793813"/>
    <w:rsid w:val="00794E32"/>
    <w:rsid w:val="00795848"/>
    <w:rsid w:val="00796427"/>
    <w:rsid w:val="007964E2"/>
    <w:rsid w:val="00796658"/>
    <w:rsid w:val="007968F4"/>
    <w:rsid w:val="00796CBC"/>
    <w:rsid w:val="00796E35"/>
    <w:rsid w:val="00796E96"/>
    <w:rsid w:val="007A03C2"/>
    <w:rsid w:val="007A13FE"/>
    <w:rsid w:val="007A1578"/>
    <w:rsid w:val="007A1D0E"/>
    <w:rsid w:val="007A1E3F"/>
    <w:rsid w:val="007A1EE4"/>
    <w:rsid w:val="007A2000"/>
    <w:rsid w:val="007A25D3"/>
    <w:rsid w:val="007A2C06"/>
    <w:rsid w:val="007A44A3"/>
    <w:rsid w:val="007A5891"/>
    <w:rsid w:val="007A61D0"/>
    <w:rsid w:val="007A6383"/>
    <w:rsid w:val="007A67CD"/>
    <w:rsid w:val="007A6A67"/>
    <w:rsid w:val="007A7A35"/>
    <w:rsid w:val="007A7B63"/>
    <w:rsid w:val="007A7C31"/>
    <w:rsid w:val="007A7D09"/>
    <w:rsid w:val="007A7D95"/>
    <w:rsid w:val="007A7E57"/>
    <w:rsid w:val="007B0B47"/>
    <w:rsid w:val="007B1EA9"/>
    <w:rsid w:val="007B1FA5"/>
    <w:rsid w:val="007B21B6"/>
    <w:rsid w:val="007B34F6"/>
    <w:rsid w:val="007B4590"/>
    <w:rsid w:val="007B4A54"/>
    <w:rsid w:val="007B5355"/>
    <w:rsid w:val="007B57A5"/>
    <w:rsid w:val="007B62AF"/>
    <w:rsid w:val="007B62EE"/>
    <w:rsid w:val="007B773D"/>
    <w:rsid w:val="007B783C"/>
    <w:rsid w:val="007C0631"/>
    <w:rsid w:val="007C100E"/>
    <w:rsid w:val="007C142B"/>
    <w:rsid w:val="007C16EE"/>
    <w:rsid w:val="007C1A64"/>
    <w:rsid w:val="007C2318"/>
    <w:rsid w:val="007C2657"/>
    <w:rsid w:val="007C3522"/>
    <w:rsid w:val="007C3551"/>
    <w:rsid w:val="007C4766"/>
    <w:rsid w:val="007C65A7"/>
    <w:rsid w:val="007C670A"/>
    <w:rsid w:val="007C6D71"/>
    <w:rsid w:val="007C7152"/>
    <w:rsid w:val="007D0364"/>
    <w:rsid w:val="007D1043"/>
    <w:rsid w:val="007D17DB"/>
    <w:rsid w:val="007D19FE"/>
    <w:rsid w:val="007D1E52"/>
    <w:rsid w:val="007D1EA0"/>
    <w:rsid w:val="007D20F8"/>
    <w:rsid w:val="007D23AE"/>
    <w:rsid w:val="007D2847"/>
    <w:rsid w:val="007D2DB0"/>
    <w:rsid w:val="007D3335"/>
    <w:rsid w:val="007D3A5F"/>
    <w:rsid w:val="007D43EA"/>
    <w:rsid w:val="007D4D02"/>
    <w:rsid w:val="007D50FA"/>
    <w:rsid w:val="007D578E"/>
    <w:rsid w:val="007D593E"/>
    <w:rsid w:val="007D5B89"/>
    <w:rsid w:val="007D5C77"/>
    <w:rsid w:val="007D5CC4"/>
    <w:rsid w:val="007D6B78"/>
    <w:rsid w:val="007D6C87"/>
    <w:rsid w:val="007D6EA3"/>
    <w:rsid w:val="007D7D93"/>
    <w:rsid w:val="007E112B"/>
    <w:rsid w:val="007E1271"/>
    <w:rsid w:val="007E15D9"/>
    <w:rsid w:val="007E27C2"/>
    <w:rsid w:val="007E3B8B"/>
    <w:rsid w:val="007E3F2D"/>
    <w:rsid w:val="007E4138"/>
    <w:rsid w:val="007E465A"/>
    <w:rsid w:val="007E481B"/>
    <w:rsid w:val="007E4CB3"/>
    <w:rsid w:val="007E5A0C"/>
    <w:rsid w:val="007E6009"/>
    <w:rsid w:val="007E600D"/>
    <w:rsid w:val="007E7766"/>
    <w:rsid w:val="007E79C3"/>
    <w:rsid w:val="007E7C31"/>
    <w:rsid w:val="007E7D7C"/>
    <w:rsid w:val="007F0D8A"/>
    <w:rsid w:val="007F182E"/>
    <w:rsid w:val="007F2919"/>
    <w:rsid w:val="007F4058"/>
    <w:rsid w:val="007F52E4"/>
    <w:rsid w:val="007F5954"/>
    <w:rsid w:val="007F69A2"/>
    <w:rsid w:val="007F7096"/>
    <w:rsid w:val="007F7F22"/>
    <w:rsid w:val="0080047D"/>
    <w:rsid w:val="00800A56"/>
    <w:rsid w:val="008014AD"/>
    <w:rsid w:val="00801629"/>
    <w:rsid w:val="00801A01"/>
    <w:rsid w:val="00801DFA"/>
    <w:rsid w:val="008021F6"/>
    <w:rsid w:val="0080276B"/>
    <w:rsid w:val="00802F82"/>
    <w:rsid w:val="008037B6"/>
    <w:rsid w:val="0080389B"/>
    <w:rsid w:val="008042F5"/>
    <w:rsid w:val="00804B2E"/>
    <w:rsid w:val="008052A0"/>
    <w:rsid w:val="00805CF3"/>
    <w:rsid w:val="0080630B"/>
    <w:rsid w:val="0080764B"/>
    <w:rsid w:val="00807AAE"/>
    <w:rsid w:val="00807E0B"/>
    <w:rsid w:val="008101AD"/>
    <w:rsid w:val="00810CD6"/>
    <w:rsid w:val="00811505"/>
    <w:rsid w:val="00811876"/>
    <w:rsid w:val="0081232B"/>
    <w:rsid w:val="00812EB3"/>
    <w:rsid w:val="0081365F"/>
    <w:rsid w:val="00813C49"/>
    <w:rsid w:val="00814256"/>
    <w:rsid w:val="00814894"/>
    <w:rsid w:val="00815143"/>
    <w:rsid w:val="0081544B"/>
    <w:rsid w:val="00815562"/>
    <w:rsid w:val="0081595B"/>
    <w:rsid w:val="00815A06"/>
    <w:rsid w:val="008160BD"/>
    <w:rsid w:val="00816980"/>
    <w:rsid w:val="00817728"/>
    <w:rsid w:val="00817AF7"/>
    <w:rsid w:val="0082060B"/>
    <w:rsid w:val="008214F6"/>
    <w:rsid w:val="00821CA3"/>
    <w:rsid w:val="00821E35"/>
    <w:rsid w:val="00822785"/>
    <w:rsid w:val="00823059"/>
    <w:rsid w:val="0082320C"/>
    <w:rsid w:val="00823A8F"/>
    <w:rsid w:val="00823EFF"/>
    <w:rsid w:val="0082489C"/>
    <w:rsid w:val="00824A89"/>
    <w:rsid w:val="0082520E"/>
    <w:rsid w:val="00825708"/>
    <w:rsid w:val="00825A7C"/>
    <w:rsid w:val="00825B65"/>
    <w:rsid w:val="00826E9B"/>
    <w:rsid w:val="00830366"/>
    <w:rsid w:val="00832329"/>
    <w:rsid w:val="00833E1C"/>
    <w:rsid w:val="00833EC9"/>
    <w:rsid w:val="00834070"/>
    <w:rsid w:val="00834E9F"/>
    <w:rsid w:val="00837C4C"/>
    <w:rsid w:val="008404E6"/>
    <w:rsid w:val="00840607"/>
    <w:rsid w:val="00840BCB"/>
    <w:rsid w:val="00840C73"/>
    <w:rsid w:val="0084251E"/>
    <w:rsid w:val="00842905"/>
    <w:rsid w:val="00842AA6"/>
    <w:rsid w:val="00842D21"/>
    <w:rsid w:val="00843004"/>
    <w:rsid w:val="0084310E"/>
    <w:rsid w:val="008431DE"/>
    <w:rsid w:val="008436B6"/>
    <w:rsid w:val="00844A1E"/>
    <w:rsid w:val="00844D7C"/>
    <w:rsid w:val="00845771"/>
    <w:rsid w:val="00845FCB"/>
    <w:rsid w:val="00846B0D"/>
    <w:rsid w:val="008474F7"/>
    <w:rsid w:val="00850388"/>
    <w:rsid w:val="00850810"/>
    <w:rsid w:val="00851C57"/>
    <w:rsid w:val="00852F69"/>
    <w:rsid w:val="00852F6A"/>
    <w:rsid w:val="00853809"/>
    <w:rsid w:val="00853A57"/>
    <w:rsid w:val="00854199"/>
    <w:rsid w:val="00854200"/>
    <w:rsid w:val="00854717"/>
    <w:rsid w:val="00854899"/>
    <w:rsid w:val="00854A5F"/>
    <w:rsid w:val="00854BED"/>
    <w:rsid w:val="00854BF4"/>
    <w:rsid w:val="00855CBA"/>
    <w:rsid w:val="00855D19"/>
    <w:rsid w:val="00856061"/>
    <w:rsid w:val="0085738E"/>
    <w:rsid w:val="0085768F"/>
    <w:rsid w:val="00857A8C"/>
    <w:rsid w:val="00861CDC"/>
    <w:rsid w:val="00861EF6"/>
    <w:rsid w:val="00862590"/>
    <w:rsid w:val="008625E8"/>
    <w:rsid w:val="00863B1D"/>
    <w:rsid w:val="00864885"/>
    <w:rsid w:val="00864C03"/>
    <w:rsid w:val="008652A0"/>
    <w:rsid w:val="008655F3"/>
    <w:rsid w:val="00865940"/>
    <w:rsid w:val="00866D48"/>
    <w:rsid w:val="00867153"/>
    <w:rsid w:val="0086715A"/>
    <w:rsid w:val="00867C06"/>
    <w:rsid w:val="0087079B"/>
    <w:rsid w:val="008712F3"/>
    <w:rsid w:val="00871D55"/>
    <w:rsid w:val="00873259"/>
    <w:rsid w:val="0087340E"/>
    <w:rsid w:val="008743C9"/>
    <w:rsid w:val="008744B1"/>
    <w:rsid w:val="00875B96"/>
    <w:rsid w:val="00876055"/>
    <w:rsid w:val="00876414"/>
    <w:rsid w:val="008764DF"/>
    <w:rsid w:val="008766EA"/>
    <w:rsid w:val="00876F28"/>
    <w:rsid w:val="00877E74"/>
    <w:rsid w:val="00880BE7"/>
    <w:rsid w:val="00880CB8"/>
    <w:rsid w:val="00880D4A"/>
    <w:rsid w:val="00881019"/>
    <w:rsid w:val="008815C1"/>
    <w:rsid w:val="008823D4"/>
    <w:rsid w:val="008826CB"/>
    <w:rsid w:val="0088339B"/>
    <w:rsid w:val="00883D77"/>
    <w:rsid w:val="00883E4D"/>
    <w:rsid w:val="0088471A"/>
    <w:rsid w:val="00884D94"/>
    <w:rsid w:val="00885586"/>
    <w:rsid w:val="00885A39"/>
    <w:rsid w:val="00886433"/>
    <w:rsid w:val="008869D5"/>
    <w:rsid w:val="008900C0"/>
    <w:rsid w:val="00890314"/>
    <w:rsid w:val="0089042F"/>
    <w:rsid w:val="00890F94"/>
    <w:rsid w:val="00891B64"/>
    <w:rsid w:val="00891EC4"/>
    <w:rsid w:val="00892823"/>
    <w:rsid w:val="008929A8"/>
    <w:rsid w:val="00892C6A"/>
    <w:rsid w:val="0089366E"/>
    <w:rsid w:val="00893C8B"/>
    <w:rsid w:val="00894AD9"/>
    <w:rsid w:val="0089557B"/>
    <w:rsid w:val="00897344"/>
    <w:rsid w:val="00897829"/>
    <w:rsid w:val="008A067E"/>
    <w:rsid w:val="008A07B7"/>
    <w:rsid w:val="008A1C7F"/>
    <w:rsid w:val="008A1FF6"/>
    <w:rsid w:val="008A20F4"/>
    <w:rsid w:val="008A217E"/>
    <w:rsid w:val="008A340B"/>
    <w:rsid w:val="008A373B"/>
    <w:rsid w:val="008A39FC"/>
    <w:rsid w:val="008A3C3E"/>
    <w:rsid w:val="008A3E2F"/>
    <w:rsid w:val="008A4630"/>
    <w:rsid w:val="008A57B5"/>
    <w:rsid w:val="008A5A79"/>
    <w:rsid w:val="008A6153"/>
    <w:rsid w:val="008A7BA9"/>
    <w:rsid w:val="008B046E"/>
    <w:rsid w:val="008B0753"/>
    <w:rsid w:val="008B19CB"/>
    <w:rsid w:val="008B1C4E"/>
    <w:rsid w:val="008B278D"/>
    <w:rsid w:val="008B393E"/>
    <w:rsid w:val="008B3B7B"/>
    <w:rsid w:val="008B4CC4"/>
    <w:rsid w:val="008B57F2"/>
    <w:rsid w:val="008B5C1C"/>
    <w:rsid w:val="008B6651"/>
    <w:rsid w:val="008B66DC"/>
    <w:rsid w:val="008B740C"/>
    <w:rsid w:val="008B7465"/>
    <w:rsid w:val="008B760C"/>
    <w:rsid w:val="008B7840"/>
    <w:rsid w:val="008B7886"/>
    <w:rsid w:val="008B78B3"/>
    <w:rsid w:val="008C0717"/>
    <w:rsid w:val="008C0782"/>
    <w:rsid w:val="008C14FD"/>
    <w:rsid w:val="008C27C9"/>
    <w:rsid w:val="008C2838"/>
    <w:rsid w:val="008C2CAB"/>
    <w:rsid w:val="008C313D"/>
    <w:rsid w:val="008C34DC"/>
    <w:rsid w:val="008C3F04"/>
    <w:rsid w:val="008C4FCC"/>
    <w:rsid w:val="008C51A3"/>
    <w:rsid w:val="008C56EA"/>
    <w:rsid w:val="008C5BD5"/>
    <w:rsid w:val="008C5CD5"/>
    <w:rsid w:val="008C6747"/>
    <w:rsid w:val="008C6B64"/>
    <w:rsid w:val="008C7569"/>
    <w:rsid w:val="008C7606"/>
    <w:rsid w:val="008C785E"/>
    <w:rsid w:val="008D1146"/>
    <w:rsid w:val="008D1B86"/>
    <w:rsid w:val="008D1C85"/>
    <w:rsid w:val="008D1F2F"/>
    <w:rsid w:val="008D2816"/>
    <w:rsid w:val="008D28F8"/>
    <w:rsid w:val="008D2D4F"/>
    <w:rsid w:val="008D3049"/>
    <w:rsid w:val="008D3110"/>
    <w:rsid w:val="008D3B0A"/>
    <w:rsid w:val="008D42B0"/>
    <w:rsid w:val="008D4763"/>
    <w:rsid w:val="008D49E4"/>
    <w:rsid w:val="008D4A40"/>
    <w:rsid w:val="008D4E68"/>
    <w:rsid w:val="008D50ED"/>
    <w:rsid w:val="008D5572"/>
    <w:rsid w:val="008D5953"/>
    <w:rsid w:val="008D6980"/>
    <w:rsid w:val="008D7393"/>
    <w:rsid w:val="008E1687"/>
    <w:rsid w:val="008E1720"/>
    <w:rsid w:val="008E1862"/>
    <w:rsid w:val="008E2296"/>
    <w:rsid w:val="008E2DB8"/>
    <w:rsid w:val="008E38B7"/>
    <w:rsid w:val="008E44FC"/>
    <w:rsid w:val="008E4CFA"/>
    <w:rsid w:val="008E5250"/>
    <w:rsid w:val="008E686F"/>
    <w:rsid w:val="008E6F23"/>
    <w:rsid w:val="008E744F"/>
    <w:rsid w:val="008E7AB3"/>
    <w:rsid w:val="008F01D4"/>
    <w:rsid w:val="008F0DDF"/>
    <w:rsid w:val="008F12F8"/>
    <w:rsid w:val="008F1A9C"/>
    <w:rsid w:val="008F1B0A"/>
    <w:rsid w:val="008F1C42"/>
    <w:rsid w:val="008F1D73"/>
    <w:rsid w:val="008F2147"/>
    <w:rsid w:val="008F2758"/>
    <w:rsid w:val="008F28C2"/>
    <w:rsid w:val="008F2CBA"/>
    <w:rsid w:val="008F3A80"/>
    <w:rsid w:val="008F4AAB"/>
    <w:rsid w:val="008F4C38"/>
    <w:rsid w:val="008F4DB8"/>
    <w:rsid w:val="008F6069"/>
    <w:rsid w:val="008F7816"/>
    <w:rsid w:val="008F7ADF"/>
    <w:rsid w:val="008F7C0E"/>
    <w:rsid w:val="009000EE"/>
    <w:rsid w:val="0090041C"/>
    <w:rsid w:val="009005F8"/>
    <w:rsid w:val="00900B80"/>
    <w:rsid w:val="0090196F"/>
    <w:rsid w:val="00901ACD"/>
    <w:rsid w:val="00901CA3"/>
    <w:rsid w:val="00902844"/>
    <w:rsid w:val="00902AE6"/>
    <w:rsid w:val="00902AF3"/>
    <w:rsid w:val="00903648"/>
    <w:rsid w:val="00904C77"/>
    <w:rsid w:val="00905552"/>
    <w:rsid w:val="00905558"/>
    <w:rsid w:val="00905D7C"/>
    <w:rsid w:val="00905DDC"/>
    <w:rsid w:val="009063F9"/>
    <w:rsid w:val="00906598"/>
    <w:rsid w:val="00906D47"/>
    <w:rsid w:val="00906DF9"/>
    <w:rsid w:val="00907F0D"/>
    <w:rsid w:val="00910572"/>
    <w:rsid w:val="00911331"/>
    <w:rsid w:val="009128A0"/>
    <w:rsid w:val="009143E8"/>
    <w:rsid w:val="009154E6"/>
    <w:rsid w:val="00915A46"/>
    <w:rsid w:val="00917036"/>
    <w:rsid w:val="00917854"/>
    <w:rsid w:val="009200B3"/>
    <w:rsid w:val="00920111"/>
    <w:rsid w:val="0092014C"/>
    <w:rsid w:val="00920C02"/>
    <w:rsid w:val="009216EB"/>
    <w:rsid w:val="00922AD1"/>
    <w:rsid w:val="00922E70"/>
    <w:rsid w:val="00923A43"/>
    <w:rsid w:val="00923D6A"/>
    <w:rsid w:val="00924366"/>
    <w:rsid w:val="009252BB"/>
    <w:rsid w:val="00925569"/>
    <w:rsid w:val="009258B9"/>
    <w:rsid w:val="0092781F"/>
    <w:rsid w:val="0092795F"/>
    <w:rsid w:val="0093048F"/>
    <w:rsid w:val="00931205"/>
    <w:rsid w:val="0093249E"/>
    <w:rsid w:val="00933289"/>
    <w:rsid w:val="00933ACE"/>
    <w:rsid w:val="009349F1"/>
    <w:rsid w:val="00935AF0"/>
    <w:rsid w:val="00935DE5"/>
    <w:rsid w:val="00936F99"/>
    <w:rsid w:val="00937FBE"/>
    <w:rsid w:val="009405FB"/>
    <w:rsid w:val="009409CF"/>
    <w:rsid w:val="00940A0A"/>
    <w:rsid w:val="00940EEA"/>
    <w:rsid w:val="009410B2"/>
    <w:rsid w:val="0094128E"/>
    <w:rsid w:val="009420E8"/>
    <w:rsid w:val="0094282A"/>
    <w:rsid w:val="00942A7E"/>
    <w:rsid w:val="00943266"/>
    <w:rsid w:val="0094365E"/>
    <w:rsid w:val="00943EC5"/>
    <w:rsid w:val="0094770B"/>
    <w:rsid w:val="0094771B"/>
    <w:rsid w:val="009477EB"/>
    <w:rsid w:val="0094799F"/>
    <w:rsid w:val="00950354"/>
    <w:rsid w:val="0095181C"/>
    <w:rsid w:val="0095274A"/>
    <w:rsid w:val="00953885"/>
    <w:rsid w:val="00953927"/>
    <w:rsid w:val="0095510D"/>
    <w:rsid w:val="009553A4"/>
    <w:rsid w:val="0095553C"/>
    <w:rsid w:val="009561BD"/>
    <w:rsid w:val="009579F7"/>
    <w:rsid w:val="00960669"/>
    <w:rsid w:val="00960842"/>
    <w:rsid w:val="009624B2"/>
    <w:rsid w:val="0096263C"/>
    <w:rsid w:val="0096295D"/>
    <w:rsid w:val="00962EF9"/>
    <w:rsid w:val="00963B7B"/>
    <w:rsid w:val="00963C71"/>
    <w:rsid w:val="00964212"/>
    <w:rsid w:val="00964869"/>
    <w:rsid w:val="00965520"/>
    <w:rsid w:val="009659C3"/>
    <w:rsid w:val="009659DE"/>
    <w:rsid w:val="009661A0"/>
    <w:rsid w:val="00967DDA"/>
    <w:rsid w:val="009707CC"/>
    <w:rsid w:val="00970C89"/>
    <w:rsid w:val="00971099"/>
    <w:rsid w:val="0097149E"/>
    <w:rsid w:val="00972E26"/>
    <w:rsid w:val="00972F97"/>
    <w:rsid w:val="009730EB"/>
    <w:rsid w:val="00973CB6"/>
    <w:rsid w:val="00973E03"/>
    <w:rsid w:val="00974414"/>
    <w:rsid w:val="009745F8"/>
    <w:rsid w:val="00974E2C"/>
    <w:rsid w:val="009756AE"/>
    <w:rsid w:val="009758C8"/>
    <w:rsid w:val="00976809"/>
    <w:rsid w:val="00976C4B"/>
    <w:rsid w:val="00977AF4"/>
    <w:rsid w:val="00980386"/>
    <w:rsid w:val="009804B3"/>
    <w:rsid w:val="00981560"/>
    <w:rsid w:val="00981B0B"/>
    <w:rsid w:val="0098232F"/>
    <w:rsid w:val="00982D46"/>
    <w:rsid w:val="00982E0D"/>
    <w:rsid w:val="00984D85"/>
    <w:rsid w:val="00985667"/>
    <w:rsid w:val="00985D71"/>
    <w:rsid w:val="00985F72"/>
    <w:rsid w:val="00987163"/>
    <w:rsid w:val="00987297"/>
    <w:rsid w:val="00987EB9"/>
    <w:rsid w:val="0099091B"/>
    <w:rsid w:val="00990C7C"/>
    <w:rsid w:val="00990E1C"/>
    <w:rsid w:val="0099125F"/>
    <w:rsid w:val="00991770"/>
    <w:rsid w:val="00991F74"/>
    <w:rsid w:val="009922EC"/>
    <w:rsid w:val="009932A6"/>
    <w:rsid w:val="0099386B"/>
    <w:rsid w:val="00993900"/>
    <w:rsid w:val="0099392D"/>
    <w:rsid w:val="009940D6"/>
    <w:rsid w:val="00994B58"/>
    <w:rsid w:val="00994F4B"/>
    <w:rsid w:val="00994FFA"/>
    <w:rsid w:val="00995BB5"/>
    <w:rsid w:val="009969F5"/>
    <w:rsid w:val="00996AF9"/>
    <w:rsid w:val="00996C3D"/>
    <w:rsid w:val="00996D15"/>
    <w:rsid w:val="0099737B"/>
    <w:rsid w:val="00997436"/>
    <w:rsid w:val="009A0001"/>
    <w:rsid w:val="009A02BB"/>
    <w:rsid w:val="009A02E0"/>
    <w:rsid w:val="009A0EC9"/>
    <w:rsid w:val="009A0FE1"/>
    <w:rsid w:val="009A1086"/>
    <w:rsid w:val="009A116E"/>
    <w:rsid w:val="009A11AD"/>
    <w:rsid w:val="009A13EC"/>
    <w:rsid w:val="009A145F"/>
    <w:rsid w:val="009A238B"/>
    <w:rsid w:val="009A3DF1"/>
    <w:rsid w:val="009A4439"/>
    <w:rsid w:val="009A46F5"/>
    <w:rsid w:val="009A4BE7"/>
    <w:rsid w:val="009A74EF"/>
    <w:rsid w:val="009A7A1D"/>
    <w:rsid w:val="009B0321"/>
    <w:rsid w:val="009B04DF"/>
    <w:rsid w:val="009B04E3"/>
    <w:rsid w:val="009B0D77"/>
    <w:rsid w:val="009B0F1E"/>
    <w:rsid w:val="009B125F"/>
    <w:rsid w:val="009B1467"/>
    <w:rsid w:val="009B22CD"/>
    <w:rsid w:val="009B2AE2"/>
    <w:rsid w:val="009B47C1"/>
    <w:rsid w:val="009B47EA"/>
    <w:rsid w:val="009B504C"/>
    <w:rsid w:val="009B5052"/>
    <w:rsid w:val="009B5AE9"/>
    <w:rsid w:val="009B6416"/>
    <w:rsid w:val="009B6565"/>
    <w:rsid w:val="009B7341"/>
    <w:rsid w:val="009B7758"/>
    <w:rsid w:val="009C013C"/>
    <w:rsid w:val="009C01C0"/>
    <w:rsid w:val="009C09DD"/>
    <w:rsid w:val="009C14F2"/>
    <w:rsid w:val="009C27F0"/>
    <w:rsid w:val="009D0153"/>
    <w:rsid w:val="009D037E"/>
    <w:rsid w:val="009D08F3"/>
    <w:rsid w:val="009D0A3E"/>
    <w:rsid w:val="009D0D18"/>
    <w:rsid w:val="009D15A5"/>
    <w:rsid w:val="009D24D4"/>
    <w:rsid w:val="009D27CE"/>
    <w:rsid w:val="009D2967"/>
    <w:rsid w:val="009D2EA7"/>
    <w:rsid w:val="009D2F49"/>
    <w:rsid w:val="009D2F9A"/>
    <w:rsid w:val="009D32F4"/>
    <w:rsid w:val="009D3678"/>
    <w:rsid w:val="009D3C70"/>
    <w:rsid w:val="009D6355"/>
    <w:rsid w:val="009D6685"/>
    <w:rsid w:val="009D7E73"/>
    <w:rsid w:val="009E0DA0"/>
    <w:rsid w:val="009E1271"/>
    <w:rsid w:val="009E2700"/>
    <w:rsid w:val="009E2E6B"/>
    <w:rsid w:val="009E2E97"/>
    <w:rsid w:val="009E340C"/>
    <w:rsid w:val="009E34BF"/>
    <w:rsid w:val="009E3697"/>
    <w:rsid w:val="009E4621"/>
    <w:rsid w:val="009E4726"/>
    <w:rsid w:val="009E4CB6"/>
    <w:rsid w:val="009E5080"/>
    <w:rsid w:val="009E63AC"/>
    <w:rsid w:val="009E63BC"/>
    <w:rsid w:val="009E72CA"/>
    <w:rsid w:val="009E7759"/>
    <w:rsid w:val="009F09FD"/>
    <w:rsid w:val="009F1295"/>
    <w:rsid w:val="009F1650"/>
    <w:rsid w:val="009F2A79"/>
    <w:rsid w:val="009F36DA"/>
    <w:rsid w:val="009F37C7"/>
    <w:rsid w:val="009F406A"/>
    <w:rsid w:val="009F4912"/>
    <w:rsid w:val="009F5452"/>
    <w:rsid w:val="009F597D"/>
    <w:rsid w:val="009F5CD0"/>
    <w:rsid w:val="009F5EEE"/>
    <w:rsid w:val="009F68BF"/>
    <w:rsid w:val="009F6901"/>
    <w:rsid w:val="009F7412"/>
    <w:rsid w:val="009F780C"/>
    <w:rsid w:val="009F7815"/>
    <w:rsid w:val="009F7CC2"/>
    <w:rsid w:val="00A015B9"/>
    <w:rsid w:val="00A02017"/>
    <w:rsid w:val="00A02EEF"/>
    <w:rsid w:val="00A03469"/>
    <w:rsid w:val="00A04256"/>
    <w:rsid w:val="00A04378"/>
    <w:rsid w:val="00A0471C"/>
    <w:rsid w:val="00A0506D"/>
    <w:rsid w:val="00A05D00"/>
    <w:rsid w:val="00A067AE"/>
    <w:rsid w:val="00A070B0"/>
    <w:rsid w:val="00A07357"/>
    <w:rsid w:val="00A10027"/>
    <w:rsid w:val="00A1245B"/>
    <w:rsid w:val="00A124B9"/>
    <w:rsid w:val="00A12743"/>
    <w:rsid w:val="00A128B2"/>
    <w:rsid w:val="00A12A41"/>
    <w:rsid w:val="00A12CE1"/>
    <w:rsid w:val="00A13053"/>
    <w:rsid w:val="00A131C4"/>
    <w:rsid w:val="00A13CED"/>
    <w:rsid w:val="00A14171"/>
    <w:rsid w:val="00A1525A"/>
    <w:rsid w:val="00A154E9"/>
    <w:rsid w:val="00A15CCA"/>
    <w:rsid w:val="00A170A4"/>
    <w:rsid w:val="00A1742C"/>
    <w:rsid w:val="00A174CC"/>
    <w:rsid w:val="00A20A6C"/>
    <w:rsid w:val="00A216BB"/>
    <w:rsid w:val="00A21BEB"/>
    <w:rsid w:val="00A22C29"/>
    <w:rsid w:val="00A23620"/>
    <w:rsid w:val="00A24079"/>
    <w:rsid w:val="00A24407"/>
    <w:rsid w:val="00A2569A"/>
    <w:rsid w:val="00A25BB7"/>
    <w:rsid w:val="00A25CCD"/>
    <w:rsid w:val="00A26425"/>
    <w:rsid w:val="00A268E2"/>
    <w:rsid w:val="00A269C0"/>
    <w:rsid w:val="00A26C00"/>
    <w:rsid w:val="00A2744F"/>
    <w:rsid w:val="00A275F6"/>
    <w:rsid w:val="00A27D06"/>
    <w:rsid w:val="00A30B11"/>
    <w:rsid w:val="00A30CB1"/>
    <w:rsid w:val="00A31005"/>
    <w:rsid w:val="00A313AF"/>
    <w:rsid w:val="00A31552"/>
    <w:rsid w:val="00A33DEC"/>
    <w:rsid w:val="00A34BD9"/>
    <w:rsid w:val="00A35559"/>
    <w:rsid w:val="00A35755"/>
    <w:rsid w:val="00A36224"/>
    <w:rsid w:val="00A36BBC"/>
    <w:rsid w:val="00A37040"/>
    <w:rsid w:val="00A37E74"/>
    <w:rsid w:val="00A408B7"/>
    <w:rsid w:val="00A41089"/>
    <w:rsid w:val="00A41B47"/>
    <w:rsid w:val="00A4297E"/>
    <w:rsid w:val="00A429E9"/>
    <w:rsid w:val="00A42B22"/>
    <w:rsid w:val="00A42BD6"/>
    <w:rsid w:val="00A43BD6"/>
    <w:rsid w:val="00A44C08"/>
    <w:rsid w:val="00A44F91"/>
    <w:rsid w:val="00A45B14"/>
    <w:rsid w:val="00A46435"/>
    <w:rsid w:val="00A47948"/>
    <w:rsid w:val="00A479FF"/>
    <w:rsid w:val="00A50694"/>
    <w:rsid w:val="00A51799"/>
    <w:rsid w:val="00A52164"/>
    <w:rsid w:val="00A5279F"/>
    <w:rsid w:val="00A55851"/>
    <w:rsid w:val="00A6059D"/>
    <w:rsid w:val="00A61791"/>
    <w:rsid w:val="00A61CA6"/>
    <w:rsid w:val="00A62033"/>
    <w:rsid w:val="00A62D48"/>
    <w:rsid w:val="00A63C42"/>
    <w:rsid w:val="00A6417D"/>
    <w:rsid w:val="00A642F1"/>
    <w:rsid w:val="00A646D1"/>
    <w:rsid w:val="00A646D7"/>
    <w:rsid w:val="00A6478E"/>
    <w:rsid w:val="00A6571A"/>
    <w:rsid w:val="00A65DF2"/>
    <w:rsid w:val="00A66950"/>
    <w:rsid w:val="00A669E6"/>
    <w:rsid w:val="00A66A68"/>
    <w:rsid w:val="00A66EB6"/>
    <w:rsid w:val="00A67746"/>
    <w:rsid w:val="00A7024E"/>
    <w:rsid w:val="00A70428"/>
    <w:rsid w:val="00A70DE3"/>
    <w:rsid w:val="00A71609"/>
    <w:rsid w:val="00A71E77"/>
    <w:rsid w:val="00A724C5"/>
    <w:rsid w:val="00A72548"/>
    <w:rsid w:val="00A72588"/>
    <w:rsid w:val="00A73ED5"/>
    <w:rsid w:val="00A74034"/>
    <w:rsid w:val="00A745F7"/>
    <w:rsid w:val="00A747C4"/>
    <w:rsid w:val="00A75117"/>
    <w:rsid w:val="00A7577B"/>
    <w:rsid w:val="00A75B7E"/>
    <w:rsid w:val="00A75D62"/>
    <w:rsid w:val="00A76152"/>
    <w:rsid w:val="00A76696"/>
    <w:rsid w:val="00A7676B"/>
    <w:rsid w:val="00A76CF4"/>
    <w:rsid w:val="00A77718"/>
    <w:rsid w:val="00A77ABB"/>
    <w:rsid w:val="00A80AB8"/>
    <w:rsid w:val="00A812B3"/>
    <w:rsid w:val="00A81CF5"/>
    <w:rsid w:val="00A83816"/>
    <w:rsid w:val="00A83FBA"/>
    <w:rsid w:val="00A84A7F"/>
    <w:rsid w:val="00A84AA4"/>
    <w:rsid w:val="00A84E06"/>
    <w:rsid w:val="00A870BC"/>
    <w:rsid w:val="00A87D45"/>
    <w:rsid w:val="00A9037D"/>
    <w:rsid w:val="00A90FF0"/>
    <w:rsid w:val="00A91842"/>
    <w:rsid w:val="00A924BC"/>
    <w:rsid w:val="00A93568"/>
    <w:rsid w:val="00A94A48"/>
    <w:rsid w:val="00A94C0B"/>
    <w:rsid w:val="00A95500"/>
    <w:rsid w:val="00A956E0"/>
    <w:rsid w:val="00A95869"/>
    <w:rsid w:val="00A95DFC"/>
    <w:rsid w:val="00A96759"/>
    <w:rsid w:val="00A969DE"/>
    <w:rsid w:val="00A97533"/>
    <w:rsid w:val="00A975EE"/>
    <w:rsid w:val="00A97E74"/>
    <w:rsid w:val="00AA10B9"/>
    <w:rsid w:val="00AA110C"/>
    <w:rsid w:val="00AA1822"/>
    <w:rsid w:val="00AA1E1E"/>
    <w:rsid w:val="00AA297D"/>
    <w:rsid w:val="00AA2A14"/>
    <w:rsid w:val="00AA2BB1"/>
    <w:rsid w:val="00AA2E9C"/>
    <w:rsid w:val="00AA3A86"/>
    <w:rsid w:val="00AA4D0F"/>
    <w:rsid w:val="00AA4D17"/>
    <w:rsid w:val="00AA4E70"/>
    <w:rsid w:val="00AA5205"/>
    <w:rsid w:val="00AA6AF0"/>
    <w:rsid w:val="00AA6E49"/>
    <w:rsid w:val="00AA7ADA"/>
    <w:rsid w:val="00AB01EE"/>
    <w:rsid w:val="00AB0225"/>
    <w:rsid w:val="00AB1185"/>
    <w:rsid w:val="00AB124E"/>
    <w:rsid w:val="00AB153B"/>
    <w:rsid w:val="00AB1794"/>
    <w:rsid w:val="00AB188D"/>
    <w:rsid w:val="00AB2071"/>
    <w:rsid w:val="00AB3248"/>
    <w:rsid w:val="00AB3943"/>
    <w:rsid w:val="00AB522D"/>
    <w:rsid w:val="00AB598C"/>
    <w:rsid w:val="00AB65AB"/>
    <w:rsid w:val="00AB67BF"/>
    <w:rsid w:val="00AB68F2"/>
    <w:rsid w:val="00AB6D51"/>
    <w:rsid w:val="00AB6FF8"/>
    <w:rsid w:val="00AB7261"/>
    <w:rsid w:val="00AB731C"/>
    <w:rsid w:val="00AC044E"/>
    <w:rsid w:val="00AC103C"/>
    <w:rsid w:val="00AC1684"/>
    <w:rsid w:val="00AC1BA1"/>
    <w:rsid w:val="00AC1FBB"/>
    <w:rsid w:val="00AC1FBC"/>
    <w:rsid w:val="00AC2213"/>
    <w:rsid w:val="00AC269A"/>
    <w:rsid w:val="00AC2CB4"/>
    <w:rsid w:val="00AC33B2"/>
    <w:rsid w:val="00AC4D5D"/>
    <w:rsid w:val="00AC55E2"/>
    <w:rsid w:val="00AC61EE"/>
    <w:rsid w:val="00AC65DC"/>
    <w:rsid w:val="00AC6F79"/>
    <w:rsid w:val="00AC7548"/>
    <w:rsid w:val="00AC7711"/>
    <w:rsid w:val="00AC7958"/>
    <w:rsid w:val="00AD0453"/>
    <w:rsid w:val="00AD13C4"/>
    <w:rsid w:val="00AD1696"/>
    <w:rsid w:val="00AD1F69"/>
    <w:rsid w:val="00AD21C7"/>
    <w:rsid w:val="00AD2DFF"/>
    <w:rsid w:val="00AD3359"/>
    <w:rsid w:val="00AD39CB"/>
    <w:rsid w:val="00AD3BAA"/>
    <w:rsid w:val="00AD789C"/>
    <w:rsid w:val="00AE00F4"/>
    <w:rsid w:val="00AE0316"/>
    <w:rsid w:val="00AE08D6"/>
    <w:rsid w:val="00AE0C44"/>
    <w:rsid w:val="00AE1017"/>
    <w:rsid w:val="00AE206F"/>
    <w:rsid w:val="00AE42C5"/>
    <w:rsid w:val="00AE45DB"/>
    <w:rsid w:val="00AE554A"/>
    <w:rsid w:val="00AE6B55"/>
    <w:rsid w:val="00AF269C"/>
    <w:rsid w:val="00AF28DD"/>
    <w:rsid w:val="00AF2C66"/>
    <w:rsid w:val="00AF301C"/>
    <w:rsid w:val="00AF4E5F"/>
    <w:rsid w:val="00AF5D6E"/>
    <w:rsid w:val="00AF7217"/>
    <w:rsid w:val="00AF7A6E"/>
    <w:rsid w:val="00B00433"/>
    <w:rsid w:val="00B00444"/>
    <w:rsid w:val="00B01D81"/>
    <w:rsid w:val="00B020A5"/>
    <w:rsid w:val="00B02480"/>
    <w:rsid w:val="00B02E13"/>
    <w:rsid w:val="00B0492D"/>
    <w:rsid w:val="00B05160"/>
    <w:rsid w:val="00B051B5"/>
    <w:rsid w:val="00B05966"/>
    <w:rsid w:val="00B06854"/>
    <w:rsid w:val="00B06B51"/>
    <w:rsid w:val="00B0773B"/>
    <w:rsid w:val="00B07955"/>
    <w:rsid w:val="00B10605"/>
    <w:rsid w:val="00B10F31"/>
    <w:rsid w:val="00B121A5"/>
    <w:rsid w:val="00B124E7"/>
    <w:rsid w:val="00B12B5B"/>
    <w:rsid w:val="00B135A6"/>
    <w:rsid w:val="00B142FB"/>
    <w:rsid w:val="00B14559"/>
    <w:rsid w:val="00B149A7"/>
    <w:rsid w:val="00B14E77"/>
    <w:rsid w:val="00B158C4"/>
    <w:rsid w:val="00B15E4B"/>
    <w:rsid w:val="00B15F5E"/>
    <w:rsid w:val="00B16AD5"/>
    <w:rsid w:val="00B16D61"/>
    <w:rsid w:val="00B177AF"/>
    <w:rsid w:val="00B17F7E"/>
    <w:rsid w:val="00B204F1"/>
    <w:rsid w:val="00B20894"/>
    <w:rsid w:val="00B20B4C"/>
    <w:rsid w:val="00B22046"/>
    <w:rsid w:val="00B22085"/>
    <w:rsid w:val="00B22852"/>
    <w:rsid w:val="00B22B86"/>
    <w:rsid w:val="00B22E92"/>
    <w:rsid w:val="00B23006"/>
    <w:rsid w:val="00B231F8"/>
    <w:rsid w:val="00B23BFA"/>
    <w:rsid w:val="00B24650"/>
    <w:rsid w:val="00B2560C"/>
    <w:rsid w:val="00B25777"/>
    <w:rsid w:val="00B268DA"/>
    <w:rsid w:val="00B2794D"/>
    <w:rsid w:val="00B27B12"/>
    <w:rsid w:val="00B30B7D"/>
    <w:rsid w:val="00B3197E"/>
    <w:rsid w:val="00B32097"/>
    <w:rsid w:val="00B32CEF"/>
    <w:rsid w:val="00B3377A"/>
    <w:rsid w:val="00B33D8D"/>
    <w:rsid w:val="00B359BA"/>
    <w:rsid w:val="00B36772"/>
    <w:rsid w:val="00B370E8"/>
    <w:rsid w:val="00B37801"/>
    <w:rsid w:val="00B42395"/>
    <w:rsid w:val="00B43718"/>
    <w:rsid w:val="00B43DE4"/>
    <w:rsid w:val="00B446A7"/>
    <w:rsid w:val="00B44DD5"/>
    <w:rsid w:val="00B454F8"/>
    <w:rsid w:val="00B45A4C"/>
    <w:rsid w:val="00B4614F"/>
    <w:rsid w:val="00B47633"/>
    <w:rsid w:val="00B505CD"/>
    <w:rsid w:val="00B50AB6"/>
    <w:rsid w:val="00B51D03"/>
    <w:rsid w:val="00B52B21"/>
    <w:rsid w:val="00B52C2A"/>
    <w:rsid w:val="00B52D5A"/>
    <w:rsid w:val="00B54AA8"/>
    <w:rsid w:val="00B54EA5"/>
    <w:rsid w:val="00B553FB"/>
    <w:rsid w:val="00B55499"/>
    <w:rsid w:val="00B56F02"/>
    <w:rsid w:val="00B57496"/>
    <w:rsid w:val="00B57641"/>
    <w:rsid w:val="00B57BB0"/>
    <w:rsid w:val="00B57CD7"/>
    <w:rsid w:val="00B609E5"/>
    <w:rsid w:val="00B60B42"/>
    <w:rsid w:val="00B6137B"/>
    <w:rsid w:val="00B61BED"/>
    <w:rsid w:val="00B61C82"/>
    <w:rsid w:val="00B62152"/>
    <w:rsid w:val="00B62748"/>
    <w:rsid w:val="00B6321F"/>
    <w:rsid w:val="00B63916"/>
    <w:rsid w:val="00B63CF2"/>
    <w:rsid w:val="00B64BB5"/>
    <w:rsid w:val="00B64F2E"/>
    <w:rsid w:val="00B65AA3"/>
    <w:rsid w:val="00B67C06"/>
    <w:rsid w:val="00B67CE2"/>
    <w:rsid w:val="00B705E8"/>
    <w:rsid w:val="00B72060"/>
    <w:rsid w:val="00B72132"/>
    <w:rsid w:val="00B7339E"/>
    <w:rsid w:val="00B7345F"/>
    <w:rsid w:val="00B738AB"/>
    <w:rsid w:val="00B73A18"/>
    <w:rsid w:val="00B74547"/>
    <w:rsid w:val="00B74E7B"/>
    <w:rsid w:val="00B758D0"/>
    <w:rsid w:val="00B7725C"/>
    <w:rsid w:val="00B7731B"/>
    <w:rsid w:val="00B7796D"/>
    <w:rsid w:val="00B77A31"/>
    <w:rsid w:val="00B77C41"/>
    <w:rsid w:val="00B77EB2"/>
    <w:rsid w:val="00B802CA"/>
    <w:rsid w:val="00B80946"/>
    <w:rsid w:val="00B80A1B"/>
    <w:rsid w:val="00B80D39"/>
    <w:rsid w:val="00B814BC"/>
    <w:rsid w:val="00B81669"/>
    <w:rsid w:val="00B836C9"/>
    <w:rsid w:val="00B836F5"/>
    <w:rsid w:val="00B83B3C"/>
    <w:rsid w:val="00B83C91"/>
    <w:rsid w:val="00B83DF5"/>
    <w:rsid w:val="00B84385"/>
    <w:rsid w:val="00B84CB6"/>
    <w:rsid w:val="00B85498"/>
    <w:rsid w:val="00B85E63"/>
    <w:rsid w:val="00B86BB7"/>
    <w:rsid w:val="00B87BF2"/>
    <w:rsid w:val="00B87CFF"/>
    <w:rsid w:val="00B87E79"/>
    <w:rsid w:val="00B87FED"/>
    <w:rsid w:val="00B907B5"/>
    <w:rsid w:val="00B910D8"/>
    <w:rsid w:val="00B91871"/>
    <w:rsid w:val="00B918D5"/>
    <w:rsid w:val="00B91DE7"/>
    <w:rsid w:val="00B934FC"/>
    <w:rsid w:val="00B936D6"/>
    <w:rsid w:val="00B936F4"/>
    <w:rsid w:val="00B93B7D"/>
    <w:rsid w:val="00B93BAC"/>
    <w:rsid w:val="00B9461A"/>
    <w:rsid w:val="00B949E8"/>
    <w:rsid w:val="00B95375"/>
    <w:rsid w:val="00B95A66"/>
    <w:rsid w:val="00B95C11"/>
    <w:rsid w:val="00B96F7E"/>
    <w:rsid w:val="00B9736E"/>
    <w:rsid w:val="00B97A4B"/>
    <w:rsid w:val="00B97BE5"/>
    <w:rsid w:val="00BA0949"/>
    <w:rsid w:val="00BA1A1D"/>
    <w:rsid w:val="00BA256D"/>
    <w:rsid w:val="00BA39ED"/>
    <w:rsid w:val="00BA3DBF"/>
    <w:rsid w:val="00BA4002"/>
    <w:rsid w:val="00BA4136"/>
    <w:rsid w:val="00BA4890"/>
    <w:rsid w:val="00BA4F4E"/>
    <w:rsid w:val="00BA6DA0"/>
    <w:rsid w:val="00BB0C09"/>
    <w:rsid w:val="00BB3E3B"/>
    <w:rsid w:val="00BB47A8"/>
    <w:rsid w:val="00BB49FC"/>
    <w:rsid w:val="00BB5C7D"/>
    <w:rsid w:val="00BB66F5"/>
    <w:rsid w:val="00BB6E80"/>
    <w:rsid w:val="00BB736E"/>
    <w:rsid w:val="00BC10CE"/>
    <w:rsid w:val="00BC1F5F"/>
    <w:rsid w:val="00BC1FC3"/>
    <w:rsid w:val="00BC294E"/>
    <w:rsid w:val="00BC3F42"/>
    <w:rsid w:val="00BC458E"/>
    <w:rsid w:val="00BC45B7"/>
    <w:rsid w:val="00BC4653"/>
    <w:rsid w:val="00BC4AD7"/>
    <w:rsid w:val="00BC4E7C"/>
    <w:rsid w:val="00BC51B6"/>
    <w:rsid w:val="00BC5961"/>
    <w:rsid w:val="00BC5BB6"/>
    <w:rsid w:val="00BC5F53"/>
    <w:rsid w:val="00BC6905"/>
    <w:rsid w:val="00BC6A23"/>
    <w:rsid w:val="00BC6B1D"/>
    <w:rsid w:val="00BC713D"/>
    <w:rsid w:val="00BC75F1"/>
    <w:rsid w:val="00BC78C6"/>
    <w:rsid w:val="00BD1097"/>
    <w:rsid w:val="00BD12F8"/>
    <w:rsid w:val="00BD1C82"/>
    <w:rsid w:val="00BD264B"/>
    <w:rsid w:val="00BD26A1"/>
    <w:rsid w:val="00BD3246"/>
    <w:rsid w:val="00BD4FCE"/>
    <w:rsid w:val="00BD50FE"/>
    <w:rsid w:val="00BD5B45"/>
    <w:rsid w:val="00BD65FA"/>
    <w:rsid w:val="00BD6BCE"/>
    <w:rsid w:val="00BD7046"/>
    <w:rsid w:val="00BE0046"/>
    <w:rsid w:val="00BE112E"/>
    <w:rsid w:val="00BE172B"/>
    <w:rsid w:val="00BE1C90"/>
    <w:rsid w:val="00BE2630"/>
    <w:rsid w:val="00BE39C8"/>
    <w:rsid w:val="00BE3E19"/>
    <w:rsid w:val="00BE3FDE"/>
    <w:rsid w:val="00BE42CA"/>
    <w:rsid w:val="00BE54F6"/>
    <w:rsid w:val="00BE5D50"/>
    <w:rsid w:val="00BE5E5E"/>
    <w:rsid w:val="00BE6447"/>
    <w:rsid w:val="00BE7117"/>
    <w:rsid w:val="00BF0AD3"/>
    <w:rsid w:val="00BF0E57"/>
    <w:rsid w:val="00BF0ECF"/>
    <w:rsid w:val="00BF108C"/>
    <w:rsid w:val="00BF21BB"/>
    <w:rsid w:val="00BF21EE"/>
    <w:rsid w:val="00BF265A"/>
    <w:rsid w:val="00BF2D4D"/>
    <w:rsid w:val="00BF3A5C"/>
    <w:rsid w:val="00BF4292"/>
    <w:rsid w:val="00BF4AD4"/>
    <w:rsid w:val="00BF4B31"/>
    <w:rsid w:val="00BF4CBD"/>
    <w:rsid w:val="00BF4DE2"/>
    <w:rsid w:val="00BF55A9"/>
    <w:rsid w:val="00BF5F2D"/>
    <w:rsid w:val="00BF6E8C"/>
    <w:rsid w:val="00BF70D6"/>
    <w:rsid w:val="00BF78CA"/>
    <w:rsid w:val="00BF7A1C"/>
    <w:rsid w:val="00BF7A46"/>
    <w:rsid w:val="00BF7CDF"/>
    <w:rsid w:val="00C00E91"/>
    <w:rsid w:val="00C01140"/>
    <w:rsid w:val="00C01D97"/>
    <w:rsid w:val="00C021AB"/>
    <w:rsid w:val="00C02956"/>
    <w:rsid w:val="00C032C7"/>
    <w:rsid w:val="00C03AAC"/>
    <w:rsid w:val="00C03B70"/>
    <w:rsid w:val="00C03BE6"/>
    <w:rsid w:val="00C054B6"/>
    <w:rsid w:val="00C05748"/>
    <w:rsid w:val="00C05A18"/>
    <w:rsid w:val="00C05D28"/>
    <w:rsid w:val="00C064DE"/>
    <w:rsid w:val="00C06FFF"/>
    <w:rsid w:val="00C07194"/>
    <w:rsid w:val="00C07723"/>
    <w:rsid w:val="00C07F6B"/>
    <w:rsid w:val="00C103EC"/>
    <w:rsid w:val="00C10E06"/>
    <w:rsid w:val="00C10EBD"/>
    <w:rsid w:val="00C11003"/>
    <w:rsid w:val="00C114A3"/>
    <w:rsid w:val="00C119EF"/>
    <w:rsid w:val="00C11C1F"/>
    <w:rsid w:val="00C11CEB"/>
    <w:rsid w:val="00C1230D"/>
    <w:rsid w:val="00C128A6"/>
    <w:rsid w:val="00C128FA"/>
    <w:rsid w:val="00C12922"/>
    <w:rsid w:val="00C1302B"/>
    <w:rsid w:val="00C13551"/>
    <w:rsid w:val="00C13E4B"/>
    <w:rsid w:val="00C14118"/>
    <w:rsid w:val="00C141B1"/>
    <w:rsid w:val="00C14793"/>
    <w:rsid w:val="00C15176"/>
    <w:rsid w:val="00C156D4"/>
    <w:rsid w:val="00C15DB4"/>
    <w:rsid w:val="00C16552"/>
    <w:rsid w:val="00C1665B"/>
    <w:rsid w:val="00C17A75"/>
    <w:rsid w:val="00C202EA"/>
    <w:rsid w:val="00C2090E"/>
    <w:rsid w:val="00C20B11"/>
    <w:rsid w:val="00C20FCC"/>
    <w:rsid w:val="00C21153"/>
    <w:rsid w:val="00C21B16"/>
    <w:rsid w:val="00C23034"/>
    <w:rsid w:val="00C2506B"/>
    <w:rsid w:val="00C252C7"/>
    <w:rsid w:val="00C254EB"/>
    <w:rsid w:val="00C25859"/>
    <w:rsid w:val="00C259D9"/>
    <w:rsid w:val="00C25C45"/>
    <w:rsid w:val="00C2618A"/>
    <w:rsid w:val="00C27594"/>
    <w:rsid w:val="00C275F1"/>
    <w:rsid w:val="00C303C2"/>
    <w:rsid w:val="00C31357"/>
    <w:rsid w:val="00C32625"/>
    <w:rsid w:val="00C3280E"/>
    <w:rsid w:val="00C3387E"/>
    <w:rsid w:val="00C33A0E"/>
    <w:rsid w:val="00C348FA"/>
    <w:rsid w:val="00C34D1F"/>
    <w:rsid w:val="00C3556D"/>
    <w:rsid w:val="00C37063"/>
    <w:rsid w:val="00C371D9"/>
    <w:rsid w:val="00C4038A"/>
    <w:rsid w:val="00C403BE"/>
    <w:rsid w:val="00C40AAB"/>
    <w:rsid w:val="00C40B57"/>
    <w:rsid w:val="00C4103F"/>
    <w:rsid w:val="00C41D2B"/>
    <w:rsid w:val="00C41D3F"/>
    <w:rsid w:val="00C41DC7"/>
    <w:rsid w:val="00C421E8"/>
    <w:rsid w:val="00C42EAB"/>
    <w:rsid w:val="00C42F46"/>
    <w:rsid w:val="00C4391A"/>
    <w:rsid w:val="00C43D37"/>
    <w:rsid w:val="00C43E6B"/>
    <w:rsid w:val="00C445FA"/>
    <w:rsid w:val="00C458B7"/>
    <w:rsid w:val="00C45CC1"/>
    <w:rsid w:val="00C46885"/>
    <w:rsid w:val="00C46F39"/>
    <w:rsid w:val="00C52947"/>
    <w:rsid w:val="00C52E01"/>
    <w:rsid w:val="00C53C16"/>
    <w:rsid w:val="00C54331"/>
    <w:rsid w:val="00C54495"/>
    <w:rsid w:val="00C55088"/>
    <w:rsid w:val="00C55585"/>
    <w:rsid w:val="00C55D16"/>
    <w:rsid w:val="00C56192"/>
    <w:rsid w:val="00C56514"/>
    <w:rsid w:val="00C572C3"/>
    <w:rsid w:val="00C60F3E"/>
    <w:rsid w:val="00C6223B"/>
    <w:rsid w:val="00C62DED"/>
    <w:rsid w:val="00C6304E"/>
    <w:rsid w:val="00C633C2"/>
    <w:rsid w:val="00C635D3"/>
    <w:rsid w:val="00C64091"/>
    <w:rsid w:val="00C646F5"/>
    <w:rsid w:val="00C6542F"/>
    <w:rsid w:val="00C66368"/>
    <w:rsid w:val="00C66695"/>
    <w:rsid w:val="00C669E0"/>
    <w:rsid w:val="00C66B69"/>
    <w:rsid w:val="00C67367"/>
    <w:rsid w:val="00C67E7D"/>
    <w:rsid w:val="00C7089A"/>
    <w:rsid w:val="00C70E61"/>
    <w:rsid w:val="00C713EC"/>
    <w:rsid w:val="00C71CF4"/>
    <w:rsid w:val="00C73CB4"/>
    <w:rsid w:val="00C745E2"/>
    <w:rsid w:val="00C745E6"/>
    <w:rsid w:val="00C74634"/>
    <w:rsid w:val="00C75291"/>
    <w:rsid w:val="00C763A0"/>
    <w:rsid w:val="00C76506"/>
    <w:rsid w:val="00C77CB1"/>
    <w:rsid w:val="00C804DF"/>
    <w:rsid w:val="00C8248A"/>
    <w:rsid w:val="00C8452B"/>
    <w:rsid w:val="00C846FE"/>
    <w:rsid w:val="00C84EB9"/>
    <w:rsid w:val="00C85F4A"/>
    <w:rsid w:val="00C86D04"/>
    <w:rsid w:val="00C86D75"/>
    <w:rsid w:val="00C86E25"/>
    <w:rsid w:val="00C8700C"/>
    <w:rsid w:val="00C8736A"/>
    <w:rsid w:val="00C87BE8"/>
    <w:rsid w:val="00C90548"/>
    <w:rsid w:val="00C90D8E"/>
    <w:rsid w:val="00C90F06"/>
    <w:rsid w:val="00C91367"/>
    <w:rsid w:val="00C913D4"/>
    <w:rsid w:val="00C9197C"/>
    <w:rsid w:val="00C91F6C"/>
    <w:rsid w:val="00C92413"/>
    <w:rsid w:val="00C92723"/>
    <w:rsid w:val="00C9392E"/>
    <w:rsid w:val="00C93961"/>
    <w:rsid w:val="00C9454C"/>
    <w:rsid w:val="00C94844"/>
    <w:rsid w:val="00C94DE0"/>
    <w:rsid w:val="00C957A7"/>
    <w:rsid w:val="00C95983"/>
    <w:rsid w:val="00C95BB5"/>
    <w:rsid w:val="00C96087"/>
    <w:rsid w:val="00CA04E0"/>
    <w:rsid w:val="00CA0FAC"/>
    <w:rsid w:val="00CA1E58"/>
    <w:rsid w:val="00CA32BA"/>
    <w:rsid w:val="00CA35C3"/>
    <w:rsid w:val="00CA52F0"/>
    <w:rsid w:val="00CA54A7"/>
    <w:rsid w:val="00CA5777"/>
    <w:rsid w:val="00CA5778"/>
    <w:rsid w:val="00CA5954"/>
    <w:rsid w:val="00CA667A"/>
    <w:rsid w:val="00CA6980"/>
    <w:rsid w:val="00CA79E2"/>
    <w:rsid w:val="00CB0437"/>
    <w:rsid w:val="00CB05B5"/>
    <w:rsid w:val="00CB2153"/>
    <w:rsid w:val="00CB217B"/>
    <w:rsid w:val="00CB2C37"/>
    <w:rsid w:val="00CB2D5C"/>
    <w:rsid w:val="00CB33E9"/>
    <w:rsid w:val="00CB3DD3"/>
    <w:rsid w:val="00CB47F5"/>
    <w:rsid w:val="00CB559E"/>
    <w:rsid w:val="00CB5F5A"/>
    <w:rsid w:val="00CB691A"/>
    <w:rsid w:val="00CB7743"/>
    <w:rsid w:val="00CB7891"/>
    <w:rsid w:val="00CC2C09"/>
    <w:rsid w:val="00CC3C45"/>
    <w:rsid w:val="00CC478D"/>
    <w:rsid w:val="00CC546D"/>
    <w:rsid w:val="00CC635B"/>
    <w:rsid w:val="00CC6BF8"/>
    <w:rsid w:val="00CC6F9F"/>
    <w:rsid w:val="00CC7033"/>
    <w:rsid w:val="00CC70AB"/>
    <w:rsid w:val="00CC7B1C"/>
    <w:rsid w:val="00CC7D7A"/>
    <w:rsid w:val="00CD0929"/>
    <w:rsid w:val="00CD28C0"/>
    <w:rsid w:val="00CD2B07"/>
    <w:rsid w:val="00CD2D9B"/>
    <w:rsid w:val="00CD33FC"/>
    <w:rsid w:val="00CD3643"/>
    <w:rsid w:val="00CD39B1"/>
    <w:rsid w:val="00CD565E"/>
    <w:rsid w:val="00CD5C94"/>
    <w:rsid w:val="00CD5E1F"/>
    <w:rsid w:val="00CD72FA"/>
    <w:rsid w:val="00CD7B64"/>
    <w:rsid w:val="00CE026A"/>
    <w:rsid w:val="00CE086C"/>
    <w:rsid w:val="00CE0C47"/>
    <w:rsid w:val="00CE22CF"/>
    <w:rsid w:val="00CE28C2"/>
    <w:rsid w:val="00CE3AA9"/>
    <w:rsid w:val="00CE3CEC"/>
    <w:rsid w:val="00CE3E6E"/>
    <w:rsid w:val="00CE4C81"/>
    <w:rsid w:val="00CE59F1"/>
    <w:rsid w:val="00CE5FE4"/>
    <w:rsid w:val="00CE60E0"/>
    <w:rsid w:val="00CE7F18"/>
    <w:rsid w:val="00CF053D"/>
    <w:rsid w:val="00CF0BEA"/>
    <w:rsid w:val="00CF0F7C"/>
    <w:rsid w:val="00CF1FCF"/>
    <w:rsid w:val="00CF27C0"/>
    <w:rsid w:val="00CF2960"/>
    <w:rsid w:val="00CF3488"/>
    <w:rsid w:val="00CF3C9C"/>
    <w:rsid w:val="00CF4A46"/>
    <w:rsid w:val="00CF4C68"/>
    <w:rsid w:val="00CF4CA6"/>
    <w:rsid w:val="00CF4E5D"/>
    <w:rsid w:val="00CF5C10"/>
    <w:rsid w:val="00CF64DB"/>
    <w:rsid w:val="00CF737A"/>
    <w:rsid w:val="00CF7DA5"/>
    <w:rsid w:val="00D01041"/>
    <w:rsid w:val="00D01133"/>
    <w:rsid w:val="00D015E0"/>
    <w:rsid w:val="00D01966"/>
    <w:rsid w:val="00D02300"/>
    <w:rsid w:val="00D02BCA"/>
    <w:rsid w:val="00D034C2"/>
    <w:rsid w:val="00D03917"/>
    <w:rsid w:val="00D04A78"/>
    <w:rsid w:val="00D04C95"/>
    <w:rsid w:val="00D05107"/>
    <w:rsid w:val="00D0542D"/>
    <w:rsid w:val="00D06764"/>
    <w:rsid w:val="00D071E0"/>
    <w:rsid w:val="00D075A9"/>
    <w:rsid w:val="00D078AB"/>
    <w:rsid w:val="00D101BB"/>
    <w:rsid w:val="00D109DC"/>
    <w:rsid w:val="00D10A6B"/>
    <w:rsid w:val="00D13A50"/>
    <w:rsid w:val="00D13AE2"/>
    <w:rsid w:val="00D14C39"/>
    <w:rsid w:val="00D14EF1"/>
    <w:rsid w:val="00D15849"/>
    <w:rsid w:val="00D171BF"/>
    <w:rsid w:val="00D174E3"/>
    <w:rsid w:val="00D17C26"/>
    <w:rsid w:val="00D202EA"/>
    <w:rsid w:val="00D203C8"/>
    <w:rsid w:val="00D214C6"/>
    <w:rsid w:val="00D2164C"/>
    <w:rsid w:val="00D216F6"/>
    <w:rsid w:val="00D217F6"/>
    <w:rsid w:val="00D21DAA"/>
    <w:rsid w:val="00D22326"/>
    <w:rsid w:val="00D228C0"/>
    <w:rsid w:val="00D2315A"/>
    <w:rsid w:val="00D24098"/>
    <w:rsid w:val="00D24603"/>
    <w:rsid w:val="00D24D4D"/>
    <w:rsid w:val="00D24F1E"/>
    <w:rsid w:val="00D25943"/>
    <w:rsid w:val="00D26249"/>
    <w:rsid w:val="00D27316"/>
    <w:rsid w:val="00D27459"/>
    <w:rsid w:val="00D30B1F"/>
    <w:rsid w:val="00D320E4"/>
    <w:rsid w:val="00D3280F"/>
    <w:rsid w:val="00D339C3"/>
    <w:rsid w:val="00D33C2D"/>
    <w:rsid w:val="00D33C4D"/>
    <w:rsid w:val="00D346F9"/>
    <w:rsid w:val="00D34E87"/>
    <w:rsid w:val="00D356F8"/>
    <w:rsid w:val="00D3594D"/>
    <w:rsid w:val="00D360F7"/>
    <w:rsid w:val="00D36B8A"/>
    <w:rsid w:val="00D4067E"/>
    <w:rsid w:val="00D4196D"/>
    <w:rsid w:val="00D425F2"/>
    <w:rsid w:val="00D427EB"/>
    <w:rsid w:val="00D42A76"/>
    <w:rsid w:val="00D434BC"/>
    <w:rsid w:val="00D4428B"/>
    <w:rsid w:val="00D44717"/>
    <w:rsid w:val="00D45887"/>
    <w:rsid w:val="00D4592A"/>
    <w:rsid w:val="00D46F37"/>
    <w:rsid w:val="00D507B0"/>
    <w:rsid w:val="00D50E68"/>
    <w:rsid w:val="00D50FF0"/>
    <w:rsid w:val="00D51B5A"/>
    <w:rsid w:val="00D520C8"/>
    <w:rsid w:val="00D52594"/>
    <w:rsid w:val="00D53235"/>
    <w:rsid w:val="00D533BA"/>
    <w:rsid w:val="00D54F80"/>
    <w:rsid w:val="00D55034"/>
    <w:rsid w:val="00D55824"/>
    <w:rsid w:val="00D566A9"/>
    <w:rsid w:val="00D5779C"/>
    <w:rsid w:val="00D57DA6"/>
    <w:rsid w:val="00D606A8"/>
    <w:rsid w:val="00D61A5F"/>
    <w:rsid w:val="00D61AB0"/>
    <w:rsid w:val="00D61C70"/>
    <w:rsid w:val="00D61D77"/>
    <w:rsid w:val="00D61EDE"/>
    <w:rsid w:val="00D61F24"/>
    <w:rsid w:val="00D62A6D"/>
    <w:rsid w:val="00D62CB3"/>
    <w:rsid w:val="00D63662"/>
    <w:rsid w:val="00D644A3"/>
    <w:rsid w:val="00D6473F"/>
    <w:rsid w:val="00D64D6F"/>
    <w:rsid w:val="00D65D11"/>
    <w:rsid w:val="00D66316"/>
    <w:rsid w:val="00D66537"/>
    <w:rsid w:val="00D669F8"/>
    <w:rsid w:val="00D67C86"/>
    <w:rsid w:val="00D70124"/>
    <w:rsid w:val="00D70BAF"/>
    <w:rsid w:val="00D70E23"/>
    <w:rsid w:val="00D71DB1"/>
    <w:rsid w:val="00D71F27"/>
    <w:rsid w:val="00D7294D"/>
    <w:rsid w:val="00D735A9"/>
    <w:rsid w:val="00D743C9"/>
    <w:rsid w:val="00D7498D"/>
    <w:rsid w:val="00D75E88"/>
    <w:rsid w:val="00D76211"/>
    <w:rsid w:val="00D76275"/>
    <w:rsid w:val="00D76D7B"/>
    <w:rsid w:val="00D801FF"/>
    <w:rsid w:val="00D80E26"/>
    <w:rsid w:val="00D8158D"/>
    <w:rsid w:val="00D8250F"/>
    <w:rsid w:val="00D8252D"/>
    <w:rsid w:val="00D825BA"/>
    <w:rsid w:val="00D82C32"/>
    <w:rsid w:val="00D837A5"/>
    <w:rsid w:val="00D83BB7"/>
    <w:rsid w:val="00D83F23"/>
    <w:rsid w:val="00D84252"/>
    <w:rsid w:val="00D84883"/>
    <w:rsid w:val="00D8540C"/>
    <w:rsid w:val="00D85440"/>
    <w:rsid w:val="00D85617"/>
    <w:rsid w:val="00D86893"/>
    <w:rsid w:val="00D870ED"/>
    <w:rsid w:val="00D87194"/>
    <w:rsid w:val="00D92BBC"/>
    <w:rsid w:val="00D93D0D"/>
    <w:rsid w:val="00D93D3E"/>
    <w:rsid w:val="00D93E7C"/>
    <w:rsid w:val="00D94614"/>
    <w:rsid w:val="00D94978"/>
    <w:rsid w:val="00D94D43"/>
    <w:rsid w:val="00D94DDE"/>
    <w:rsid w:val="00D94F31"/>
    <w:rsid w:val="00D953AA"/>
    <w:rsid w:val="00D957D1"/>
    <w:rsid w:val="00D96E5C"/>
    <w:rsid w:val="00D97747"/>
    <w:rsid w:val="00D97B2D"/>
    <w:rsid w:val="00D97FD3"/>
    <w:rsid w:val="00DA02BB"/>
    <w:rsid w:val="00DA06B1"/>
    <w:rsid w:val="00DA0FA9"/>
    <w:rsid w:val="00DA149E"/>
    <w:rsid w:val="00DA1C9E"/>
    <w:rsid w:val="00DA1D18"/>
    <w:rsid w:val="00DA1F45"/>
    <w:rsid w:val="00DA2096"/>
    <w:rsid w:val="00DA2118"/>
    <w:rsid w:val="00DA28C0"/>
    <w:rsid w:val="00DA32A8"/>
    <w:rsid w:val="00DA337F"/>
    <w:rsid w:val="00DA3B6E"/>
    <w:rsid w:val="00DA4797"/>
    <w:rsid w:val="00DA4F60"/>
    <w:rsid w:val="00DA519F"/>
    <w:rsid w:val="00DA589B"/>
    <w:rsid w:val="00DA6A14"/>
    <w:rsid w:val="00DA6F33"/>
    <w:rsid w:val="00DA7A94"/>
    <w:rsid w:val="00DA7C49"/>
    <w:rsid w:val="00DA7F7C"/>
    <w:rsid w:val="00DB0D3A"/>
    <w:rsid w:val="00DB0EEA"/>
    <w:rsid w:val="00DB18A9"/>
    <w:rsid w:val="00DB29D5"/>
    <w:rsid w:val="00DB29E1"/>
    <w:rsid w:val="00DB2FC0"/>
    <w:rsid w:val="00DB34B0"/>
    <w:rsid w:val="00DB34B1"/>
    <w:rsid w:val="00DB3594"/>
    <w:rsid w:val="00DB3974"/>
    <w:rsid w:val="00DB3B35"/>
    <w:rsid w:val="00DB4EF5"/>
    <w:rsid w:val="00DB53BC"/>
    <w:rsid w:val="00DB53D4"/>
    <w:rsid w:val="00DB7F15"/>
    <w:rsid w:val="00DC04C0"/>
    <w:rsid w:val="00DC0F98"/>
    <w:rsid w:val="00DC102D"/>
    <w:rsid w:val="00DC14CA"/>
    <w:rsid w:val="00DC1A32"/>
    <w:rsid w:val="00DC202B"/>
    <w:rsid w:val="00DC306B"/>
    <w:rsid w:val="00DC3A62"/>
    <w:rsid w:val="00DC3AC3"/>
    <w:rsid w:val="00DC49D4"/>
    <w:rsid w:val="00DC500F"/>
    <w:rsid w:val="00DC6000"/>
    <w:rsid w:val="00DC656E"/>
    <w:rsid w:val="00DC6B9E"/>
    <w:rsid w:val="00DC74A4"/>
    <w:rsid w:val="00DC7A9D"/>
    <w:rsid w:val="00DD04AA"/>
    <w:rsid w:val="00DD1729"/>
    <w:rsid w:val="00DD28E9"/>
    <w:rsid w:val="00DD2F6E"/>
    <w:rsid w:val="00DD309D"/>
    <w:rsid w:val="00DD386B"/>
    <w:rsid w:val="00DD3B24"/>
    <w:rsid w:val="00DD4DF8"/>
    <w:rsid w:val="00DD5097"/>
    <w:rsid w:val="00DD50C0"/>
    <w:rsid w:val="00DD5C30"/>
    <w:rsid w:val="00DD6039"/>
    <w:rsid w:val="00DD6286"/>
    <w:rsid w:val="00DD63F6"/>
    <w:rsid w:val="00DD6A69"/>
    <w:rsid w:val="00DD6C7A"/>
    <w:rsid w:val="00DD74B7"/>
    <w:rsid w:val="00DD77F0"/>
    <w:rsid w:val="00DD7C30"/>
    <w:rsid w:val="00DE0577"/>
    <w:rsid w:val="00DE1803"/>
    <w:rsid w:val="00DE2555"/>
    <w:rsid w:val="00DE3923"/>
    <w:rsid w:val="00DE3AB8"/>
    <w:rsid w:val="00DE3E49"/>
    <w:rsid w:val="00DE3E83"/>
    <w:rsid w:val="00DE6297"/>
    <w:rsid w:val="00DE6C5A"/>
    <w:rsid w:val="00DE7084"/>
    <w:rsid w:val="00DE7324"/>
    <w:rsid w:val="00DE74FD"/>
    <w:rsid w:val="00DF044C"/>
    <w:rsid w:val="00DF1065"/>
    <w:rsid w:val="00DF14B2"/>
    <w:rsid w:val="00DF1781"/>
    <w:rsid w:val="00DF189B"/>
    <w:rsid w:val="00DF18EB"/>
    <w:rsid w:val="00DF197C"/>
    <w:rsid w:val="00DF1DFF"/>
    <w:rsid w:val="00DF263D"/>
    <w:rsid w:val="00DF28FD"/>
    <w:rsid w:val="00DF4137"/>
    <w:rsid w:val="00DF4AE6"/>
    <w:rsid w:val="00DF4C75"/>
    <w:rsid w:val="00DF4DBC"/>
    <w:rsid w:val="00DF5631"/>
    <w:rsid w:val="00DF5BC8"/>
    <w:rsid w:val="00DF706A"/>
    <w:rsid w:val="00DF739F"/>
    <w:rsid w:val="00DF7556"/>
    <w:rsid w:val="00DF7D9B"/>
    <w:rsid w:val="00E000CA"/>
    <w:rsid w:val="00E002EA"/>
    <w:rsid w:val="00E03366"/>
    <w:rsid w:val="00E037C1"/>
    <w:rsid w:val="00E070B3"/>
    <w:rsid w:val="00E076B7"/>
    <w:rsid w:val="00E07930"/>
    <w:rsid w:val="00E079E2"/>
    <w:rsid w:val="00E07DBB"/>
    <w:rsid w:val="00E07F89"/>
    <w:rsid w:val="00E101B1"/>
    <w:rsid w:val="00E10AED"/>
    <w:rsid w:val="00E10E79"/>
    <w:rsid w:val="00E111C0"/>
    <w:rsid w:val="00E12025"/>
    <w:rsid w:val="00E1330E"/>
    <w:rsid w:val="00E1405D"/>
    <w:rsid w:val="00E1444D"/>
    <w:rsid w:val="00E144D0"/>
    <w:rsid w:val="00E16A0D"/>
    <w:rsid w:val="00E17254"/>
    <w:rsid w:val="00E17307"/>
    <w:rsid w:val="00E2002F"/>
    <w:rsid w:val="00E204C7"/>
    <w:rsid w:val="00E20768"/>
    <w:rsid w:val="00E2141B"/>
    <w:rsid w:val="00E21EF6"/>
    <w:rsid w:val="00E22981"/>
    <w:rsid w:val="00E240A2"/>
    <w:rsid w:val="00E24CD2"/>
    <w:rsid w:val="00E25252"/>
    <w:rsid w:val="00E2591D"/>
    <w:rsid w:val="00E2630F"/>
    <w:rsid w:val="00E265C9"/>
    <w:rsid w:val="00E267AD"/>
    <w:rsid w:val="00E2696B"/>
    <w:rsid w:val="00E272B3"/>
    <w:rsid w:val="00E274FE"/>
    <w:rsid w:val="00E27BF0"/>
    <w:rsid w:val="00E27D64"/>
    <w:rsid w:val="00E31A97"/>
    <w:rsid w:val="00E31ECB"/>
    <w:rsid w:val="00E321B8"/>
    <w:rsid w:val="00E328B6"/>
    <w:rsid w:val="00E33543"/>
    <w:rsid w:val="00E33595"/>
    <w:rsid w:val="00E33D70"/>
    <w:rsid w:val="00E3422D"/>
    <w:rsid w:val="00E3435A"/>
    <w:rsid w:val="00E34496"/>
    <w:rsid w:val="00E345A0"/>
    <w:rsid w:val="00E347F1"/>
    <w:rsid w:val="00E353F9"/>
    <w:rsid w:val="00E35C08"/>
    <w:rsid w:val="00E36FE2"/>
    <w:rsid w:val="00E41D66"/>
    <w:rsid w:val="00E424CF"/>
    <w:rsid w:val="00E4335F"/>
    <w:rsid w:val="00E433BD"/>
    <w:rsid w:val="00E44757"/>
    <w:rsid w:val="00E44934"/>
    <w:rsid w:val="00E44BDF"/>
    <w:rsid w:val="00E45C31"/>
    <w:rsid w:val="00E45F3E"/>
    <w:rsid w:val="00E46E7A"/>
    <w:rsid w:val="00E47964"/>
    <w:rsid w:val="00E501F6"/>
    <w:rsid w:val="00E5071D"/>
    <w:rsid w:val="00E50ADD"/>
    <w:rsid w:val="00E5122E"/>
    <w:rsid w:val="00E5190B"/>
    <w:rsid w:val="00E51C9C"/>
    <w:rsid w:val="00E5374A"/>
    <w:rsid w:val="00E56419"/>
    <w:rsid w:val="00E566EB"/>
    <w:rsid w:val="00E5704B"/>
    <w:rsid w:val="00E57468"/>
    <w:rsid w:val="00E57C3A"/>
    <w:rsid w:val="00E57EA3"/>
    <w:rsid w:val="00E61354"/>
    <w:rsid w:val="00E61434"/>
    <w:rsid w:val="00E620DD"/>
    <w:rsid w:val="00E6239C"/>
    <w:rsid w:val="00E627CF"/>
    <w:rsid w:val="00E63578"/>
    <w:rsid w:val="00E63586"/>
    <w:rsid w:val="00E63C14"/>
    <w:rsid w:val="00E6574A"/>
    <w:rsid w:val="00E667FF"/>
    <w:rsid w:val="00E670D5"/>
    <w:rsid w:val="00E67A7D"/>
    <w:rsid w:val="00E70499"/>
    <w:rsid w:val="00E70CA1"/>
    <w:rsid w:val="00E71D21"/>
    <w:rsid w:val="00E72421"/>
    <w:rsid w:val="00E72FB1"/>
    <w:rsid w:val="00E73CC8"/>
    <w:rsid w:val="00E744F4"/>
    <w:rsid w:val="00E75319"/>
    <w:rsid w:val="00E75846"/>
    <w:rsid w:val="00E75A9E"/>
    <w:rsid w:val="00E75BB7"/>
    <w:rsid w:val="00E76407"/>
    <w:rsid w:val="00E7644A"/>
    <w:rsid w:val="00E76907"/>
    <w:rsid w:val="00E76BAA"/>
    <w:rsid w:val="00E77CB9"/>
    <w:rsid w:val="00E805D0"/>
    <w:rsid w:val="00E8062B"/>
    <w:rsid w:val="00E80706"/>
    <w:rsid w:val="00E80B6B"/>
    <w:rsid w:val="00E80C2F"/>
    <w:rsid w:val="00E80F31"/>
    <w:rsid w:val="00E81836"/>
    <w:rsid w:val="00E81BE4"/>
    <w:rsid w:val="00E81FC1"/>
    <w:rsid w:val="00E82465"/>
    <w:rsid w:val="00E8330D"/>
    <w:rsid w:val="00E83A1B"/>
    <w:rsid w:val="00E84A06"/>
    <w:rsid w:val="00E85295"/>
    <w:rsid w:val="00E8530D"/>
    <w:rsid w:val="00E85AFE"/>
    <w:rsid w:val="00E8703B"/>
    <w:rsid w:val="00E87754"/>
    <w:rsid w:val="00E900E2"/>
    <w:rsid w:val="00E90631"/>
    <w:rsid w:val="00E91185"/>
    <w:rsid w:val="00E92CA8"/>
    <w:rsid w:val="00E92E7F"/>
    <w:rsid w:val="00E93B7E"/>
    <w:rsid w:val="00E940A8"/>
    <w:rsid w:val="00E9440B"/>
    <w:rsid w:val="00E94ABC"/>
    <w:rsid w:val="00E96153"/>
    <w:rsid w:val="00E9770B"/>
    <w:rsid w:val="00E97C0D"/>
    <w:rsid w:val="00EA0550"/>
    <w:rsid w:val="00EA0ABD"/>
    <w:rsid w:val="00EA1365"/>
    <w:rsid w:val="00EA13DB"/>
    <w:rsid w:val="00EA24D2"/>
    <w:rsid w:val="00EA35A4"/>
    <w:rsid w:val="00EA377A"/>
    <w:rsid w:val="00EA5536"/>
    <w:rsid w:val="00EA604B"/>
    <w:rsid w:val="00EA6C03"/>
    <w:rsid w:val="00EA7895"/>
    <w:rsid w:val="00EA7F3C"/>
    <w:rsid w:val="00EB07AC"/>
    <w:rsid w:val="00EB07CF"/>
    <w:rsid w:val="00EB0DD1"/>
    <w:rsid w:val="00EB1195"/>
    <w:rsid w:val="00EB1ABC"/>
    <w:rsid w:val="00EB257F"/>
    <w:rsid w:val="00EB2AF6"/>
    <w:rsid w:val="00EB2B71"/>
    <w:rsid w:val="00EB2C3D"/>
    <w:rsid w:val="00EB35A4"/>
    <w:rsid w:val="00EB3EBE"/>
    <w:rsid w:val="00EB4048"/>
    <w:rsid w:val="00EB4B22"/>
    <w:rsid w:val="00EB4C88"/>
    <w:rsid w:val="00EB4D6C"/>
    <w:rsid w:val="00EB558E"/>
    <w:rsid w:val="00EB5814"/>
    <w:rsid w:val="00EB604B"/>
    <w:rsid w:val="00EB6341"/>
    <w:rsid w:val="00EB6372"/>
    <w:rsid w:val="00EB7ABA"/>
    <w:rsid w:val="00EB7CEF"/>
    <w:rsid w:val="00EC0941"/>
    <w:rsid w:val="00EC13FE"/>
    <w:rsid w:val="00EC28A2"/>
    <w:rsid w:val="00EC291F"/>
    <w:rsid w:val="00EC2B9C"/>
    <w:rsid w:val="00EC37E3"/>
    <w:rsid w:val="00EC3A70"/>
    <w:rsid w:val="00EC3CDB"/>
    <w:rsid w:val="00EC5299"/>
    <w:rsid w:val="00EC563C"/>
    <w:rsid w:val="00EC6369"/>
    <w:rsid w:val="00EC6EC8"/>
    <w:rsid w:val="00ED011E"/>
    <w:rsid w:val="00ED0BBE"/>
    <w:rsid w:val="00ED100A"/>
    <w:rsid w:val="00ED1777"/>
    <w:rsid w:val="00ED1BC3"/>
    <w:rsid w:val="00ED1CBD"/>
    <w:rsid w:val="00ED21C5"/>
    <w:rsid w:val="00ED24B8"/>
    <w:rsid w:val="00ED2A63"/>
    <w:rsid w:val="00ED2D97"/>
    <w:rsid w:val="00ED3649"/>
    <w:rsid w:val="00ED3B86"/>
    <w:rsid w:val="00ED3CA5"/>
    <w:rsid w:val="00ED3FCC"/>
    <w:rsid w:val="00ED528F"/>
    <w:rsid w:val="00ED5367"/>
    <w:rsid w:val="00ED61FA"/>
    <w:rsid w:val="00ED659C"/>
    <w:rsid w:val="00ED7811"/>
    <w:rsid w:val="00ED7D68"/>
    <w:rsid w:val="00EE0481"/>
    <w:rsid w:val="00EE078E"/>
    <w:rsid w:val="00EE09D4"/>
    <w:rsid w:val="00EE0F5A"/>
    <w:rsid w:val="00EE0FBC"/>
    <w:rsid w:val="00EE13CB"/>
    <w:rsid w:val="00EE2404"/>
    <w:rsid w:val="00EE248B"/>
    <w:rsid w:val="00EE29D5"/>
    <w:rsid w:val="00EE2CE9"/>
    <w:rsid w:val="00EE3105"/>
    <w:rsid w:val="00EE3412"/>
    <w:rsid w:val="00EE3BD3"/>
    <w:rsid w:val="00EE42F4"/>
    <w:rsid w:val="00EE4526"/>
    <w:rsid w:val="00EE5544"/>
    <w:rsid w:val="00EE5970"/>
    <w:rsid w:val="00EE7F42"/>
    <w:rsid w:val="00EF07FA"/>
    <w:rsid w:val="00EF13E8"/>
    <w:rsid w:val="00EF19F7"/>
    <w:rsid w:val="00EF1AD0"/>
    <w:rsid w:val="00EF2A90"/>
    <w:rsid w:val="00EF2BEE"/>
    <w:rsid w:val="00EF2E39"/>
    <w:rsid w:val="00EF323B"/>
    <w:rsid w:val="00EF3BCF"/>
    <w:rsid w:val="00EF3BD4"/>
    <w:rsid w:val="00EF3D55"/>
    <w:rsid w:val="00EF467A"/>
    <w:rsid w:val="00EF471F"/>
    <w:rsid w:val="00EF4CBC"/>
    <w:rsid w:val="00EF535C"/>
    <w:rsid w:val="00EF54F0"/>
    <w:rsid w:val="00EF5CB7"/>
    <w:rsid w:val="00EF63CF"/>
    <w:rsid w:val="00EF6635"/>
    <w:rsid w:val="00EF66A5"/>
    <w:rsid w:val="00EF7104"/>
    <w:rsid w:val="00EF71C0"/>
    <w:rsid w:val="00EF7391"/>
    <w:rsid w:val="00EF7CC1"/>
    <w:rsid w:val="00F0016D"/>
    <w:rsid w:val="00F01C3A"/>
    <w:rsid w:val="00F01E1C"/>
    <w:rsid w:val="00F01F05"/>
    <w:rsid w:val="00F02518"/>
    <w:rsid w:val="00F02773"/>
    <w:rsid w:val="00F02AEF"/>
    <w:rsid w:val="00F02D17"/>
    <w:rsid w:val="00F02E69"/>
    <w:rsid w:val="00F02F8E"/>
    <w:rsid w:val="00F033DA"/>
    <w:rsid w:val="00F039E3"/>
    <w:rsid w:val="00F03E67"/>
    <w:rsid w:val="00F04227"/>
    <w:rsid w:val="00F04407"/>
    <w:rsid w:val="00F05297"/>
    <w:rsid w:val="00F05791"/>
    <w:rsid w:val="00F05944"/>
    <w:rsid w:val="00F06257"/>
    <w:rsid w:val="00F0676B"/>
    <w:rsid w:val="00F06F3B"/>
    <w:rsid w:val="00F07402"/>
    <w:rsid w:val="00F07E41"/>
    <w:rsid w:val="00F116A2"/>
    <w:rsid w:val="00F126B3"/>
    <w:rsid w:val="00F12BB8"/>
    <w:rsid w:val="00F13315"/>
    <w:rsid w:val="00F133A2"/>
    <w:rsid w:val="00F137E7"/>
    <w:rsid w:val="00F1392B"/>
    <w:rsid w:val="00F13D85"/>
    <w:rsid w:val="00F1400B"/>
    <w:rsid w:val="00F143D9"/>
    <w:rsid w:val="00F14616"/>
    <w:rsid w:val="00F147FD"/>
    <w:rsid w:val="00F14A42"/>
    <w:rsid w:val="00F161AA"/>
    <w:rsid w:val="00F163D6"/>
    <w:rsid w:val="00F17A86"/>
    <w:rsid w:val="00F2129C"/>
    <w:rsid w:val="00F236DD"/>
    <w:rsid w:val="00F23710"/>
    <w:rsid w:val="00F23774"/>
    <w:rsid w:val="00F23B15"/>
    <w:rsid w:val="00F25CC7"/>
    <w:rsid w:val="00F25E69"/>
    <w:rsid w:val="00F268CF"/>
    <w:rsid w:val="00F27243"/>
    <w:rsid w:val="00F27F3F"/>
    <w:rsid w:val="00F310DB"/>
    <w:rsid w:val="00F32935"/>
    <w:rsid w:val="00F3300A"/>
    <w:rsid w:val="00F361A0"/>
    <w:rsid w:val="00F3713C"/>
    <w:rsid w:val="00F3772C"/>
    <w:rsid w:val="00F3772F"/>
    <w:rsid w:val="00F378EC"/>
    <w:rsid w:val="00F37BB9"/>
    <w:rsid w:val="00F37C2A"/>
    <w:rsid w:val="00F40047"/>
    <w:rsid w:val="00F403AB"/>
    <w:rsid w:val="00F403F5"/>
    <w:rsid w:val="00F4077F"/>
    <w:rsid w:val="00F40B7F"/>
    <w:rsid w:val="00F4136D"/>
    <w:rsid w:val="00F418AB"/>
    <w:rsid w:val="00F41A09"/>
    <w:rsid w:val="00F42A99"/>
    <w:rsid w:val="00F42EB9"/>
    <w:rsid w:val="00F42FE8"/>
    <w:rsid w:val="00F430CE"/>
    <w:rsid w:val="00F435D0"/>
    <w:rsid w:val="00F44A82"/>
    <w:rsid w:val="00F45243"/>
    <w:rsid w:val="00F452EC"/>
    <w:rsid w:val="00F45352"/>
    <w:rsid w:val="00F454BD"/>
    <w:rsid w:val="00F45756"/>
    <w:rsid w:val="00F464CF"/>
    <w:rsid w:val="00F473F3"/>
    <w:rsid w:val="00F50505"/>
    <w:rsid w:val="00F51F53"/>
    <w:rsid w:val="00F523E6"/>
    <w:rsid w:val="00F524A3"/>
    <w:rsid w:val="00F52B5F"/>
    <w:rsid w:val="00F52B74"/>
    <w:rsid w:val="00F532E4"/>
    <w:rsid w:val="00F54159"/>
    <w:rsid w:val="00F545AC"/>
    <w:rsid w:val="00F54CB7"/>
    <w:rsid w:val="00F55583"/>
    <w:rsid w:val="00F5718C"/>
    <w:rsid w:val="00F578B6"/>
    <w:rsid w:val="00F57D65"/>
    <w:rsid w:val="00F6055E"/>
    <w:rsid w:val="00F609E1"/>
    <w:rsid w:val="00F60FC5"/>
    <w:rsid w:val="00F61204"/>
    <w:rsid w:val="00F61A01"/>
    <w:rsid w:val="00F61C68"/>
    <w:rsid w:val="00F6293F"/>
    <w:rsid w:val="00F62C94"/>
    <w:rsid w:val="00F6374A"/>
    <w:rsid w:val="00F6376A"/>
    <w:rsid w:val="00F64933"/>
    <w:rsid w:val="00F651F1"/>
    <w:rsid w:val="00F6568B"/>
    <w:rsid w:val="00F67EC8"/>
    <w:rsid w:val="00F70480"/>
    <w:rsid w:val="00F70D34"/>
    <w:rsid w:val="00F70E67"/>
    <w:rsid w:val="00F711CC"/>
    <w:rsid w:val="00F711D0"/>
    <w:rsid w:val="00F71DC0"/>
    <w:rsid w:val="00F72055"/>
    <w:rsid w:val="00F72699"/>
    <w:rsid w:val="00F726C7"/>
    <w:rsid w:val="00F7313A"/>
    <w:rsid w:val="00F73684"/>
    <w:rsid w:val="00F73B6C"/>
    <w:rsid w:val="00F7414D"/>
    <w:rsid w:val="00F7560F"/>
    <w:rsid w:val="00F75CDB"/>
    <w:rsid w:val="00F76D25"/>
    <w:rsid w:val="00F7768D"/>
    <w:rsid w:val="00F77F17"/>
    <w:rsid w:val="00F8021D"/>
    <w:rsid w:val="00F81AEE"/>
    <w:rsid w:val="00F81C81"/>
    <w:rsid w:val="00F81F86"/>
    <w:rsid w:val="00F82501"/>
    <w:rsid w:val="00F8486E"/>
    <w:rsid w:val="00F84B81"/>
    <w:rsid w:val="00F855E7"/>
    <w:rsid w:val="00F85E49"/>
    <w:rsid w:val="00F86670"/>
    <w:rsid w:val="00F8681F"/>
    <w:rsid w:val="00F8709D"/>
    <w:rsid w:val="00F875B5"/>
    <w:rsid w:val="00F902D4"/>
    <w:rsid w:val="00F904B0"/>
    <w:rsid w:val="00F9059A"/>
    <w:rsid w:val="00F90B4A"/>
    <w:rsid w:val="00F910E7"/>
    <w:rsid w:val="00F91FC7"/>
    <w:rsid w:val="00F92F0A"/>
    <w:rsid w:val="00F931FC"/>
    <w:rsid w:val="00F93804"/>
    <w:rsid w:val="00F93CDA"/>
    <w:rsid w:val="00F93CE9"/>
    <w:rsid w:val="00F9423E"/>
    <w:rsid w:val="00F94E17"/>
    <w:rsid w:val="00F951BD"/>
    <w:rsid w:val="00F95E86"/>
    <w:rsid w:val="00F9607D"/>
    <w:rsid w:val="00F9673E"/>
    <w:rsid w:val="00FA095E"/>
    <w:rsid w:val="00FA1AE9"/>
    <w:rsid w:val="00FA1E5D"/>
    <w:rsid w:val="00FA222C"/>
    <w:rsid w:val="00FA2656"/>
    <w:rsid w:val="00FA2E0A"/>
    <w:rsid w:val="00FA30C8"/>
    <w:rsid w:val="00FA4212"/>
    <w:rsid w:val="00FA464E"/>
    <w:rsid w:val="00FA46B4"/>
    <w:rsid w:val="00FA4A04"/>
    <w:rsid w:val="00FA5D5E"/>
    <w:rsid w:val="00FA5E00"/>
    <w:rsid w:val="00FA6416"/>
    <w:rsid w:val="00FA6A92"/>
    <w:rsid w:val="00FA6AB8"/>
    <w:rsid w:val="00FA7028"/>
    <w:rsid w:val="00FB02D0"/>
    <w:rsid w:val="00FB0833"/>
    <w:rsid w:val="00FB0930"/>
    <w:rsid w:val="00FB1F9F"/>
    <w:rsid w:val="00FB4899"/>
    <w:rsid w:val="00FB4EB0"/>
    <w:rsid w:val="00FB4F86"/>
    <w:rsid w:val="00FB4F96"/>
    <w:rsid w:val="00FB5394"/>
    <w:rsid w:val="00FB6028"/>
    <w:rsid w:val="00FB66CE"/>
    <w:rsid w:val="00FB68C0"/>
    <w:rsid w:val="00FB7FC8"/>
    <w:rsid w:val="00FC0236"/>
    <w:rsid w:val="00FC0638"/>
    <w:rsid w:val="00FC1989"/>
    <w:rsid w:val="00FC1C9E"/>
    <w:rsid w:val="00FC205F"/>
    <w:rsid w:val="00FC556E"/>
    <w:rsid w:val="00FC5666"/>
    <w:rsid w:val="00FC5F4D"/>
    <w:rsid w:val="00FC7535"/>
    <w:rsid w:val="00FC7D09"/>
    <w:rsid w:val="00FD05BE"/>
    <w:rsid w:val="00FD0605"/>
    <w:rsid w:val="00FD1240"/>
    <w:rsid w:val="00FD1FA4"/>
    <w:rsid w:val="00FD1FD0"/>
    <w:rsid w:val="00FD24A3"/>
    <w:rsid w:val="00FD284D"/>
    <w:rsid w:val="00FD28BA"/>
    <w:rsid w:val="00FD2937"/>
    <w:rsid w:val="00FD3A1F"/>
    <w:rsid w:val="00FD40E5"/>
    <w:rsid w:val="00FD41C6"/>
    <w:rsid w:val="00FD58FE"/>
    <w:rsid w:val="00FD6279"/>
    <w:rsid w:val="00FD72A0"/>
    <w:rsid w:val="00FD72C3"/>
    <w:rsid w:val="00FD7BD3"/>
    <w:rsid w:val="00FE040D"/>
    <w:rsid w:val="00FE05A7"/>
    <w:rsid w:val="00FE07F3"/>
    <w:rsid w:val="00FE165C"/>
    <w:rsid w:val="00FE1C95"/>
    <w:rsid w:val="00FE211E"/>
    <w:rsid w:val="00FE24DE"/>
    <w:rsid w:val="00FE286E"/>
    <w:rsid w:val="00FE2A78"/>
    <w:rsid w:val="00FE3372"/>
    <w:rsid w:val="00FE3771"/>
    <w:rsid w:val="00FE37D7"/>
    <w:rsid w:val="00FE4189"/>
    <w:rsid w:val="00FE5491"/>
    <w:rsid w:val="00FE59C4"/>
    <w:rsid w:val="00FE6C4D"/>
    <w:rsid w:val="00FE6CEC"/>
    <w:rsid w:val="00FE6F99"/>
    <w:rsid w:val="00FE7832"/>
    <w:rsid w:val="00FE786E"/>
    <w:rsid w:val="00FE7A6D"/>
    <w:rsid w:val="00FF0A2F"/>
    <w:rsid w:val="00FF22FC"/>
    <w:rsid w:val="00FF323C"/>
    <w:rsid w:val="00FF3F9C"/>
    <w:rsid w:val="00FF4056"/>
    <w:rsid w:val="00FF4933"/>
    <w:rsid w:val="00FF4D80"/>
    <w:rsid w:val="00FF4F0F"/>
    <w:rsid w:val="00FF5782"/>
    <w:rsid w:val="00FF5985"/>
    <w:rsid w:val="00FF6CB4"/>
    <w:rsid w:val="00FF744A"/>
    <w:rsid w:val="00FF745D"/>
    <w:rsid w:val="00FF7B27"/>
    <w:rsid w:val="012717D8"/>
    <w:rsid w:val="01B46468"/>
    <w:rsid w:val="03EF1053"/>
    <w:rsid w:val="042D39AD"/>
    <w:rsid w:val="061BB748"/>
    <w:rsid w:val="06F7BB76"/>
    <w:rsid w:val="072C9663"/>
    <w:rsid w:val="08499766"/>
    <w:rsid w:val="0A523441"/>
    <w:rsid w:val="0A643725"/>
    <w:rsid w:val="0C156F12"/>
    <w:rsid w:val="0C1A369A"/>
    <w:rsid w:val="0DCA1519"/>
    <w:rsid w:val="0E1CFD43"/>
    <w:rsid w:val="0F1988B8"/>
    <w:rsid w:val="0F3A6D59"/>
    <w:rsid w:val="1061D9BA"/>
    <w:rsid w:val="10D70579"/>
    <w:rsid w:val="11FEDC10"/>
    <w:rsid w:val="123478F2"/>
    <w:rsid w:val="12C3B458"/>
    <w:rsid w:val="14CE862C"/>
    <w:rsid w:val="1660D450"/>
    <w:rsid w:val="180CE435"/>
    <w:rsid w:val="1821E678"/>
    <w:rsid w:val="19C099A1"/>
    <w:rsid w:val="1B97995B"/>
    <w:rsid w:val="1D023E55"/>
    <w:rsid w:val="1D3F6FC8"/>
    <w:rsid w:val="1D422381"/>
    <w:rsid w:val="1EA22E07"/>
    <w:rsid w:val="200F2700"/>
    <w:rsid w:val="205C1828"/>
    <w:rsid w:val="2231795E"/>
    <w:rsid w:val="226E08D9"/>
    <w:rsid w:val="2362738C"/>
    <w:rsid w:val="23ADB154"/>
    <w:rsid w:val="23E67A6E"/>
    <w:rsid w:val="24E0EA01"/>
    <w:rsid w:val="258C2610"/>
    <w:rsid w:val="25B4D54A"/>
    <w:rsid w:val="2687379E"/>
    <w:rsid w:val="26DD74DC"/>
    <w:rsid w:val="26E5F7AC"/>
    <w:rsid w:val="283E6537"/>
    <w:rsid w:val="28927FF3"/>
    <w:rsid w:val="28A7D871"/>
    <w:rsid w:val="28EAABAD"/>
    <w:rsid w:val="29A250C7"/>
    <w:rsid w:val="2F56890A"/>
    <w:rsid w:val="30D8E9D9"/>
    <w:rsid w:val="30EE8566"/>
    <w:rsid w:val="315AFA4E"/>
    <w:rsid w:val="319EEFC8"/>
    <w:rsid w:val="3250738C"/>
    <w:rsid w:val="3342556A"/>
    <w:rsid w:val="337E18BA"/>
    <w:rsid w:val="34969FEF"/>
    <w:rsid w:val="35455306"/>
    <w:rsid w:val="38BE4EC2"/>
    <w:rsid w:val="390388DF"/>
    <w:rsid w:val="391B1BA1"/>
    <w:rsid w:val="392CEEBC"/>
    <w:rsid w:val="39C7D0AD"/>
    <w:rsid w:val="3BCDC6B3"/>
    <w:rsid w:val="3C3DB81F"/>
    <w:rsid w:val="3CBA116A"/>
    <w:rsid w:val="3D670B49"/>
    <w:rsid w:val="3E4427DE"/>
    <w:rsid w:val="3E6767D5"/>
    <w:rsid w:val="3E772477"/>
    <w:rsid w:val="3FACCE17"/>
    <w:rsid w:val="3FC6CFE2"/>
    <w:rsid w:val="3FD70402"/>
    <w:rsid w:val="4076CAD6"/>
    <w:rsid w:val="41EC3FE0"/>
    <w:rsid w:val="42C782C6"/>
    <w:rsid w:val="42D3D102"/>
    <w:rsid w:val="43509FE9"/>
    <w:rsid w:val="438C9510"/>
    <w:rsid w:val="44F8C4F8"/>
    <w:rsid w:val="45C9325E"/>
    <w:rsid w:val="474AFCE1"/>
    <w:rsid w:val="486BB6F2"/>
    <w:rsid w:val="48BB27AD"/>
    <w:rsid w:val="4929EA29"/>
    <w:rsid w:val="49D6EFF4"/>
    <w:rsid w:val="49FD0BF1"/>
    <w:rsid w:val="4A7A9D78"/>
    <w:rsid w:val="4B26F87A"/>
    <w:rsid w:val="4B33263B"/>
    <w:rsid w:val="4BCC5F2C"/>
    <w:rsid w:val="4C07E6E2"/>
    <w:rsid w:val="4D34B28C"/>
    <w:rsid w:val="4EA82B41"/>
    <w:rsid w:val="4ED7F5E2"/>
    <w:rsid w:val="4FEAC71E"/>
    <w:rsid w:val="5073C643"/>
    <w:rsid w:val="512B732F"/>
    <w:rsid w:val="52249AE8"/>
    <w:rsid w:val="52D8B9F5"/>
    <w:rsid w:val="5409EAF8"/>
    <w:rsid w:val="544D194C"/>
    <w:rsid w:val="5484FAE4"/>
    <w:rsid w:val="54F8F25A"/>
    <w:rsid w:val="550D3627"/>
    <w:rsid w:val="565422B6"/>
    <w:rsid w:val="56D0C639"/>
    <w:rsid w:val="57956067"/>
    <w:rsid w:val="5AE3CBDA"/>
    <w:rsid w:val="5CDD44EB"/>
    <w:rsid w:val="5D239028"/>
    <w:rsid w:val="5D2A6C30"/>
    <w:rsid w:val="5D547BD5"/>
    <w:rsid w:val="5E3D90E4"/>
    <w:rsid w:val="5EFAF3CD"/>
    <w:rsid w:val="5F90659E"/>
    <w:rsid w:val="6046DEA3"/>
    <w:rsid w:val="60E6DA69"/>
    <w:rsid w:val="6234B0A0"/>
    <w:rsid w:val="624B15A9"/>
    <w:rsid w:val="63451931"/>
    <w:rsid w:val="64041946"/>
    <w:rsid w:val="64731825"/>
    <w:rsid w:val="65B04CB1"/>
    <w:rsid w:val="66745E1A"/>
    <w:rsid w:val="670C07BE"/>
    <w:rsid w:val="67DAACF6"/>
    <w:rsid w:val="67F9C8A5"/>
    <w:rsid w:val="6857759C"/>
    <w:rsid w:val="686D1ED7"/>
    <w:rsid w:val="6883C11B"/>
    <w:rsid w:val="694FB0BF"/>
    <w:rsid w:val="6A0F51F8"/>
    <w:rsid w:val="6AD1176D"/>
    <w:rsid w:val="6B69EADC"/>
    <w:rsid w:val="6B6DAC84"/>
    <w:rsid w:val="6D281256"/>
    <w:rsid w:val="6FAC4271"/>
    <w:rsid w:val="6FFFEDEF"/>
    <w:rsid w:val="7193D0CA"/>
    <w:rsid w:val="723EA0BF"/>
    <w:rsid w:val="73C4A21E"/>
    <w:rsid w:val="73CD3C24"/>
    <w:rsid w:val="743AE970"/>
    <w:rsid w:val="74BA36B5"/>
    <w:rsid w:val="759112D4"/>
    <w:rsid w:val="763BD802"/>
    <w:rsid w:val="766741ED"/>
    <w:rsid w:val="78105EE3"/>
    <w:rsid w:val="782FBBB8"/>
    <w:rsid w:val="7892DB13"/>
    <w:rsid w:val="79F118E5"/>
    <w:rsid w:val="7C154DA6"/>
    <w:rsid w:val="7F0D87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4DCE"/>
  <w15:docId w15:val="{0E75473B-6225-4AC5-AC0D-40F9107C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F64933"/>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qFormat/>
    <w:rsid w:val="00923D6A"/>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B7725C"/>
    <w:pPr>
      <w:keepNext/>
      <w:tabs>
        <w:tab w:val="left" w:pos="5963"/>
      </w:tabs>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9"/>
    <w:qFormat/>
    <w:rsid w:val="00B7725C"/>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9"/>
    <w:qFormat/>
    <w:rsid w:val="00B7725C"/>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9"/>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aliases w:val="Table Heading"/>
    <w:next w:val="Normal"/>
    <w:link w:val="Heading6Char"/>
    <w:autoRedefine/>
    <w:uiPriority w:val="9"/>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paragraph" w:styleId="Heading7">
    <w:name w:val="heading 7"/>
    <w:basedOn w:val="Normal"/>
    <w:next w:val="Normal"/>
    <w:link w:val="Heading7Char"/>
    <w:uiPriority w:val="9"/>
    <w:semiHidden/>
    <w:unhideWhenUsed/>
    <w:qFormat/>
    <w:rsid w:val="008F2758"/>
    <w:pPr>
      <w:keepNext/>
      <w:keepLines/>
      <w:spacing w:before="200" w:after="0" w:line="240" w:lineRule="auto"/>
      <w:ind w:left="1296" w:hanging="1296"/>
      <w:textboxTightWrap w:val="none"/>
      <w:outlineLvl w:val="6"/>
    </w:pPr>
    <w:rPr>
      <w:rFonts w:asciiTheme="majorHAnsi" w:eastAsiaTheme="majorEastAsia" w:hAnsiTheme="majorHAnsi" w:cstheme="majorBidi"/>
      <w:bCs/>
      <w:i/>
      <w:iCs/>
      <w:color w:val="FFFFFF" w:themeColor="text1" w:themeTint="BF"/>
      <w:szCs w:val="26"/>
    </w:rPr>
  </w:style>
  <w:style w:type="paragraph" w:styleId="Heading8">
    <w:name w:val="heading 8"/>
    <w:basedOn w:val="Normal"/>
    <w:next w:val="Normal"/>
    <w:link w:val="Heading8Char"/>
    <w:uiPriority w:val="9"/>
    <w:semiHidden/>
    <w:unhideWhenUsed/>
    <w:qFormat/>
    <w:rsid w:val="008F2758"/>
    <w:pPr>
      <w:keepNext/>
      <w:keepLines/>
      <w:spacing w:before="200" w:after="0" w:line="240" w:lineRule="auto"/>
      <w:ind w:left="1440" w:hanging="1440"/>
      <w:textboxTightWrap w:val="none"/>
      <w:outlineLvl w:val="7"/>
    </w:pPr>
    <w:rPr>
      <w:rFonts w:asciiTheme="majorHAnsi" w:eastAsiaTheme="majorEastAsia" w:hAnsiTheme="majorHAnsi" w:cstheme="majorBidi"/>
      <w:bCs/>
      <w:color w:val="FFFFFF" w:themeColor="text1" w:themeTint="BF"/>
      <w:sz w:val="20"/>
      <w:szCs w:val="20"/>
    </w:rPr>
  </w:style>
  <w:style w:type="paragraph" w:styleId="Heading9">
    <w:name w:val="heading 9"/>
    <w:basedOn w:val="Normal"/>
    <w:next w:val="Normal"/>
    <w:link w:val="Heading9Char"/>
    <w:uiPriority w:val="9"/>
    <w:semiHidden/>
    <w:unhideWhenUsed/>
    <w:qFormat/>
    <w:rsid w:val="008F2758"/>
    <w:pPr>
      <w:keepNext/>
      <w:keepLines/>
      <w:spacing w:before="200" w:after="0" w:line="240" w:lineRule="auto"/>
      <w:ind w:left="1584" w:hanging="1584"/>
      <w:textboxTightWrap w:val="none"/>
      <w:outlineLvl w:val="8"/>
    </w:pPr>
    <w:rPr>
      <w:rFonts w:asciiTheme="majorHAnsi" w:eastAsiaTheme="majorEastAsia" w:hAnsiTheme="majorHAnsi" w:cstheme="majorBidi"/>
      <w:bCs/>
      <w:i/>
      <w:iCs/>
      <w:color w:val="FFFFFF"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7725C"/>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rsid w:val="00923D6A"/>
    <w:rPr>
      <w:rFonts w:ascii="Arial" w:hAnsi="Arial" w:cs="Arial"/>
      <w:b/>
      <w:bCs/>
      <w:color w:val="005EB8"/>
      <w:kern w:val="28"/>
      <w:sz w:val="80"/>
      <w:szCs w:val="32"/>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9"/>
    <w:rsid w:val="00B7725C"/>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0"/>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0"/>
    <w:rsid w:val="00355C51"/>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9"/>
    <w:rsid w:val="00B7725C"/>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CD39B1"/>
    <w:pPr>
      <w:tabs>
        <w:tab w:val="left" w:pos="1100"/>
        <w:tab w:val="right" w:leader="dot" w:pos="9854"/>
      </w:tabs>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F64933"/>
    <w:rPr>
      <w:rFonts w:ascii="Arial" w:hAnsi="Arial"/>
      <w:color w:val="000000"/>
      <w:szCs w:val="24"/>
    </w:rPr>
  </w:style>
  <w:style w:type="paragraph" w:styleId="Footer">
    <w:name w:val="footer"/>
    <w:basedOn w:val="Normal"/>
    <w:link w:val="FooterChar"/>
    <w:rsid w:val="000005C7"/>
    <w:pPr>
      <w:tabs>
        <w:tab w:val="left" w:pos="426"/>
        <w:tab w:val="right" w:pos="9866"/>
      </w:tabs>
      <w:spacing w:after="0"/>
    </w:pPr>
    <w:rPr>
      <w:spacing w:val="-4"/>
      <w:sz w:val="18"/>
    </w:rPr>
  </w:style>
  <w:style w:type="character" w:customStyle="1" w:styleId="FooterChar">
    <w:name w:val="Footer Char"/>
    <w:basedOn w:val="DefaultParagraphFont"/>
    <w:link w:val="Footer"/>
    <w:rsid w:val="00F64933"/>
    <w:rPr>
      <w:rFonts w:ascii="Arial" w:hAnsi="Arial"/>
      <w:color w:val="000000"/>
      <w:spacing w:val="-4"/>
      <w:sz w:val="18"/>
      <w:szCs w:val="24"/>
    </w:rPr>
  </w:style>
  <w:style w:type="character" w:styleId="Strong">
    <w:name w:val="Strong"/>
    <w:aliases w:val="Bold"/>
    <w:uiPriority w:val="22"/>
    <w:qFormat/>
    <w:rsid w:val="000C24AF"/>
    <w:rPr>
      <w:rFonts w:asciiTheme="minorHAnsi" w:hAnsiTheme="minorHAnsi"/>
      <w:b/>
      <w:bCs/>
    </w:rPr>
  </w:style>
  <w:style w:type="paragraph" w:styleId="Quote">
    <w:name w:val="Quote"/>
    <w:basedOn w:val="Normal"/>
    <w:next w:val="Normal"/>
    <w:link w:val="QuoteChar"/>
    <w:uiPriority w:val="29"/>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F64933"/>
    <w:rPr>
      <w:rFonts w:asciiTheme="minorHAnsi" w:hAnsiTheme="minorHAnsi"/>
      <w:b/>
      <w:i/>
      <w:iCs/>
      <w:color w:val="000000"/>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F64933"/>
    <w:rPr>
      <w:rFonts w:ascii="Arial" w:hAnsi="Arial"/>
      <w:color w:val="000000"/>
      <w:sz w:val="24"/>
      <w:szCs w:val="24"/>
    </w:rPr>
  </w:style>
  <w:style w:type="character" w:styleId="FootnoteReference">
    <w:name w:val="footnote reference"/>
    <w:basedOn w:val="DefaultParagraphFont"/>
    <w:uiPriority w:val="99"/>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aliases w:val="Table Heading Char"/>
    <w:basedOn w:val="DefaultParagraphFont"/>
    <w:link w:val="Heading6"/>
    <w:uiPriority w:val="9"/>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9"/>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E805D0"/>
    <w:pPr>
      <w:spacing w:before="400" w:after="400" w:line="276" w:lineRule="auto"/>
    </w:pPr>
    <w:rPr>
      <w:rFonts w:ascii="Arial Bold" w:hAnsi="Arial Bold" w:cs="Arial"/>
      <w:b/>
      <w:bCs/>
      <w:kern w:val="28"/>
      <w:sz w:val="56"/>
      <w:szCs w:val="56"/>
      <w:lang w:val="fr-FR"/>
      <w14:ligatures w14:val="standardContextual"/>
    </w:rPr>
  </w:style>
  <w:style w:type="paragraph" w:customStyle="1" w:styleId="h2numbered">
    <w:name w:val="h2 numbered"/>
    <w:basedOn w:val="Heading2"/>
    <w:link w:val="h2numberedChar"/>
    <w:uiPriority w:val="4"/>
    <w:qFormat/>
    <w:rsid w:val="00084AFF"/>
    <w:pPr>
      <w:keepNext w:val="0"/>
      <w:numPr>
        <w:numId w:val="43"/>
      </w:numPr>
      <w:tabs>
        <w:tab w:val="clear" w:pos="5963"/>
        <w:tab w:val="left" w:pos="851"/>
      </w:tabs>
      <w:spacing w:line="276" w:lineRule="auto"/>
      <w:ind w:left="851" w:right="83" w:hanging="851"/>
    </w:pPr>
  </w:style>
  <w:style w:type="paragraph" w:customStyle="1" w:styleId="h3numbered">
    <w:name w:val="h3 numbered"/>
    <w:basedOn w:val="Heading3"/>
    <w:link w:val="h3numberedChar"/>
    <w:uiPriority w:val="6"/>
    <w:qFormat/>
    <w:rsid w:val="00084AFF"/>
    <w:pPr>
      <w:keepNext w:val="0"/>
      <w:numPr>
        <w:ilvl w:val="1"/>
        <w:numId w:val="43"/>
      </w:numPr>
      <w:spacing w:line="276" w:lineRule="auto"/>
      <w:ind w:left="851" w:hanging="851"/>
    </w:pPr>
  </w:style>
  <w:style w:type="character" w:customStyle="1" w:styleId="h2numberedChar">
    <w:name w:val="h2 numbered Char"/>
    <w:basedOn w:val="Heading2Char"/>
    <w:link w:val="h2numbered"/>
    <w:uiPriority w:val="4"/>
    <w:rsid w:val="00084AFF"/>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qFormat/>
    <w:rsid w:val="00084AFF"/>
    <w:pPr>
      <w:keepNext w:val="0"/>
      <w:numPr>
        <w:ilvl w:val="2"/>
        <w:numId w:val="43"/>
      </w:numPr>
      <w:spacing w:line="276" w:lineRule="auto"/>
      <w:ind w:left="1701" w:hanging="850"/>
    </w:pPr>
    <w:rPr>
      <w:rFonts w:ascii="Arial" w:hAnsi="Arial"/>
      <w:b w:val="0"/>
      <w:sz w:val="24"/>
    </w:rPr>
  </w:style>
  <w:style w:type="character" w:customStyle="1" w:styleId="h3numberedChar">
    <w:name w:val="h3 numbered Char"/>
    <w:basedOn w:val="Heading3Char"/>
    <w:link w:val="h3numbered"/>
    <w:uiPriority w:val="6"/>
    <w:rsid w:val="00084AFF"/>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43"/>
      </w:numPr>
    </w:pPr>
  </w:style>
  <w:style w:type="character" w:customStyle="1" w:styleId="h4numberedChar">
    <w:name w:val="h4 numbered Char"/>
    <w:basedOn w:val="Heading4Char"/>
    <w:link w:val="h4numbered"/>
    <w:uiPriority w:val="7"/>
    <w:rsid w:val="00084AFF"/>
    <w:rPr>
      <w:rFonts w:ascii="Arial" w:eastAsia="MS Mincho" w:hAnsi="Arial"/>
      <w:b w:val="0"/>
      <w:color w:val="231F20" w:themeColor="background1"/>
      <w:kern w:val="28"/>
      <w:sz w:val="24"/>
      <w14:ligatures w14:val="standardContextual"/>
    </w:rPr>
  </w:style>
  <w:style w:type="paragraph" w:customStyle="1" w:styleId="bodytextnumbered">
    <w:name w:val="body text numbered"/>
    <w:basedOn w:val="Normal"/>
    <w:link w:val="bodytextnumberedChar"/>
    <w:uiPriority w:val="15"/>
    <w:qFormat/>
    <w:rsid w:val="00BC5F53"/>
    <w:pPr>
      <w:numPr>
        <w:ilvl w:val="4"/>
        <w:numId w:val="4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4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4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355C51"/>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rsid w:val="002F45CE"/>
    <w:pPr>
      <w:spacing w:after="100"/>
      <w:ind w:left="720"/>
    </w:pPr>
  </w:style>
  <w:style w:type="character" w:styleId="CommentReference">
    <w:name w:val="annotation reference"/>
    <w:basedOn w:val="DefaultParagraphFont"/>
    <w:uiPriority w:val="99"/>
    <w:unhideWhenUsed/>
    <w:rsid w:val="0019592C"/>
    <w:rPr>
      <w:sz w:val="16"/>
      <w:szCs w:val="16"/>
    </w:rPr>
  </w:style>
  <w:style w:type="paragraph" w:styleId="CommentText">
    <w:name w:val="annotation text"/>
    <w:basedOn w:val="Normal"/>
    <w:link w:val="CommentTextChar"/>
    <w:uiPriority w:val="99"/>
    <w:rsid w:val="0019592C"/>
    <w:pPr>
      <w:spacing w:line="240" w:lineRule="auto"/>
    </w:pPr>
    <w:rPr>
      <w:sz w:val="20"/>
      <w:szCs w:val="20"/>
    </w:rPr>
  </w:style>
  <w:style w:type="character" w:customStyle="1" w:styleId="CommentTextChar">
    <w:name w:val="Comment Text Char"/>
    <w:basedOn w:val="DefaultParagraphFont"/>
    <w:link w:val="CommentText"/>
    <w:uiPriority w:val="99"/>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character" w:customStyle="1" w:styleId="Heading7Char">
    <w:name w:val="Heading 7 Char"/>
    <w:basedOn w:val="DefaultParagraphFont"/>
    <w:link w:val="Heading7"/>
    <w:uiPriority w:val="9"/>
    <w:semiHidden/>
    <w:rsid w:val="008F2758"/>
    <w:rPr>
      <w:rFonts w:asciiTheme="majorHAnsi" w:eastAsiaTheme="majorEastAsia" w:hAnsiTheme="majorHAnsi" w:cstheme="majorBidi"/>
      <w:bCs/>
      <w:i/>
      <w:iCs/>
      <w:color w:val="FFFFFF" w:themeColor="text1" w:themeTint="BF"/>
      <w:sz w:val="24"/>
      <w:szCs w:val="26"/>
    </w:rPr>
  </w:style>
  <w:style w:type="character" w:customStyle="1" w:styleId="Heading8Char">
    <w:name w:val="Heading 8 Char"/>
    <w:basedOn w:val="DefaultParagraphFont"/>
    <w:link w:val="Heading8"/>
    <w:uiPriority w:val="9"/>
    <w:semiHidden/>
    <w:rsid w:val="008F2758"/>
    <w:rPr>
      <w:rFonts w:asciiTheme="majorHAnsi" w:eastAsiaTheme="majorEastAsia" w:hAnsiTheme="majorHAnsi" w:cstheme="majorBidi"/>
      <w:bCs/>
      <w:color w:val="FFFFFF" w:themeColor="text1" w:themeTint="BF"/>
    </w:rPr>
  </w:style>
  <w:style w:type="character" w:customStyle="1" w:styleId="Heading9Char">
    <w:name w:val="Heading 9 Char"/>
    <w:basedOn w:val="DefaultParagraphFont"/>
    <w:link w:val="Heading9"/>
    <w:uiPriority w:val="9"/>
    <w:semiHidden/>
    <w:rsid w:val="008F2758"/>
    <w:rPr>
      <w:rFonts w:asciiTheme="majorHAnsi" w:eastAsiaTheme="majorEastAsia" w:hAnsiTheme="majorHAnsi" w:cstheme="majorBidi"/>
      <w:bCs/>
      <w:i/>
      <w:iCs/>
      <w:color w:val="FFFFFF" w:themeColor="text1" w:themeTint="BF"/>
    </w:rPr>
  </w:style>
  <w:style w:type="paragraph" w:styleId="NoSpacing">
    <w:name w:val="No Spacing"/>
    <w:link w:val="NoSpacingChar"/>
    <w:uiPriority w:val="1"/>
    <w:qFormat/>
    <w:rsid w:val="008F2758"/>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8F2758"/>
    <w:rPr>
      <w:rFonts w:asciiTheme="minorHAnsi" w:eastAsiaTheme="minorEastAsia" w:hAnsiTheme="minorHAnsi" w:cstheme="minorBidi"/>
      <w:sz w:val="22"/>
      <w:szCs w:val="22"/>
      <w:lang w:val="en-US"/>
    </w:rPr>
  </w:style>
  <w:style w:type="paragraph" w:styleId="Title">
    <w:name w:val="Title"/>
    <w:basedOn w:val="Normal"/>
    <w:next w:val="Normal"/>
    <w:link w:val="TitleChar"/>
    <w:qFormat/>
    <w:rsid w:val="008F2758"/>
    <w:pPr>
      <w:spacing w:after="0" w:line="240" w:lineRule="auto"/>
      <w:contextualSpacing/>
      <w:textboxTightWrap w:val="none"/>
    </w:pPr>
    <w:rPr>
      <w:rFonts w:eastAsiaTheme="majorEastAsia" w:cstheme="majorBidi"/>
      <w:b/>
      <w:color w:val="005EB8"/>
      <w:spacing w:val="-10"/>
      <w:kern w:val="28"/>
      <w:sz w:val="72"/>
      <w:szCs w:val="56"/>
    </w:rPr>
  </w:style>
  <w:style w:type="character" w:customStyle="1" w:styleId="TitleChar">
    <w:name w:val="Title Char"/>
    <w:basedOn w:val="DefaultParagraphFont"/>
    <w:link w:val="Title"/>
    <w:rsid w:val="008F2758"/>
    <w:rPr>
      <w:rFonts w:ascii="Arial" w:eastAsiaTheme="majorEastAsia" w:hAnsi="Arial" w:cstheme="majorBidi"/>
      <w:b/>
      <w:color w:val="005EB8"/>
      <w:spacing w:val="-10"/>
      <w:kern w:val="28"/>
      <w:sz w:val="72"/>
      <w:szCs w:val="56"/>
    </w:rPr>
  </w:style>
  <w:style w:type="paragraph" w:styleId="Subtitle">
    <w:name w:val="Subtitle"/>
    <w:basedOn w:val="Normal"/>
    <w:next w:val="Normal"/>
    <w:link w:val="SubtitleChar"/>
    <w:qFormat/>
    <w:rsid w:val="008F2758"/>
    <w:pPr>
      <w:numPr>
        <w:ilvl w:val="1"/>
      </w:numPr>
      <w:spacing w:after="160" w:line="240" w:lineRule="auto"/>
      <w:textboxTightWrap w:val="none"/>
    </w:pPr>
    <w:rPr>
      <w:rFonts w:asciiTheme="minorHAnsi" w:eastAsiaTheme="minorEastAsia" w:hAnsiTheme="minorHAnsi" w:cstheme="minorBidi"/>
      <w:bCs/>
      <w:color w:val="FFFFFF" w:themeColor="text1" w:themeTint="A5"/>
      <w:spacing w:val="15"/>
      <w:sz w:val="22"/>
      <w:szCs w:val="22"/>
    </w:rPr>
  </w:style>
  <w:style w:type="character" w:customStyle="1" w:styleId="SubtitleChar">
    <w:name w:val="Subtitle Char"/>
    <w:basedOn w:val="DefaultParagraphFont"/>
    <w:link w:val="Subtitle"/>
    <w:rsid w:val="008F2758"/>
    <w:rPr>
      <w:rFonts w:asciiTheme="minorHAnsi" w:eastAsiaTheme="minorEastAsia" w:hAnsiTheme="minorHAnsi" w:cstheme="minorBidi"/>
      <w:bCs/>
      <w:color w:val="FFFFFF" w:themeColor="text1" w:themeTint="A5"/>
      <w:spacing w:val="15"/>
      <w:sz w:val="22"/>
      <w:szCs w:val="22"/>
    </w:rPr>
  </w:style>
  <w:style w:type="character" w:styleId="BookTitle">
    <w:name w:val="Book Title"/>
    <w:aliases w:val="Cover Sub heading"/>
    <w:basedOn w:val="DefaultParagraphFont"/>
    <w:uiPriority w:val="69"/>
    <w:qFormat/>
    <w:rsid w:val="008F2758"/>
    <w:rPr>
      <w:rFonts w:ascii="Arial" w:hAnsi="Arial" w:cs="Arial"/>
      <w:b/>
      <w:spacing w:val="5"/>
      <w:sz w:val="32"/>
      <w:szCs w:val="32"/>
    </w:rPr>
  </w:style>
  <w:style w:type="paragraph" w:customStyle="1" w:styleId="Default">
    <w:name w:val="Default"/>
    <w:rsid w:val="008F2758"/>
    <w:pPr>
      <w:autoSpaceDE w:val="0"/>
      <w:autoSpaceDN w:val="0"/>
      <w:adjustRightInd w:val="0"/>
    </w:pPr>
    <w:rPr>
      <w:rFonts w:ascii="Arial" w:eastAsiaTheme="minorHAnsi" w:hAnsi="Arial" w:cs="Arial"/>
      <w:color w:val="000000"/>
      <w:sz w:val="24"/>
      <w:szCs w:val="24"/>
    </w:rPr>
  </w:style>
  <w:style w:type="paragraph" w:styleId="FootnoteText">
    <w:name w:val="footnote text"/>
    <w:basedOn w:val="Normal"/>
    <w:link w:val="FootnoteTextChar"/>
    <w:uiPriority w:val="99"/>
    <w:unhideWhenUsed/>
    <w:rsid w:val="008F2758"/>
    <w:pPr>
      <w:spacing w:after="0" w:line="240" w:lineRule="auto"/>
      <w:textboxTightWrap w:val="none"/>
    </w:pPr>
    <w:rPr>
      <w:rFonts w:eastAsiaTheme="minorHAnsi" w:cstheme="minorBidi"/>
      <w:color w:val="auto"/>
      <w:sz w:val="20"/>
      <w:szCs w:val="20"/>
    </w:rPr>
  </w:style>
  <w:style w:type="character" w:customStyle="1" w:styleId="FootnoteTextChar">
    <w:name w:val="Footnote Text Char"/>
    <w:basedOn w:val="DefaultParagraphFont"/>
    <w:link w:val="FootnoteText"/>
    <w:uiPriority w:val="99"/>
    <w:rsid w:val="008F2758"/>
    <w:rPr>
      <w:rFonts w:ascii="Arial" w:eastAsiaTheme="minorHAnsi" w:hAnsi="Arial" w:cstheme="minorBidi"/>
    </w:rPr>
  </w:style>
  <w:style w:type="table" w:customStyle="1" w:styleId="TableGrid1">
    <w:name w:val="Table Grid1"/>
    <w:basedOn w:val="TableNormal"/>
    <w:next w:val="TableGrid"/>
    <w:uiPriority w:val="59"/>
    <w:rsid w:val="008F2758"/>
    <w:rPr>
      <w:rFonts w:ascii="Arial" w:eastAsia="HGSMinchoE" w:hAnsi="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2758"/>
    <w:rPr>
      <w:color w:val="605E5C"/>
      <w:shd w:val="clear" w:color="auto" w:fill="E1DFDD"/>
    </w:rPr>
  </w:style>
  <w:style w:type="character" w:styleId="FollowedHyperlink">
    <w:name w:val="FollowedHyperlink"/>
    <w:basedOn w:val="DefaultParagraphFont"/>
    <w:uiPriority w:val="99"/>
    <w:semiHidden/>
    <w:unhideWhenUsed/>
    <w:rsid w:val="008F2758"/>
    <w:rPr>
      <w:color w:val="003087" w:themeColor="followedHyperlink"/>
      <w:u w:val="single"/>
    </w:rPr>
  </w:style>
  <w:style w:type="paragraph" w:styleId="NormalWeb">
    <w:name w:val="Normal (Web)"/>
    <w:basedOn w:val="Normal"/>
    <w:uiPriority w:val="99"/>
    <w:unhideWhenUsed/>
    <w:rsid w:val="008F2758"/>
    <w:pPr>
      <w:spacing w:before="100" w:beforeAutospacing="1" w:after="100" w:afterAutospacing="1" w:line="240" w:lineRule="auto"/>
      <w:textboxTightWrap w:val="none"/>
    </w:pPr>
    <w:rPr>
      <w:rFonts w:ascii="Times New Roman" w:hAnsi="Times New Roman"/>
      <w:color w:val="auto"/>
      <w:lang w:eastAsia="en-GB"/>
    </w:rPr>
  </w:style>
  <w:style w:type="paragraph" w:styleId="Revision">
    <w:name w:val="Revision"/>
    <w:hidden/>
    <w:uiPriority w:val="99"/>
    <w:semiHidden/>
    <w:rsid w:val="008F2758"/>
    <w:rPr>
      <w:rFonts w:ascii="Arial" w:eastAsiaTheme="minorHAnsi" w:hAnsi="Arial" w:cstheme="minorBidi"/>
      <w:sz w:val="24"/>
      <w:szCs w:val="22"/>
    </w:rPr>
  </w:style>
  <w:style w:type="character" w:customStyle="1" w:styleId="UnresolvedMention2">
    <w:name w:val="Unresolved Mention2"/>
    <w:basedOn w:val="DefaultParagraphFont"/>
    <w:uiPriority w:val="99"/>
    <w:semiHidden/>
    <w:unhideWhenUsed/>
    <w:rsid w:val="008F2758"/>
    <w:rPr>
      <w:color w:val="605E5C"/>
      <w:shd w:val="clear" w:color="auto" w:fill="E1DFDD"/>
    </w:rPr>
  </w:style>
  <w:style w:type="character" w:customStyle="1" w:styleId="UnresolvedMention3">
    <w:name w:val="Unresolved Mention3"/>
    <w:basedOn w:val="DefaultParagraphFont"/>
    <w:uiPriority w:val="99"/>
    <w:unhideWhenUsed/>
    <w:rsid w:val="008F2758"/>
    <w:rPr>
      <w:color w:val="605E5C"/>
      <w:shd w:val="clear" w:color="auto" w:fill="E1DFDD"/>
    </w:rPr>
  </w:style>
  <w:style w:type="paragraph" w:customStyle="1" w:styleId="BasicParagraph">
    <w:name w:val="[Basic Paragraph]"/>
    <w:basedOn w:val="Normal"/>
    <w:uiPriority w:val="99"/>
    <w:rsid w:val="008F2758"/>
    <w:pPr>
      <w:widowControl w:val="0"/>
      <w:autoSpaceDE w:val="0"/>
      <w:autoSpaceDN w:val="0"/>
      <w:adjustRightInd w:val="0"/>
      <w:spacing w:after="0" w:line="288" w:lineRule="auto"/>
      <w:textAlignment w:val="center"/>
      <w:textboxTightWrap w:val="none"/>
    </w:pPr>
    <w:rPr>
      <w:rFonts w:ascii="MinionPro-Regular" w:hAnsi="MinionPro-Regular" w:cs="MinionPro-Regular"/>
      <w:bCs/>
      <w:szCs w:val="26"/>
    </w:rPr>
  </w:style>
  <w:style w:type="paragraph" w:customStyle="1" w:styleId="NoParagraphStyle">
    <w:name w:val="[No Paragraph Style]"/>
    <w:rsid w:val="008F2758"/>
    <w:pPr>
      <w:widowControl w:val="0"/>
      <w:autoSpaceDE w:val="0"/>
      <w:autoSpaceDN w:val="0"/>
      <w:adjustRightInd w:val="0"/>
      <w:spacing w:line="288" w:lineRule="auto"/>
      <w:textAlignment w:val="center"/>
    </w:pPr>
    <w:rPr>
      <w:rFonts w:ascii="MinionPro-Regular" w:eastAsia="HGSMinchoE" w:hAnsi="MinionPro-Regular" w:cs="MinionPro-Regular"/>
      <w:color w:val="000000"/>
      <w:sz w:val="24"/>
      <w:szCs w:val="24"/>
    </w:rPr>
  </w:style>
  <w:style w:type="character" w:styleId="PageNumber">
    <w:name w:val="page number"/>
    <w:uiPriority w:val="99"/>
    <w:semiHidden/>
    <w:unhideWhenUsed/>
    <w:rsid w:val="008F2758"/>
  </w:style>
  <w:style w:type="numbering" w:styleId="111111">
    <w:name w:val="Outline List 2"/>
    <w:basedOn w:val="NoList"/>
    <w:uiPriority w:val="99"/>
    <w:semiHidden/>
    <w:unhideWhenUsed/>
    <w:rsid w:val="008F2758"/>
    <w:pPr>
      <w:numPr>
        <w:numId w:val="3"/>
      </w:numPr>
    </w:pPr>
  </w:style>
  <w:style w:type="paragraph" w:customStyle="1" w:styleId="DHBodycopy">
    <w:name w:val="DH Body copy"/>
    <w:basedOn w:val="Normal"/>
    <w:uiPriority w:val="1"/>
    <w:rsid w:val="008F2758"/>
    <w:pPr>
      <w:spacing w:after="0" w:line="320" w:lineRule="exact"/>
      <w:textboxTightWrap w:val="none"/>
    </w:pPr>
    <w:rPr>
      <w:bCs/>
      <w:color w:val="auto"/>
      <w:szCs w:val="20"/>
    </w:rPr>
  </w:style>
  <w:style w:type="paragraph" w:customStyle="1" w:styleId="DHtitlepagetext">
    <w:name w:val="DH title page text"/>
    <w:basedOn w:val="Normal"/>
    <w:uiPriority w:val="1"/>
    <w:rsid w:val="008F2758"/>
    <w:pPr>
      <w:spacing w:after="0" w:line="660" w:lineRule="exact"/>
      <w:textboxTightWrap w:val="none"/>
    </w:pPr>
    <w:rPr>
      <w:rFonts w:eastAsia="MS Mincho" w:cs="Arial"/>
      <w:b/>
      <w:bCs/>
      <w:color w:val="auto"/>
      <w:szCs w:val="20"/>
    </w:rPr>
  </w:style>
  <w:style w:type="table" w:customStyle="1" w:styleId="TableGrid2">
    <w:name w:val="Table Grid2"/>
    <w:basedOn w:val="TableNormal"/>
    <w:next w:val="TableGrid"/>
    <w:uiPriority w:val="39"/>
    <w:rsid w:val="008F2758"/>
    <w:rPr>
      <w:rFonts w:ascii="Arial" w:eastAsia="HGSMinchoE" w:hAnsi="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F2758"/>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F2758"/>
    <w:rPr>
      <w:rFonts w:ascii="Arial" w:eastAsia="HGSMinchoE" w:hAnsi="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F2758"/>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F2758"/>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F2758"/>
    <w:pPr>
      <w:autoSpaceDE w:val="0"/>
      <w:autoSpaceDN w:val="0"/>
      <w:adjustRightInd w:val="0"/>
      <w:spacing w:after="0" w:line="240" w:lineRule="auto"/>
      <w:textboxTightWrap w:val="none"/>
    </w:pPr>
    <w:rPr>
      <w:rFonts w:eastAsia="MS Mincho" w:cs="Helv"/>
      <w:lang w:eastAsia="ja-JP" w:bidi="ne-NP"/>
    </w:rPr>
  </w:style>
  <w:style w:type="paragraph" w:customStyle="1" w:styleId="Body1">
    <w:name w:val="Body 1"/>
    <w:basedOn w:val="Normal"/>
    <w:uiPriority w:val="99"/>
    <w:qFormat/>
    <w:rsid w:val="008F2758"/>
    <w:pPr>
      <w:widowControl w:val="0"/>
      <w:autoSpaceDE w:val="0"/>
      <w:autoSpaceDN w:val="0"/>
      <w:adjustRightInd w:val="0"/>
      <w:spacing w:before="220" w:after="0" w:line="240" w:lineRule="auto"/>
      <w:textboxTightWrap w:val="none"/>
    </w:pPr>
    <w:rPr>
      <w:rFonts w:ascii="Frutiger LT 45 Light" w:hAnsi="Frutiger LT 45 Light" w:cs="Frutiger LT 45 Light"/>
      <w:sz w:val="22"/>
      <w:szCs w:val="22"/>
      <w:lang w:eastAsia="en-GB"/>
    </w:rPr>
  </w:style>
  <w:style w:type="paragraph" w:styleId="EndnoteText">
    <w:name w:val="endnote text"/>
    <w:basedOn w:val="Normal"/>
    <w:link w:val="EndnoteTextChar"/>
    <w:uiPriority w:val="99"/>
    <w:semiHidden/>
    <w:unhideWhenUsed/>
    <w:rsid w:val="008F2758"/>
    <w:pPr>
      <w:spacing w:after="0" w:line="240" w:lineRule="auto"/>
      <w:textboxTightWrap w:val="none"/>
    </w:pPr>
    <w:rPr>
      <w:rFonts w:ascii="Times New Roman" w:hAnsi="Times New Roman" w:cs="Mangal"/>
      <w:color w:val="auto"/>
      <w:sz w:val="20"/>
      <w:szCs w:val="18"/>
      <w:lang w:eastAsia="ja-JP" w:bidi="ne-NP"/>
    </w:rPr>
  </w:style>
  <w:style w:type="character" w:customStyle="1" w:styleId="EndnoteTextChar">
    <w:name w:val="Endnote Text Char"/>
    <w:basedOn w:val="DefaultParagraphFont"/>
    <w:link w:val="EndnoteText"/>
    <w:uiPriority w:val="99"/>
    <w:semiHidden/>
    <w:rsid w:val="008F2758"/>
    <w:rPr>
      <w:rFonts w:cs="Mangal"/>
      <w:szCs w:val="18"/>
      <w:lang w:eastAsia="ja-JP" w:bidi="ne-NP"/>
    </w:rPr>
  </w:style>
  <w:style w:type="character" w:styleId="EndnoteReference">
    <w:name w:val="endnote reference"/>
    <w:basedOn w:val="DefaultParagraphFont"/>
    <w:uiPriority w:val="99"/>
    <w:semiHidden/>
    <w:unhideWhenUsed/>
    <w:rsid w:val="008F2758"/>
    <w:rPr>
      <w:vertAlign w:val="superscript"/>
    </w:rPr>
  </w:style>
  <w:style w:type="paragraph" w:customStyle="1" w:styleId="Style1">
    <w:name w:val="Style1"/>
    <w:basedOn w:val="ListParagraph"/>
    <w:next w:val="Heading2"/>
    <w:link w:val="Style1Char"/>
    <w:qFormat/>
    <w:rsid w:val="008F2758"/>
    <w:pPr>
      <w:numPr>
        <w:ilvl w:val="2"/>
        <w:numId w:val="4"/>
      </w:numPr>
      <w:spacing w:after="0" w:line="360" w:lineRule="auto"/>
      <w:contextualSpacing/>
      <w:textboxTightWrap w:val="none"/>
    </w:pPr>
    <w:rPr>
      <w:bCs/>
      <w:color w:val="768692" w:themeColor="accent2"/>
      <w:szCs w:val="26"/>
    </w:rPr>
  </w:style>
  <w:style w:type="character" w:customStyle="1" w:styleId="Style1Char">
    <w:name w:val="Style1 Char"/>
    <w:basedOn w:val="DefaultParagraphFont"/>
    <w:link w:val="Style1"/>
    <w:rsid w:val="008F2758"/>
    <w:rPr>
      <w:rFonts w:ascii="Arial" w:hAnsi="Arial"/>
      <w:bCs/>
      <w:color w:val="768692" w:themeColor="accent2"/>
      <w:sz w:val="24"/>
      <w:szCs w:val="26"/>
    </w:rPr>
  </w:style>
  <w:style w:type="paragraph" w:customStyle="1" w:styleId="Body2">
    <w:name w:val="Body2"/>
    <w:basedOn w:val="Normal"/>
    <w:rsid w:val="008F2758"/>
    <w:pPr>
      <w:numPr>
        <w:numId w:val="5"/>
      </w:numPr>
      <w:spacing w:before="120" w:after="120" w:line="240" w:lineRule="auto"/>
      <w:ind w:left="360"/>
      <w:textboxTightWrap w:val="none"/>
    </w:pPr>
    <w:rPr>
      <w:rFonts w:eastAsiaTheme="minorHAnsi" w:cs="Arial"/>
      <w:color w:val="auto"/>
      <w:sz w:val="20"/>
      <w:szCs w:val="20"/>
    </w:rPr>
  </w:style>
  <w:style w:type="character" w:customStyle="1" w:styleId="legds2">
    <w:name w:val="legds2"/>
    <w:basedOn w:val="DefaultParagraphFont"/>
    <w:rsid w:val="008F2758"/>
    <w:rPr>
      <w:vanish w:val="0"/>
      <w:webHidden w:val="0"/>
      <w:specVanish w:val="0"/>
    </w:rPr>
  </w:style>
  <w:style w:type="numbering" w:customStyle="1" w:styleId="Style2">
    <w:name w:val="Style2"/>
    <w:uiPriority w:val="99"/>
    <w:rsid w:val="008F2758"/>
    <w:pPr>
      <w:numPr>
        <w:numId w:val="6"/>
      </w:numPr>
    </w:pPr>
  </w:style>
  <w:style w:type="numbering" w:customStyle="1" w:styleId="Style3">
    <w:name w:val="Style3"/>
    <w:uiPriority w:val="99"/>
    <w:rsid w:val="008F2758"/>
    <w:pPr>
      <w:numPr>
        <w:numId w:val="14"/>
      </w:numPr>
    </w:pPr>
  </w:style>
  <w:style w:type="paragraph" w:styleId="TOC5">
    <w:name w:val="toc 5"/>
    <w:basedOn w:val="Normal"/>
    <w:next w:val="Normal"/>
    <w:autoRedefine/>
    <w:uiPriority w:val="39"/>
    <w:unhideWhenUsed/>
    <w:rsid w:val="008F2758"/>
    <w:pPr>
      <w:spacing w:after="100" w:line="259" w:lineRule="auto"/>
      <w:ind w:left="880"/>
      <w:textboxTightWrap w:val="none"/>
    </w:pPr>
    <w:rPr>
      <w:rFonts w:asciiTheme="minorHAnsi" w:eastAsiaTheme="minorEastAsia" w:hAnsiTheme="minorHAnsi" w:cstheme="minorBidi"/>
      <w:color w:val="auto"/>
      <w:sz w:val="22"/>
      <w:szCs w:val="22"/>
      <w:lang w:eastAsia="en-GB"/>
    </w:rPr>
  </w:style>
  <w:style w:type="paragraph" w:styleId="TOC6">
    <w:name w:val="toc 6"/>
    <w:basedOn w:val="Normal"/>
    <w:next w:val="Normal"/>
    <w:autoRedefine/>
    <w:uiPriority w:val="39"/>
    <w:unhideWhenUsed/>
    <w:rsid w:val="008F2758"/>
    <w:pPr>
      <w:spacing w:after="100" w:line="259" w:lineRule="auto"/>
      <w:ind w:left="1100"/>
      <w:textboxTightWrap w:val="none"/>
    </w:pPr>
    <w:rPr>
      <w:rFonts w:asciiTheme="minorHAnsi" w:eastAsiaTheme="minorEastAsia" w:hAnsiTheme="minorHAnsi" w:cstheme="minorBidi"/>
      <w:color w:val="auto"/>
      <w:sz w:val="22"/>
      <w:szCs w:val="22"/>
      <w:lang w:eastAsia="en-GB"/>
    </w:rPr>
  </w:style>
  <w:style w:type="paragraph" w:styleId="TOC7">
    <w:name w:val="toc 7"/>
    <w:basedOn w:val="Normal"/>
    <w:next w:val="Normal"/>
    <w:autoRedefine/>
    <w:uiPriority w:val="39"/>
    <w:unhideWhenUsed/>
    <w:rsid w:val="008F2758"/>
    <w:pPr>
      <w:spacing w:after="100" w:line="259" w:lineRule="auto"/>
      <w:ind w:left="1320"/>
      <w:textboxTightWrap w:val="none"/>
    </w:pPr>
    <w:rPr>
      <w:rFonts w:asciiTheme="minorHAnsi" w:eastAsiaTheme="minorEastAsia" w:hAnsiTheme="minorHAnsi" w:cstheme="minorBidi"/>
      <w:color w:val="auto"/>
      <w:sz w:val="22"/>
      <w:szCs w:val="22"/>
      <w:lang w:eastAsia="en-GB"/>
    </w:rPr>
  </w:style>
  <w:style w:type="paragraph" w:styleId="TOC8">
    <w:name w:val="toc 8"/>
    <w:basedOn w:val="Normal"/>
    <w:next w:val="Normal"/>
    <w:autoRedefine/>
    <w:uiPriority w:val="39"/>
    <w:unhideWhenUsed/>
    <w:rsid w:val="008F2758"/>
    <w:pPr>
      <w:spacing w:after="100" w:line="259" w:lineRule="auto"/>
      <w:ind w:left="1540"/>
      <w:textboxTightWrap w:val="none"/>
    </w:pPr>
    <w:rPr>
      <w:rFonts w:asciiTheme="minorHAnsi" w:eastAsiaTheme="minorEastAsia" w:hAnsiTheme="minorHAnsi" w:cstheme="minorBidi"/>
      <w:color w:val="auto"/>
      <w:sz w:val="22"/>
      <w:szCs w:val="22"/>
      <w:lang w:eastAsia="en-GB"/>
    </w:rPr>
  </w:style>
  <w:style w:type="paragraph" w:styleId="TOC9">
    <w:name w:val="toc 9"/>
    <w:basedOn w:val="Normal"/>
    <w:next w:val="Normal"/>
    <w:autoRedefine/>
    <w:uiPriority w:val="39"/>
    <w:unhideWhenUsed/>
    <w:rsid w:val="008F2758"/>
    <w:pPr>
      <w:spacing w:after="100" w:line="259" w:lineRule="auto"/>
      <w:ind w:left="1760"/>
      <w:textboxTightWrap w:val="none"/>
    </w:pPr>
    <w:rPr>
      <w:rFonts w:asciiTheme="minorHAnsi" w:eastAsiaTheme="minorEastAsia" w:hAnsiTheme="minorHAnsi" w:cstheme="minorBidi"/>
      <w:color w:val="auto"/>
      <w:sz w:val="22"/>
      <w:szCs w:val="22"/>
      <w:lang w:eastAsia="en-GB"/>
    </w:rPr>
  </w:style>
  <w:style w:type="character" w:customStyle="1" w:styleId="UnresolvedMention4">
    <w:name w:val="Unresolved Mention4"/>
    <w:basedOn w:val="DefaultParagraphFont"/>
    <w:uiPriority w:val="99"/>
    <w:semiHidden/>
    <w:unhideWhenUsed/>
    <w:rsid w:val="008F2758"/>
    <w:rPr>
      <w:color w:val="605E5C"/>
      <w:shd w:val="clear" w:color="auto" w:fill="E1DFDD"/>
    </w:rPr>
  </w:style>
  <w:style w:type="character" w:customStyle="1" w:styleId="UnresolvedMention5">
    <w:name w:val="Unresolved Mention5"/>
    <w:basedOn w:val="DefaultParagraphFont"/>
    <w:uiPriority w:val="99"/>
    <w:semiHidden/>
    <w:unhideWhenUsed/>
    <w:rsid w:val="008F2758"/>
    <w:rPr>
      <w:color w:val="605E5C"/>
      <w:shd w:val="clear" w:color="auto" w:fill="E1DFDD"/>
    </w:rPr>
  </w:style>
  <w:style w:type="paragraph" w:styleId="PlainText">
    <w:name w:val="Plain Text"/>
    <w:basedOn w:val="Normal"/>
    <w:link w:val="PlainTextChar"/>
    <w:uiPriority w:val="99"/>
    <w:unhideWhenUsed/>
    <w:rsid w:val="008F2758"/>
    <w:pPr>
      <w:spacing w:after="0" w:line="240" w:lineRule="auto"/>
      <w:textboxTightWrap w:val="none"/>
    </w:pPr>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rsid w:val="008F2758"/>
    <w:rPr>
      <w:rFonts w:ascii="Calibri" w:eastAsiaTheme="minorHAnsi" w:hAnsi="Calibri" w:cstheme="minorBidi"/>
      <w:sz w:val="22"/>
      <w:szCs w:val="21"/>
    </w:rPr>
  </w:style>
  <w:style w:type="character" w:customStyle="1" w:styleId="UnresolvedMention6">
    <w:name w:val="Unresolved Mention6"/>
    <w:basedOn w:val="DefaultParagraphFont"/>
    <w:uiPriority w:val="99"/>
    <w:semiHidden/>
    <w:unhideWhenUsed/>
    <w:rsid w:val="008F2758"/>
    <w:rPr>
      <w:color w:val="605E5C"/>
      <w:shd w:val="clear" w:color="auto" w:fill="E1DFDD"/>
    </w:rPr>
  </w:style>
  <w:style w:type="character" w:customStyle="1" w:styleId="normaltextrun">
    <w:name w:val="normaltextrun"/>
    <w:basedOn w:val="DefaultParagraphFont"/>
    <w:rsid w:val="008F2758"/>
  </w:style>
  <w:style w:type="character" w:customStyle="1" w:styleId="eop">
    <w:name w:val="eop"/>
    <w:basedOn w:val="DefaultParagraphFont"/>
    <w:rsid w:val="008F2758"/>
  </w:style>
  <w:style w:type="character" w:styleId="Mention">
    <w:name w:val="Mention"/>
    <w:basedOn w:val="DefaultParagraphFont"/>
    <w:uiPriority w:val="99"/>
    <w:unhideWhenUsed/>
    <w:rsid w:val="008F2758"/>
    <w:rPr>
      <w:color w:val="2B579A"/>
      <w:shd w:val="clear" w:color="auto" w:fill="E6E6E6"/>
    </w:rPr>
  </w:style>
  <w:style w:type="character" w:styleId="UnresolvedMention">
    <w:name w:val="Unresolved Mention"/>
    <w:basedOn w:val="DefaultParagraphFont"/>
    <w:uiPriority w:val="99"/>
    <w:unhideWhenUsed/>
    <w:rsid w:val="008F2758"/>
    <w:rPr>
      <w:color w:val="605E5C"/>
      <w:shd w:val="clear" w:color="auto" w:fill="E1DFDD"/>
    </w:rPr>
  </w:style>
  <w:style w:type="numbering" w:customStyle="1" w:styleId="BulletList0">
    <w:name w:val="Bullet List"/>
    <w:basedOn w:val="NoList"/>
    <w:uiPriority w:val="99"/>
    <w:rsid w:val="008F2758"/>
    <w:pPr>
      <w:numPr>
        <w:numId w:val="31"/>
      </w:numPr>
    </w:pPr>
  </w:style>
  <w:style w:type="paragraph" w:styleId="List">
    <w:name w:val="List"/>
    <w:basedOn w:val="Normal"/>
    <w:uiPriority w:val="1"/>
    <w:unhideWhenUsed/>
    <w:rsid w:val="008F2758"/>
    <w:pPr>
      <w:spacing w:before="100"/>
      <w:textboxTightWrap w:val="none"/>
    </w:pPr>
    <w:rPr>
      <w:rFonts w:eastAsiaTheme="minorHAnsi" w:cstheme="minorBidi"/>
      <w:color w:val="231F20"/>
    </w:rPr>
  </w:style>
  <w:style w:type="paragraph" w:styleId="List2">
    <w:name w:val="List 2"/>
    <w:basedOn w:val="Normal"/>
    <w:uiPriority w:val="1"/>
    <w:semiHidden/>
    <w:unhideWhenUsed/>
    <w:rsid w:val="008F2758"/>
    <w:pPr>
      <w:tabs>
        <w:tab w:val="num" w:pos="567"/>
      </w:tabs>
      <w:ind w:left="567" w:hanging="567"/>
      <w:textboxTightWrap w:val="none"/>
    </w:pPr>
    <w:rPr>
      <w:rFonts w:eastAsiaTheme="minorHAnsi" w:cstheme="minorBidi"/>
      <w:color w:val="231F20"/>
    </w:rPr>
  </w:style>
  <w:style w:type="paragraph" w:styleId="List3">
    <w:name w:val="List 3"/>
    <w:basedOn w:val="Normal"/>
    <w:uiPriority w:val="1"/>
    <w:semiHidden/>
    <w:unhideWhenUsed/>
    <w:rsid w:val="008F2758"/>
    <w:pPr>
      <w:tabs>
        <w:tab w:val="num" w:pos="567"/>
      </w:tabs>
      <w:ind w:left="851" w:hanging="567"/>
      <w:textboxTightWrap w:val="none"/>
    </w:pPr>
    <w:rPr>
      <w:rFonts w:eastAsiaTheme="minorHAnsi" w:cstheme="minorBidi"/>
      <w:color w:val="231F20"/>
    </w:rPr>
  </w:style>
  <w:style w:type="paragraph" w:styleId="List4">
    <w:name w:val="List 4"/>
    <w:basedOn w:val="Normal"/>
    <w:uiPriority w:val="1"/>
    <w:semiHidden/>
    <w:unhideWhenUsed/>
    <w:rsid w:val="008F2758"/>
    <w:pPr>
      <w:tabs>
        <w:tab w:val="num" w:pos="567"/>
      </w:tabs>
      <w:ind w:left="1134" w:hanging="567"/>
      <w:textboxTightWrap w:val="none"/>
    </w:pPr>
    <w:rPr>
      <w:rFonts w:eastAsiaTheme="minorHAnsi" w:cstheme="minorBidi"/>
      <w:color w:val="231F20"/>
    </w:rPr>
  </w:style>
  <w:style w:type="paragraph" w:styleId="List5">
    <w:name w:val="List 5"/>
    <w:basedOn w:val="Normal"/>
    <w:uiPriority w:val="1"/>
    <w:semiHidden/>
    <w:unhideWhenUsed/>
    <w:rsid w:val="008F2758"/>
    <w:pPr>
      <w:tabs>
        <w:tab w:val="num" w:pos="567"/>
      </w:tabs>
      <w:ind w:left="1418" w:hanging="567"/>
      <w:textboxTightWrap w:val="none"/>
    </w:pPr>
    <w:rPr>
      <w:rFonts w:eastAsiaTheme="minorHAnsi" w:cstheme="minorBidi"/>
      <w:color w:val="231F20"/>
    </w:rPr>
  </w:style>
  <w:style w:type="paragraph" w:customStyle="1" w:styleId="Heading1Numbered">
    <w:name w:val="Heading 1 Numbered"/>
    <w:basedOn w:val="Heading1"/>
    <w:next w:val="Normal"/>
    <w:qFormat/>
    <w:rsid w:val="008F2758"/>
    <w:pPr>
      <w:keepLines/>
      <w:pageBreakBefore/>
      <w:numPr>
        <w:numId w:val="34"/>
      </w:numPr>
      <w:spacing w:before="240" w:after="240" w:line="360" w:lineRule="atLeast"/>
      <w:contextualSpacing/>
    </w:pPr>
    <w:rPr>
      <w:rFonts w:eastAsiaTheme="majorEastAsia" w:cstheme="majorBidi"/>
      <w:b w:val="0"/>
      <w:bCs w:val="0"/>
      <w:kern w:val="0"/>
      <w:sz w:val="36"/>
      <w14:ligatures w14:val="none"/>
    </w:rPr>
  </w:style>
  <w:style w:type="numbering" w:customStyle="1" w:styleId="NHSHeadings">
    <w:name w:val="NHS Headings"/>
    <w:basedOn w:val="NoList"/>
    <w:uiPriority w:val="99"/>
    <w:rsid w:val="008F2758"/>
    <w:pPr>
      <w:numPr>
        <w:numId w:val="34"/>
      </w:numPr>
    </w:pPr>
  </w:style>
  <w:style w:type="numbering" w:customStyle="1" w:styleId="NumberList">
    <w:name w:val="Number List"/>
    <w:basedOn w:val="BulletList0"/>
    <w:uiPriority w:val="99"/>
    <w:rsid w:val="008F2758"/>
    <w:pPr>
      <w:numPr>
        <w:numId w:val="32"/>
      </w:numPr>
    </w:pPr>
  </w:style>
  <w:style w:type="table" w:customStyle="1" w:styleId="NHSIntroBox">
    <w:name w:val="NHS Intro Box"/>
    <w:basedOn w:val="TableNormal"/>
    <w:uiPriority w:val="99"/>
    <w:rsid w:val="008F2758"/>
    <w:rPr>
      <w:rFonts w:eastAsiaTheme="minorHAnsi" w:cstheme="minorBidi"/>
      <w:sz w:val="24"/>
      <w:szCs w:val="24"/>
      <w:lang w:val="id-ID"/>
    </w:rPr>
    <w:tblPr>
      <w:tblCellMar>
        <w:top w:w="284" w:type="dxa"/>
        <w:left w:w="284" w:type="dxa"/>
        <w:bottom w:w="284" w:type="dxa"/>
        <w:right w:w="284" w:type="dxa"/>
      </w:tblCellMar>
    </w:tblPr>
    <w:tcPr>
      <w:shd w:val="clear" w:color="auto" w:fill="CCEEF5"/>
    </w:tcPr>
  </w:style>
  <w:style w:type="numbering" w:customStyle="1" w:styleId="NHSOutlineLevels">
    <w:name w:val="NHS Outline Levels"/>
    <w:basedOn w:val="NoList"/>
    <w:uiPriority w:val="99"/>
    <w:rsid w:val="008F2758"/>
    <w:pPr>
      <w:numPr>
        <w:numId w:val="33"/>
      </w:numPr>
    </w:pPr>
  </w:style>
  <w:style w:type="numbering" w:customStyle="1" w:styleId="NHSBullets">
    <w:name w:val="NHS Bullets"/>
    <w:basedOn w:val="BulletList0"/>
    <w:uiPriority w:val="99"/>
    <w:rsid w:val="008F2758"/>
    <w:pPr>
      <w:numPr>
        <w:numId w:val="40"/>
      </w:numPr>
    </w:pPr>
  </w:style>
  <w:style w:type="table" w:customStyle="1" w:styleId="NHSTable">
    <w:name w:val="NHS Table"/>
    <w:basedOn w:val="TableNormal"/>
    <w:uiPriority w:val="99"/>
    <w:rsid w:val="008F2758"/>
    <w:rPr>
      <w:rFonts w:eastAsiaTheme="minorHAnsi" w:cstheme="minorBidi"/>
      <w:sz w:val="24"/>
      <w:szCs w:val="24"/>
      <w:lang w:val="id-ID"/>
    </w:r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paragraph" w:customStyle="1" w:styleId="TableText">
    <w:name w:val="Table Text"/>
    <w:basedOn w:val="Normal"/>
    <w:qFormat/>
    <w:rsid w:val="008F2758"/>
    <w:pPr>
      <w:spacing w:after="0" w:line="240" w:lineRule="auto"/>
      <w:textboxTightWrap w:val="none"/>
    </w:pPr>
    <w:rPr>
      <w:rFonts w:eastAsiaTheme="minorHAnsi" w:cstheme="minorBidi"/>
      <w:color w:val="231F20"/>
    </w:rPr>
  </w:style>
  <w:style w:type="paragraph" w:customStyle="1" w:styleId="TableTitle">
    <w:name w:val="Table Title"/>
    <w:basedOn w:val="TableText"/>
    <w:qFormat/>
    <w:rsid w:val="008F2758"/>
    <w:rPr>
      <w:b/>
      <w:color w:val="FFFFFF"/>
    </w:rPr>
  </w:style>
  <w:style w:type="table" w:customStyle="1" w:styleId="NHSHighlightBox">
    <w:name w:val="NHS Highlight Box"/>
    <w:basedOn w:val="TableNormal"/>
    <w:uiPriority w:val="99"/>
    <w:rsid w:val="008F2758"/>
    <w:rPr>
      <w:rFonts w:eastAsiaTheme="minorHAnsi" w:cstheme="minorBidi"/>
      <w:sz w:val="24"/>
      <w:szCs w:val="24"/>
      <w:lang w:val="id-ID"/>
    </w:rPr>
    <w:tblPr>
      <w:tblCellMar>
        <w:top w:w="284" w:type="dxa"/>
        <w:left w:w="284" w:type="dxa"/>
        <w:bottom w:w="284" w:type="dxa"/>
        <w:right w:w="284" w:type="dxa"/>
      </w:tblCellMar>
    </w:tblPr>
    <w:tcPr>
      <w:shd w:val="clear" w:color="auto" w:fill="CCDFF1"/>
    </w:tcPr>
  </w:style>
  <w:style w:type="paragraph" w:customStyle="1" w:styleId="BackPageFooter">
    <w:name w:val="Back Page Footer"/>
    <w:basedOn w:val="Normal"/>
    <w:rsid w:val="008F2758"/>
    <w:pPr>
      <w:spacing w:after="0" w:line="240" w:lineRule="auto"/>
      <w:textboxTightWrap w:val="none"/>
    </w:pPr>
    <w:rPr>
      <w:rFonts w:eastAsiaTheme="minorHAnsi" w:cstheme="minorBidi"/>
      <w:color w:val="FFFFFF"/>
    </w:rPr>
  </w:style>
  <w:style w:type="paragraph" w:customStyle="1" w:styleId="BackPage">
    <w:name w:val="Back Page"/>
    <w:basedOn w:val="Normal"/>
    <w:uiPriority w:val="99"/>
    <w:rsid w:val="008F2758"/>
    <w:pPr>
      <w:spacing w:after="0" w:line="240" w:lineRule="atLeast"/>
      <w:textboxTightWrap w:val="none"/>
    </w:pPr>
    <w:rPr>
      <w:rFonts w:eastAsiaTheme="minorHAnsi" w:cstheme="minorBidi"/>
      <w:b/>
      <w:color w:val="FFFFFF"/>
    </w:rPr>
  </w:style>
  <w:style w:type="paragraph" w:customStyle="1" w:styleId="BackPageTitle">
    <w:name w:val="Back Page Title"/>
    <w:basedOn w:val="BackPage"/>
    <w:next w:val="BackPage"/>
    <w:rsid w:val="008F2758"/>
    <w:rPr>
      <w:sz w:val="28"/>
    </w:rPr>
  </w:style>
  <w:style w:type="paragraph" w:customStyle="1" w:styleId="BackPageAddress">
    <w:name w:val="Back Page Address"/>
    <w:basedOn w:val="BackPage"/>
    <w:rsid w:val="008F2758"/>
    <w:rPr>
      <w:b w:val="0"/>
    </w:rPr>
  </w:style>
  <w:style w:type="paragraph" w:customStyle="1" w:styleId="InsideCover">
    <w:name w:val="Inside Cover"/>
    <w:basedOn w:val="Normal"/>
    <w:qFormat/>
    <w:rsid w:val="008F2758"/>
    <w:pPr>
      <w:spacing w:after="0" w:line="800" w:lineRule="exact"/>
      <w:jc w:val="center"/>
      <w:textboxTightWrap w:val="none"/>
    </w:pPr>
    <w:rPr>
      <w:rFonts w:eastAsiaTheme="minorHAnsi" w:cstheme="minorBidi"/>
      <w:color w:val="005EB8"/>
      <w:sz w:val="56"/>
    </w:rPr>
  </w:style>
  <w:style w:type="paragraph" w:customStyle="1" w:styleId="PageHeading">
    <w:name w:val="Page Heading"/>
    <w:basedOn w:val="Normal"/>
    <w:next w:val="Normal"/>
    <w:qFormat/>
    <w:rsid w:val="008F2758"/>
    <w:pPr>
      <w:tabs>
        <w:tab w:val="center" w:pos="4513"/>
        <w:tab w:val="right" w:pos="9026"/>
      </w:tabs>
      <w:spacing w:after="0" w:line="240" w:lineRule="auto"/>
      <w:textboxTightWrap w:val="none"/>
    </w:pPr>
    <w:rPr>
      <w:rFonts w:eastAsiaTheme="minorHAnsi" w:cstheme="minorBidi"/>
      <w:b/>
      <w:color w:val="768692"/>
      <w:sz w:val="44"/>
      <w:u w:val="single" w:color="00A9CE"/>
    </w:rPr>
  </w:style>
  <w:style w:type="paragraph" w:customStyle="1" w:styleId="Heading2Numbered">
    <w:name w:val="Heading 2 Numbered"/>
    <w:basedOn w:val="Heading2"/>
    <w:next w:val="Normal"/>
    <w:qFormat/>
    <w:rsid w:val="008F2758"/>
    <w:pPr>
      <w:keepLines/>
      <w:numPr>
        <w:ilvl w:val="1"/>
        <w:numId w:val="34"/>
      </w:numPr>
      <w:tabs>
        <w:tab w:val="clear" w:pos="5963"/>
        <w:tab w:val="num" w:pos="567"/>
      </w:tabs>
      <w:spacing w:before="240" w:after="240"/>
      <w:ind w:left="567" w:hanging="567"/>
    </w:pPr>
    <w:rPr>
      <w:rFonts w:ascii="Arial" w:eastAsiaTheme="majorEastAsia" w:hAnsi="Arial" w:cstheme="majorBidi"/>
      <w:b w:val="0"/>
      <w:kern w:val="0"/>
      <w:sz w:val="36"/>
      <w:szCs w:val="26"/>
      <w14:ligatures w14:val="none"/>
    </w:rPr>
  </w:style>
  <w:style w:type="numbering" w:customStyle="1" w:styleId="NHSTableHeadings">
    <w:name w:val="NHS Table Headings"/>
    <w:basedOn w:val="NoList"/>
    <w:uiPriority w:val="99"/>
    <w:rsid w:val="008F2758"/>
    <w:pPr>
      <w:numPr>
        <w:numId w:val="35"/>
      </w:numPr>
    </w:pPr>
  </w:style>
  <w:style w:type="table" w:styleId="GridTable4-Accent1">
    <w:name w:val="Grid Table 4 Accent 1"/>
    <w:basedOn w:val="TableNormal"/>
    <w:uiPriority w:val="49"/>
    <w:rsid w:val="008F2758"/>
    <w:rPr>
      <w:rFonts w:asciiTheme="minorHAnsi" w:eastAsiaTheme="minorHAnsi" w:hAnsiTheme="minorHAnsi" w:cstheme="minorBidi"/>
      <w:sz w:val="22"/>
      <w:szCs w:val="22"/>
    </w:rPr>
    <w:tblPr>
      <w:tblStyleRowBandSize w:val="1"/>
      <w:tblStyleColBandSize w:val="1"/>
      <w:tblBorders>
        <w:top w:val="single" w:sz="4" w:space="0" w:color="1E6DFF" w:themeColor="accent1" w:themeTint="99"/>
        <w:left w:val="single" w:sz="4" w:space="0" w:color="1E6DFF" w:themeColor="accent1" w:themeTint="99"/>
        <w:bottom w:val="single" w:sz="4" w:space="0" w:color="1E6DFF" w:themeColor="accent1" w:themeTint="99"/>
        <w:right w:val="single" w:sz="4" w:space="0" w:color="1E6DFF" w:themeColor="accent1" w:themeTint="99"/>
        <w:insideH w:val="single" w:sz="4" w:space="0" w:color="1E6DFF" w:themeColor="accent1" w:themeTint="99"/>
        <w:insideV w:val="single" w:sz="4" w:space="0" w:color="1E6DFF" w:themeColor="accent1" w:themeTint="99"/>
      </w:tblBorders>
    </w:tblPr>
    <w:tblStylePr w:type="firstRow">
      <w:rPr>
        <w:b/>
        <w:bCs/>
        <w:color w:val="231F20" w:themeColor="background1"/>
      </w:rPr>
      <w:tblPr/>
      <w:tcPr>
        <w:tcBorders>
          <w:top w:val="single" w:sz="4" w:space="0" w:color="003087" w:themeColor="accent1"/>
          <w:left w:val="single" w:sz="4" w:space="0" w:color="003087" w:themeColor="accent1"/>
          <w:bottom w:val="single" w:sz="4" w:space="0" w:color="003087" w:themeColor="accent1"/>
          <w:right w:val="single" w:sz="4" w:space="0" w:color="003087" w:themeColor="accent1"/>
          <w:insideH w:val="nil"/>
          <w:insideV w:val="nil"/>
        </w:tcBorders>
        <w:shd w:val="clear" w:color="auto" w:fill="003087" w:themeFill="accent1"/>
      </w:tcPr>
    </w:tblStylePr>
    <w:tblStylePr w:type="lastRow">
      <w:rPr>
        <w:b/>
        <w:bCs/>
      </w:rPr>
      <w:tblPr/>
      <w:tcPr>
        <w:tcBorders>
          <w:top w:val="double" w:sz="4" w:space="0" w:color="003087" w:themeColor="accent1"/>
        </w:tcBorders>
      </w:tcPr>
    </w:tblStylePr>
    <w:tblStylePr w:type="firstCol">
      <w:rPr>
        <w:b/>
        <w:bCs/>
      </w:rPr>
    </w:tblStylePr>
    <w:tblStylePr w:type="lastCol">
      <w:rPr>
        <w:b/>
        <w:bCs/>
      </w:rPr>
    </w:tblStylePr>
    <w:tblStylePr w:type="band1Vert">
      <w:tblPr/>
      <w:tcPr>
        <w:shd w:val="clear" w:color="auto" w:fill="B4CEFF" w:themeFill="accent1" w:themeFillTint="33"/>
      </w:tcPr>
    </w:tblStylePr>
    <w:tblStylePr w:type="band1Horz">
      <w:tblPr/>
      <w:tcPr>
        <w:shd w:val="clear" w:color="auto" w:fill="B4CEFF" w:themeFill="accent1" w:themeFillTint="33"/>
      </w:tcPr>
    </w:tblStylePr>
  </w:style>
  <w:style w:type="paragraph" w:customStyle="1" w:styleId="BulletUnindented">
    <w:name w:val="Bullet Unindented"/>
    <w:basedOn w:val="Normal"/>
    <w:qFormat/>
    <w:rsid w:val="008F2758"/>
    <w:pPr>
      <w:numPr>
        <w:numId w:val="36"/>
      </w:numPr>
      <w:spacing w:after="0" w:line="240" w:lineRule="auto"/>
      <w:textboxTightWrap w:val="none"/>
    </w:pPr>
    <w:rPr>
      <w:rFonts w:eastAsia="SimSun" w:cs="Arial"/>
      <w:color w:val="auto"/>
      <w:lang w:eastAsia="zh-CN"/>
    </w:rPr>
  </w:style>
  <w:style w:type="paragraph" w:customStyle="1" w:styleId="BulletIndent1">
    <w:name w:val="Bullet Indent 1"/>
    <w:basedOn w:val="BulletUnindented"/>
    <w:qFormat/>
    <w:rsid w:val="008F2758"/>
    <w:pPr>
      <w:numPr>
        <w:numId w:val="37"/>
      </w:numPr>
    </w:pPr>
    <w:rPr>
      <w:rFonts w:asciiTheme="minorHAnsi" w:hAnsiTheme="minorHAnsi"/>
    </w:rPr>
  </w:style>
  <w:style w:type="paragraph" w:customStyle="1" w:styleId="BulletIndent2">
    <w:name w:val="Bullet Indent 2"/>
    <w:basedOn w:val="BulletUnindented"/>
    <w:qFormat/>
    <w:rsid w:val="008F2758"/>
    <w:pPr>
      <w:numPr>
        <w:numId w:val="38"/>
      </w:numPr>
      <w:spacing w:after="120"/>
      <w:contextualSpacing/>
    </w:pPr>
    <w:rPr>
      <w:rFonts w:asciiTheme="minorHAnsi" w:hAnsiTheme="minorHAnsi"/>
    </w:rPr>
  </w:style>
  <w:style w:type="character" w:customStyle="1" w:styleId="UnresolvedMention30">
    <w:name w:val="Unresolved Mention30"/>
    <w:basedOn w:val="DefaultParagraphFont"/>
    <w:uiPriority w:val="99"/>
    <w:semiHidden/>
    <w:unhideWhenUsed/>
    <w:rsid w:val="008F2758"/>
    <w:rPr>
      <w:color w:val="605E5C"/>
      <w:shd w:val="clear" w:color="auto" w:fill="E1DFDD"/>
    </w:rPr>
  </w:style>
  <w:style w:type="character" w:customStyle="1" w:styleId="Mention1">
    <w:name w:val="Mention1"/>
    <w:basedOn w:val="DefaultParagraphFont"/>
    <w:uiPriority w:val="99"/>
    <w:unhideWhenUsed/>
    <w:rsid w:val="008F2758"/>
    <w:rPr>
      <w:color w:val="2B579A"/>
      <w:shd w:val="clear" w:color="auto" w:fill="E1DFDD"/>
    </w:rPr>
  </w:style>
  <w:style w:type="paragraph" w:customStyle="1" w:styleId="paragraph">
    <w:name w:val="paragraph"/>
    <w:basedOn w:val="Normal"/>
    <w:rsid w:val="008F2758"/>
    <w:pPr>
      <w:spacing w:before="100" w:beforeAutospacing="1" w:after="100" w:afterAutospacing="1" w:line="240" w:lineRule="auto"/>
      <w:textboxTightWrap w:val="none"/>
    </w:pPr>
    <w:rPr>
      <w:color w:val="auto"/>
      <w:lang w:eastAsia="en-GB"/>
    </w:rPr>
  </w:style>
  <w:style w:type="paragraph" w:styleId="ListBullet">
    <w:name w:val="List Bullet"/>
    <w:basedOn w:val="Normal"/>
    <w:unhideWhenUsed/>
    <w:qFormat/>
    <w:rsid w:val="008F2758"/>
    <w:pPr>
      <w:numPr>
        <w:numId w:val="39"/>
      </w:numPr>
      <w:spacing w:after="0" w:line="240" w:lineRule="auto"/>
      <w:contextualSpacing/>
      <w:textboxTightWrap w:val="none"/>
    </w:pPr>
    <w:rPr>
      <w:rFonts w:eastAsiaTheme="minorHAnsi" w:cstheme="minorBidi"/>
      <w:color w:val="231F20"/>
    </w:rPr>
  </w:style>
  <w:style w:type="character" w:customStyle="1" w:styleId="ui-provider">
    <w:name w:val="ui-provider"/>
    <w:basedOn w:val="DefaultParagraphFont"/>
    <w:rsid w:val="008F2758"/>
  </w:style>
  <w:style w:type="paragraph" w:styleId="BodyText">
    <w:name w:val="Body Text"/>
    <w:basedOn w:val="Normal"/>
    <w:link w:val="BodyTextChar"/>
    <w:qFormat/>
    <w:rsid w:val="008F2758"/>
    <w:pPr>
      <w:textboxTightWrap w:val="none"/>
    </w:pPr>
    <w:rPr>
      <w:rFonts w:eastAsiaTheme="minorHAnsi" w:cstheme="minorBidi"/>
      <w:color w:val="231F20"/>
    </w:rPr>
  </w:style>
  <w:style w:type="character" w:customStyle="1" w:styleId="BodyTextChar">
    <w:name w:val="Body Text Char"/>
    <w:basedOn w:val="DefaultParagraphFont"/>
    <w:link w:val="BodyText"/>
    <w:rsid w:val="008F2758"/>
    <w:rPr>
      <w:rFonts w:ascii="Arial" w:eastAsiaTheme="minorHAnsi" w:hAnsi="Arial" w:cstheme="minorBidi"/>
      <w:color w:val="231F20"/>
      <w:sz w:val="24"/>
      <w:szCs w:val="24"/>
    </w:rPr>
  </w:style>
  <w:style w:type="table" w:styleId="TableGridLight">
    <w:name w:val="Grid Table Light"/>
    <w:basedOn w:val="TableNormal"/>
    <w:uiPriority w:val="40"/>
    <w:rsid w:val="008F2758"/>
    <w:rPr>
      <w:rFonts w:ascii="Arial" w:eastAsiaTheme="minorHAnsi" w:hAnsi="Arial" w:cstheme="minorBidi"/>
      <w:color w:val="231F20"/>
      <w:sz w:val="24"/>
      <w:szCs w:val="24"/>
    </w:rPr>
    <w:tblPr>
      <w:tblBorders>
        <w:top w:val="single" w:sz="4" w:space="0" w:color="1A1717" w:themeColor="background1" w:themeShade="BF"/>
        <w:left w:val="single" w:sz="4" w:space="0" w:color="1A1717" w:themeColor="background1" w:themeShade="BF"/>
        <w:bottom w:val="single" w:sz="4" w:space="0" w:color="1A1717" w:themeColor="background1" w:themeShade="BF"/>
        <w:right w:val="single" w:sz="4" w:space="0" w:color="1A1717" w:themeColor="background1" w:themeShade="BF"/>
        <w:insideH w:val="single" w:sz="4" w:space="0" w:color="1A1717" w:themeColor="background1" w:themeShade="BF"/>
        <w:insideV w:val="single" w:sz="4" w:space="0" w:color="1A1717" w:themeColor="background1" w:themeShade="BF"/>
      </w:tblBorders>
    </w:tblPr>
  </w:style>
  <w:style w:type="table" w:styleId="GridTable1Light">
    <w:name w:val="Grid Table 1 Light"/>
    <w:basedOn w:val="TableNormal"/>
    <w:uiPriority w:val="46"/>
    <w:rsid w:val="008F2758"/>
    <w:rPr>
      <w:rFonts w:ascii="Arial" w:eastAsiaTheme="minorHAnsi" w:hAnsi="Arial" w:cstheme="minorBidi"/>
      <w:color w:val="231F20"/>
      <w:sz w:val="24"/>
      <w:szCs w:val="24"/>
    </w:rPr>
    <w:tblPr>
      <w:tblStyleRowBandSize w:val="1"/>
      <w:tblStyleColBandSize w:val="1"/>
      <w:tblBorders>
        <w:top w:val="single" w:sz="4" w:space="0" w:color="FFFFFF" w:themeColor="text1" w:themeTint="66"/>
        <w:left w:val="single" w:sz="4" w:space="0" w:color="FFFFFF" w:themeColor="text1" w:themeTint="66"/>
        <w:bottom w:val="single" w:sz="4" w:space="0" w:color="FFFFFF" w:themeColor="text1" w:themeTint="66"/>
        <w:right w:val="single" w:sz="4" w:space="0" w:color="FFFFFF" w:themeColor="text1" w:themeTint="66"/>
        <w:insideH w:val="single" w:sz="4" w:space="0" w:color="FFFFFF" w:themeColor="text1" w:themeTint="66"/>
        <w:insideV w:val="single" w:sz="4" w:space="0" w:color="FFFFFF" w:themeColor="text1" w:themeTint="66"/>
      </w:tblBorders>
    </w:tblPr>
    <w:tblStylePr w:type="firstRow">
      <w:rPr>
        <w:b/>
        <w:bCs/>
      </w:rPr>
      <w:tblPr/>
      <w:tcPr>
        <w:tcBorders>
          <w:bottom w:val="single" w:sz="12" w:space="0" w:color="FFFFFF" w:themeColor="text1" w:themeTint="99"/>
        </w:tcBorders>
      </w:tcPr>
    </w:tblStylePr>
    <w:tblStylePr w:type="lastRow">
      <w:rPr>
        <w:b/>
        <w:bCs/>
      </w:rPr>
      <w:tblPr/>
      <w:tcPr>
        <w:tcBorders>
          <w:top w:val="double" w:sz="2" w:space="0" w:color="FFFFFF" w:themeColor="text1" w:themeTint="99"/>
        </w:tcBorders>
      </w:tcPr>
    </w:tblStylePr>
    <w:tblStylePr w:type="firstCol">
      <w:rPr>
        <w:b/>
        <w:bCs/>
      </w:rPr>
    </w:tblStylePr>
    <w:tblStylePr w:type="lastCol">
      <w:rPr>
        <w:b/>
        <w:bCs/>
      </w:rPr>
    </w:tblStylePr>
  </w:style>
  <w:style w:type="character" w:customStyle="1" w:styleId="superscript">
    <w:name w:val="superscript"/>
    <w:basedOn w:val="DefaultParagraphFont"/>
    <w:rsid w:val="008F2758"/>
  </w:style>
  <w:style w:type="paragraph" w:customStyle="1" w:styleId="Bodytextnumbered111a">
    <w:name w:val="Body text numbered 1.1.1.a"/>
    <w:basedOn w:val="Normal"/>
    <w:rsid w:val="00AF301C"/>
    <w:pPr>
      <w:ind w:left="1134" w:hanging="1134"/>
    </w:pPr>
  </w:style>
  <w:style w:type="numbering" w:customStyle="1" w:styleId="1111111">
    <w:name w:val="1 / 1.1 / 1.1.11"/>
    <w:basedOn w:val="NoList"/>
    <w:next w:val="111111"/>
    <w:uiPriority w:val="99"/>
    <w:semiHidden/>
    <w:unhideWhenUsed/>
    <w:rsid w:val="00257D53"/>
  </w:style>
  <w:style w:type="character" w:customStyle="1" w:styleId="cf01">
    <w:name w:val="cf01"/>
    <w:basedOn w:val="DefaultParagraphFont"/>
    <w:rsid w:val="008037B6"/>
    <w:rPr>
      <w:rFonts w:ascii="Segoe UI" w:hAnsi="Segoe UI" w:cs="Segoe UI" w:hint="default"/>
      <w:i/>
      <w:iCs/>
      <w:sz w:val="18"/>
      <w:szCs w:val="18"/>
    </w:rPr>
  </w:style>
  <w:style w:type="character" w:customStyle="1" w:styleId="cf11">
    <w:name w:val="cf11"/>
    <w:basedOn w:val="DefaultParagraphFont"/>
    <w:rsid w:val="008037B6"/>
    <w:rPr>
      <w:rFonts w:ascii="Segoe UI" w:hAnsi="Segoe UI" w:cs="Segoe UI" w:hint="default"/>
      <w:i/>
      <w:iCs/>
      <w:sz w:val="18"/>
      <w:szCs w:val="18"/>
    </w:rPr>
  </w:style>
  <w:style w:type="paragraph" w:customStyle="1" w:styleId="Style4">
    <w:name w:val="Style4"/>
    <w:basedOn w:val="Heading4"/>
    <w:link w:val="Style4Char"/>
    <w:qFormat/>
    <w:rsid w:val="008F28C2"/>
    <w:pPr>
      <w:numPr>
        <w:numId w:val="24"/>
      </w:numPr>
      <w:ind w:left="851" w:hanging="851"/>
    </w:pPr>
    <w:rPr>
      <w:rFonts w:ascii="Arial" w:hAnsi="Arial"/>
      <w:b w:val="0"/>
      <w:sz w:val="24"/>
    </w:rPr>
  </w:style>
  <w:style w:type="character" w:customStyle="1" w:styleId="Style4Char">
    <w:name w:val="Style4 Char"/>
    <w:basedOn w:val="Heading4Char"/>
    <w:link w:val="Style4"/>
    <w:rsid w:val="008F28C2"/>
    <w:rPr>
      <w:rFonts w:ascii="Arial" w:eastAsia="MS Mincho" w:hAnsi="Arial"/>
      <w:b w:val="0"/>
      <w:color w:val="231F20" w:themeColor="background1"/>
      <w:kern w:val="28"/>
      <w:sz w:val="24"/>
      <w14:ligatures w14:val="standardContextual"/>
    </w:rPr>
  </w:style>
  <w:style w:type="paragraph" w:customStyle="1" w:styleId="Style5">
    <w:name w:val="Style5"/>
    <w:basedOn w:val="bodytextnumbered11"/>
    <w:link w:val="Style5Char"/>
    <w:qFormat/>
    <w:rsid w:val="00084AFF"/>
    <w:pPr>
      <w:spacing w:line="276" w:lineRule="auto"/>
      <w:ind w:left="851" w:hanging="851"/>
    </w:pPr>
  </w:style>
  <w:style w:type="character" w:customStyle="1" w:styleId="Style5Char">
    <w:name w:val="Style5 Char"/>
    <w:basedOn w:val="bodytextnumbered11Char"/>
    <w:link w:val="Style5"/>
    <w:rsid w:val="00084AFF"/>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191">
      <w:bodyDiv w:val="1"/>
      <w:marLeft w:val="0"/>
      <w:marRight w:val="0"/>
      <w:marTop w:val="0"/>
      <w:marBottom w:val="0"/>
      <w:divBdr>
        <w:top w:val="none" w:sz="0" w:space="0" w:color="auto"/>
        <w:left w:val="none" w:sz="0" w:space="0" w:color="auto"/>
        <w:bottom w:val="none" w:sz="0" w:space="0" w:color="auto"/>
        <w:right w:val="none" w:sz="0" w:space="0" w:color="auto"/>
      </w:divBdr>
    </w:div>
    <w:div w:id="744379066">
      <w:bodyDiv w:val="1"/>
      <w:marLeft w:val="0"/>
      <w:marRight w:val="0"/>
      <w:marTop w:val="0"/>
      <w:marBottom w:val="0"/>
      <w:divBdr>
        <w:top w:val="none" w:sz="0" w:space="0" w:color="auto"/>
        <w:left w:val="none" w:sz="0" w:space="0" w:color="auto"/>
        <w:bottom w:val="none" w:sz="0" w:space="0" w:color="auto"/>
        <w:right w:val="none" w:sz="0" w:space="0" w:color="auto"/>
      </w:divBdr>
    </w:div>
    <w:div w:id="867107270">
      <w:bodyDiv w:val="1"/>
      <w:marLeft w:val="0"/>
      <w:marRight w:val="0"/>
      <w:marTop w:val="0"/>
      <w:marBottom w:val="0"/>
      <w:divBdr>
        <w:top w:val="none" w:sz="0" w:space="0" w:color="auto"/>
        <w:left w:val="none" w:sz="0" w:space="0" w:color="auto"/>
        <w:bottom w:val="none" w:sz="0" w:space="0" w:color="auto"/>
        <w:right w:val="none" w:sz="0" w:space="0" w:color="auto"/>
      </w:divBdr>
    </w:div>
    <w:div w:id="1150252908">
      <w:bodyDiv w:val="1"/>
      <w:marLeft w:val="0"/>
      <w:marRight w:val="0"/>
      <w:marTop w:val="0"/>
      <w:marBottom w:val="0"/>
      <w:divBdr>
        <w:top w:val="none" w:sz="0" w:space="0" w:color="auto"/>
        <w:left w:val="none" w:sz="0" w:space="0" w:color="auto"/>
        <w:bottom w:val="none" w:sz="0" w:space="0" w:color="auto"/>
        <w:right w:val="none" w:sz="0" w:space="0" w:color="auto"/>
      </w:divBdr>
    </w:div>
    <w:div w:id="1220286432">
      <w:bodyDiv w:val="1"/>
      <w:marLeft w:val="0"/>
      <w:marRight w:val="0"/>
      <w:marTop w:val="0"/>
      <w:marBottom w:val="0"/>
      <w:divBdr>
        <w:top w:val="none" w:sz="0" w:space="0" w:color="auto"/>
        <w:left w:val="none" w:sz="0" w:space="0" w:color="auto"/>
        <w:bottom w:val="none" w:sz="0" w:space="0" w:color="auto"/>
        <w:right w:val="none" w:sz="0" w:space="0" w:color="auto"/>
      </w:divBdr>
    </w:div>
    <w:div w:id="1441298072">
      <w:bodyDiv w:val="1"/>
      <w:marLeft w:val="0"/>
      <w:marRight w:val="0"/>
      <w:marTop w:val="0"/>
      <w:marBottom w:val="0"/>
      <w:divBdr>
        <w:top w:val="none" w:sz="0" w:space="0" w:color="auto"/>
        <w:left w:val="none" w:sz="0" w:space="0" w:color="auto"/>
        <w:bottom w:val="none" w:sz="0" w:space="0" w:color="auto"/>
        <w:right w:val="none" w:sz="0" w:space="0" w:color="auto"/>
      </w:divBdr>
    </w:div>
    <w:div w:id="198400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nhs-primary-medical-service-directions" TargetMode="External"/><Relationship Id="rId18" Type="http://schemas.openxmlformats.org/officeDocument/2006/relationships/hyperlink" Target="https://www.england.nhs.uk/wp-content/uploads/2019/03/network-contract-des-and-vat-information-note-v2.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ontact.org.uk/wp-content/uploads/2021/03/Annual-health-checks-parents.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england.nhs.uk/personalisedcare/supporting-health-and-care-staff-to-deliver-personalised-care/personalised-care-institute/" TargetMode="External"/><Relationship Id="rId25" Type="http://schemas.openxmlformats.org/officeDocument/2006/relationships/hyperlink" Target="https://www.nice.org.uk/guidance/htg690" TargetMode="External"/><Relationship Id="rId2" Type="http://schemas.openxmlformats.org/officeDocument/2006/relationships/customXml" Target="../customXml/item2.xml"/><Relationship Id="rId16" Type="http://schemas.openxmlformats.org/officeDocument/2006/relationships/hyperlink" Target="https://www.england.nhs.uk/long-read/health-coaching/" TargetMode="External"/><Relationship Id="rId20" Type="http://schemas.openxmlformats.org/officeDocument/2006/relationships/hyperlink" Target="https://www.mencap.org.uk/advice-and-support/health/dont-miss-out/dont-miss-out-guides-and-resourc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hsrho.org/research/review-into-factors-that-contribute-towards-inequalities-in-health-outcomes-faced-by-those-with-a-learning-disability-from-a-minority-ethnic-community/" TargetMode="External"/><Relationship Id="rId5" Type="http://schemas.openxmlformats.org/officeDocument/2006/relationships/customXml" Target="../customXml/item5.xml"/><Relationship Id="rId15" Type="http://schemas.openxmlformats.org/officeDocument/2006/relationships/hyperlink" Target="https://www.england.nhs.uk/publication/social-prescribing-link-workers/" TargetMode="External"/><Relationship Id="rId23" Type="http://schemas.openxmlformats.org/officeDocument/2006/relationships/hyperlink" Target="https://www.england.nhs.uk/learning-disabilities/improving-health/learning-from-lives-and-death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gland.nhs.uk/learning-disabilities/improving-health/annual-health-chec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uture.nhs.uk/P_C_N/view?objectID=26615376" TargetMode="External"/><Relationship Id="rId22" Type="http://schemas.openxmlformats.org/officeDocument/2006/relationships/hyperlink" Target="https://www.gov.uk/government/publications/annual-health-checks-and-people-with-learning-disabilities/annual-health-checks-and-people-with-learning-disabilities"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hsemployers.org/system/files/2021-06/TCS-GP-GMS-150409.pdf" TargetMode="External"/><Relationship Id="rId3" Type="http://schemas.openxmlformats.org/officeDocument/2006/relationships/hyperlink" Target="https://www.legislation.gov.uk/uksi/2020/911/schedule/1/made?view=plain" TargetMode="External"/><Relationship Id="rId7" Type="http://schemas.openxmlformats.org/officeDocument/2006/relationships/hyperlink" Target="https://www.cppe.ac.uk/career/moch/moch-training-pathway" TargetMode="External"/><Relationship Id="rId2" Type="http://schemas.openxmlformats.org/officeDocument/2006/relationships/hyperlink" Target="https://www.england.nhs.uk/publication/sub-contract-for-the-provision-of-services-related-to-the-network-contract-des-2024-25/" TargetMode="External"/><Relationship Id="rId1" Type="http://schemas.openxmlformats.org/officeDocument/2006/relationships/hyperlink" Target="https://digital.nhs.uk/services/organisation-data-service/request-a-new-code-or-update-organisation-details" TargetMode="External"/><Relationship Id="rId6" Type="http://schemas.openxmlformats.org/officeDocument/2006/relationships/hyperlink" Target="https://www.cppe.ac.uk/career/clinical-pharmacists-in-general-practice-education" TargetMode="External"/><Relationship Id="rId5" Type="http://schemas.openxmlformats.org/officeDocument/2006/relationships/hyperlink" Target="https://www.england.nhs.uk/publication/general-medical-services-gms-and-primary-care-network-pcn-income-ready-reckoner-from-1-april-2025/" TargetMode="External"/><Relationship Id="rId10" Type="http://schemas.openxmlformats.org/officeDocument/2006/relationships/hyperlink" Target="https://future.nhs.uk/PrimaryCareDataHub/groupHome" TargetMode="External"/><Relationship Id="rId4" Type="http://schemas.openxmlformats.org/officeDocument/2006/relationships/hyperlink" Target="https://digital.nhs.uk/data-and-information/areas-of-interest/workforce/national-workforce-reporting-service-nwrs/guidance" TargetMode="External"/><Relationship Id="rId9" Type="http://schemas.openxmlformats.org/officeDocument/2006/relationships/hyperlink" Target="https://pcse.england.nhs.uk/help/gp-payments/change-bank-account-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9B1ED8BC034DF29266334185EBC3A1"/>
        <w:category>
          <w:name w:val="General"/>
          <w:gallery w:val="placeholder"/>
        </w:category>
        <w:types>
          <w:type w:val="bbPlcHdr"/>
        </w:types>
        <w:behaviors>
          <w:behavior w:val="content"/>
        </w:behaviors>
        <w:guid w:val="{47734C7B-AFE9-4EDF-A38C-2653A14A4C75}"/>
      </w:docPartPr>
      <w:docPartBody>
        <w:p w:rsidR="00DE68D7" w:rsidRDefault="009B04DF">
          <w:pPr>
            <w:pStyle w:val="E99B1ED8BC034DF29266334185EBC3A1"/>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GSMinchoE">
    <w:charset w:val="80"/>
    <w:family w:val="roman"/>
    <w:pitch w:val="variable"/>
    <w:sig w:usb0="E00002FF" w:usb1="2AC7EDFE" w:usb2="00000012" w:usb3="00000000" w:csb0="00020001" w:csb1="00000000"/>
  </w:font>
  <w:font w:name="MinionPro-Regular">
    <w:altName w:val="Calibri"/>
    <w:panose1 w:val="02040503050201020203"/>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Frutiger LT 45 Light">
    <w:altName w:val="Malgun Gothic"/>
    <w:charset w:val="00"/>
    <w:family w:val="swiss"/>
    <w:pitch w:val="variable"/>
    <w:sig w:usb0="8000002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C6"/>
    <w:rsid w:val="00016CD8"/>
    <w:rsid w:val="0003554D"/>
    <w:rsid w:val="00037547"/>
    <w:rsid w:val="00081368"/>
    <w:rsid w:val="000850C1"/>
    <w:rsid w:val="00086A2C"/>
    <w:rsid w:val="00092366"/>
    <w:rsid w:val="000B0210"/>
    <w:rsid w:val="000B2DC8"/>
    <w:rsid w:val="000B4AE8"/>
    <w:rsid w:val="000F29E9"/>
    <w:rsid w:val="00104474"/>
    <w:rsid w:val="00105DA5"/>
    <w:rsid w:val="00115E51"/>
    <w:rsid w:val="001362F6"/>
    <w:rsid w:val="00137167"/>
    <w:rsid w:val="0013732B"/>
    <w:rsid w:val="0014056F"/>
    <w:rsid w:val="0014241E"/>
    <w:rsid w:val="00150B86"/>
    <w:rsid w:val="001664AC"/>
    <w:rsid w:val="00180F81"/>
    <w:rsid w:val="00181EF2"/>
    <w:rsid w:val="00194EE1"/>
    <w:rsid w:val="001B1D5E"/>
    <w:rsid w:val="001D2D83"/>
    <w:rsid w:val="001E01D0"/>
    <w:rsid w:val="001E2EC2"/>
    <w:rsid w:val="001E5F44"/>
    <w:rsid w:val="001F15A3"/>
    <w:rsid w:val="001F465F"/>
    <w:rsid w:val="00217654"/>
    <w:rsid w:val="00220327"/>
    <w:rsid w:val="002308BF"/>
    <w:rsid w:val="0023239F"/>
    <w:rsid w:val="00237016"/>
    <w:rsid w:val="00253553"/>
    <w:rsid w:val="00257809"/>
    <w:rsid w:val="0026021D"/>
    <w:rsid w:val="00264545"/>
    <w:rsid w:val="002743D9"/>
    <w:rsid w:val="00275483"/>
    <w:rsid w:val="00286FC7"/>
    <w:rsid w:val="002870BE"/>
    <w:rsid w:val="002B58D6"/>
    <w:rsid w:val="002B5FE6"/>
    <w:rsid w:val="002C01A4"/>
    <w:rsid w:val="002C2F50"/>
    <w:rsid w:val="002C4F3A"/>
    <w:rsid w:val="002E7173"/>
    <w:rsid w:val="002F0841"/>
    <w:rsid w:val="002F68F8"/>
    <w:rsid w:val="00305562"/>
    <w:rsid w:val="0031739B"/>
    <w:rsid w:val="00326F32"/>
    <w:rsid w:val="0033098A"/>
    <w:rsid w:val="00336442"/>
    <w:rsid w:val="00340E17"/>
    <w:rsid w:val="00364124"/>
    <w:rsid w:val="00373501"/>
    <w:rsid w:val="00385269"/>
    <w:rsid w:val="003B1EDB"/>
    <w:rsid w:val="003B651E"/>
    <w:rsid w:val="003C59A3"/>
    <w:rsid w:val="003E0B20"/>
    <w:rsid w:val="004005A2"/>
    <w:rsid w:val="004115F2"/>
    <w:rsid w:val="00412ECC"/>
    <w:rsid w:val="004239F2"/>
    <w:rsid w:val="00425F93"/>
    <w:rsid w:val="00433062"/>
    <w:rsid w:val="0043414B"/>
    <w:rsid w:val="00444193"/>
    <w:rsid w:val="0045068F"/>
    <w:rsid w:val="004530BB"/>
    <w:rsid w:val="004533CA"/>
    <w:rsid w:val="00475236"/>
    <w:rsid w:val="004832EE"/>
    <w:rsid w:val="00486932"/>
    <w:rsid w:val="00494769"/>
    <w:rsid w:val="004973C1"/>
    <w:rsid w:val="004A3485"/>
    <w:rsid w:val="004C389D"/>
    <w:rsid w:val="004C432C"/>
    <w:rsid w:val="004C7442"/>
    <w:rsid w:val="004D0E0C"/>
    <w:rsid w:val="004D35A3"/>
    <w:rsid w:val="005014A8"/>
    <w:rsid w:val="00503EC4"/>
    <w:rsid w:val="0052225D"/>
    <w:rsid w:val="00523A1D"/>
    <w:rsid w:val="00531D31"/>
    <w:rsid w:val="00532F37"/>
    <w:rsid w:val="00536B8D"/>
    <w:rsid w:val="0056143D"/>
    <w:rsid w:val="005633FD"/>
    <w:rsid w:val="00571041"/>
    <w:rsid w:val="00580124"/>
    <w:rsid w:val="005938FA"/>
    <w:rsid w:val="00593CE8"/>
    <w:rsid w:val="005A33B2"/>
    <w:rsid w:val="005A6901"/>
    <w:rsid w:val="005D491D"/>
    <w:rsid w:val="005D5B24"/>
    <w:rsid w:val="005E6304"/>
    <w:rsid w:val="00611B81"/>
    <w:rsid w:val="006169CC"/>
    <w:rsid w:val="00626B4B"/>
    <w:rsid w:val="00632DE2"/>
    <w:rsid w:val="00635894"/>
    <w:rsid w:val="00640400"/>
    <w:rsid w:val="006534F8"/>
    <w:rsid w:val="006538B0"/>
    <w:rsid w:val="006605F8"/>
    <w:rsid w:val="00676A88"/>
    <w:rsid w:val="006923A7"/>
    <w:rsid w:val="006A19D7"/>
    <w:rsid w:val="006A5579"/>
    <w:rsid w:val="006C1D9C"/>
    <w:rsid w:val="006E7823"/>
    <w:rsid w:val="006E7C6C"/>
    <w:rsid w:val="006F27A4"/>
    <w:rsid w:val="0070511E"/>
    <w:rsid w:val="007133A5"/>
    <w:rsid w:val="0072263E"/>
    <w:rsid w:val="0073604F"/>
    <w:rsid w:val="0073637A"/>
    <w:rsid w:val="00741B35"/>
    <w:rsid w:val="00763329"/>
    <w:rsid w:val="007726EA"/>
    <w:rsid w:val="00776B55"/>
    <w:rsid w:val="007810C6"/>
    <w:rsid w:val="00792605"/>
    <w:rsid w:val="00792708"/>
    <w:rsid w:val="00795848"/>
    <w:rsid w:val="007D2847"/>
    <w:rsid w:val="007D43EA"/>
    <w:rsid w:val="007E27C2"/>
    <w:rsid w:val="007E3737"/>
    <w:rsid w:val="007F1704"/>
    <w:rsid w:val="0080047D"/>
    <w:rsid w:val="008026B7"/>
    <w:rsid w:val="008135E1"/>
    <w:rsid w:val="00823A8F"/>
    <w:rsid w:val="00825708"/>
    <w:rsid w:val="0083305E"/>
    <w:rsid w:val="00866859"/>
    <w:rsid w:val="008823D4"/>
    <w:rsid w:val="00891B37"/>
    <w:rsid w:val="00894209"/>
    <w:rsid w:val="008A3B89"/>
    <w:rsid w:val="008B60FD"/>
    <w:rsid w:val="008B78B3"/>
    <w:rsid w:val="008C5205"/>
    <w:rsid w:val="008D15D6"/>
    <w:rsid w:val="008F2CBA"/>
    <w:rsid w:val="00902299"/>
    <w:rsid w:val="00922BE7"/>
    <w:rsid w:val="00925642"/>
    <w:rsid w:val="00937BC6"/>
    <w:rsid w:val="009651FC"/>
    <w:rsid w:val="0097590A"/>
    <w:rsid w:val="0098232F"/>
    <w:rsid w:val="0098473B"/>
    <w:rsid w:val="00987EFA"/>
    <w:rsid w:val="00991864"/>
    <w:rsid w:val="00995194"/>
    <w:rsid w:val="009B04DF"/>
    <w:rsid w:val="009B47C1"/>
    <w:rsid w:val="009B6DCA"/>
    <w:rsid w:val="009C1C9D"/>
    <w:rsid w:val="009C3ED4"/>
    <w:rsid w:val="009D32F4"/>
    <w:rsid w:val="009E4AF3"/>
    <w:rsid w:val="00A136F9"/>
    <w:rsid w:val="00A24E08"/>
    <w:rsid w:val="00A30B11"/>
    <w:rsid w:val="00A54B22"/>
    <w:rsid w:val="00A6571A"/>
    <w:rsid w:val="00A66EB6"/>
    <w:rsid w:val="00A71E77"/>
    <w:rsid w:val="00A96D02"/>
    <w:rsid w:val="00AA2D4E"/>
    <w:rsid w:val="00AA37B7"/>
    <w:rsid w:val="00AC07EA"/>
    <w:rsid w:val="00AC1684"/>
    <w:rsid w:val="00AC74FF"/>
    <w:rsid w:val="00AD453B"/>
    <w:rsid w:val="00AF106C"/>
    <w:rsid w:val="00B22085"/>
    <w:rsid w:val="00B27B12"/>
    <w:rsid w:val="00B33405"/>
    <w:rsid w:val="00B454F8"/>
    <w:rsid w:val="00B518AF"/>
    <w:rsid w:val="00B55F34"/>
    <w:rsid w:val="00B8618C"/>
    <w:rsid w:val="00B95375"/>
    <w:rsid w:val="00B96491"/>
    <w:rsid w:val="00BA0051"/>
    <w:rsid w:val="00BB2AEC"/>
    <w:rsid w:val="00BB7932"/>
    <w:rsid w:val="00BC21FB"/>
    <w:rsid w:val="00BE112E"/>
    <w:rsid w:val="00BF7A46"/>
    <w:rsid w:val="00C15AAD"/>
    <w:rsid w:val="00C20FCC"/>
    <w:rsid w:val="00C2493A"/>
    <w:rsid w:val="00C4413D"/>
    <w:rsid w:val="00C52F8D"/>
    <w:rsid w:val="00C80472"/>
    <w:rsid w:val="00C8432E"/>
    <w:rsid w:val="00CA04E0"/>
    <w:rsid w:val="00CB1C24"/>
    <w:rsid w:val="00CB7093"/>
    <w:rsid w:val="00CB7743"/>
    <w:rsid w:val="00CC635B"/>
    <w:rsid w:val="00CF053D"/>
    <w:rsid w:val="00CF61FC"/>
    <w:rsid w:val="00D02BCA"/>
    <w:rsid w:val="00D2164C"/>
    <w:rsid w:val="00D31C34"/>
    <w:rsid w:val="00D339C3"/>
    <w:rsid w:val="00D36B8A"/>
    <w:rsid w:val="00D4067E"/>
    <w:rsid w:val="00D4428B"/>
    <w:rsid w:val="00D44EDB"/>
    <w:rsid w:val="00D453A1"/>
    <w:rsid w:val="00D743C9"/>
    <w:rsid w:val="00D765E0"/>
    <w:rsid w:val="00D81EB2"/>
    <w:rsid w:val="00D954CA"/>
    <w:rsid w:val="00DA4F60"/>
    <w:rsid w:val="00DB65A1"/>
    <w:rsid w:val="00DC6000"/>
    <w:rsid w:val="00DD19F6"/>
    <w:rsid w:val="00DE68D7"/>
    <w:rsid w:val="00E20BF7"/>
    <w:rsid w:val="00E31A97"/>
    <w:rsid w:val="00E31ECB"/>
    <w:rsid w:val="00E3422D"/>
    <w:rsid w:val="00E41120"/>
    <w:rsid w:val="00E433BD"/>
    <w:rsid w:val="00E451CE"/>
    <w:rsid w:val="00E57B95"/>
    <w:rsid w:val="00E61573"/>
    <w:rsid w:val="00E73630"/>
    <w:rsid w:val="00E75277"/>
    <w:rsid w:val="00E8646A"/>
    <w:rsid w:val="00E8703B"/>
    <w:rsid w:val="00E96153"/>
    <w:rsid w:val="00EA35A4"/>
    <w:rsid w:val="00EA5B19"/>
    <w:rsid w:val="00EC24E4"/>
    <w:rsid w:val="00EC3CDB"/>
    <w:rsid w:val="00ED54AC"/>
    <w:rsid w:val="00EE248B"/>
    <w:rsid w:val="00EF2BEE"/>
    <w:rsid w:val="00EF4AA3"/>
    <w:rsid w:val="00F06257"/>
    <w:rsid w:val="00F10503"/>
    <w:rsid w:val="00F11FFB"/>
    <w:rsid w:val="00F20B58"/>
    <w:rsid w:val="00F2129C"/>
    <w:rsid w:val="00F212E6"/>
    <w:rsid w:val="00F34490"/>
    <w:rsid w:val="00F464CF"/>
    <w:rsid w:val="00F51F53"/>
    <w:rsid w:val="00F6374A"/>
    <w:rsid w:val="00F67BF5"/>
    <w:rsid w:val="00F73B6C"/>
    <w:rsid w:val="00F8681F"/>
    <w:rsid w:val="00F86A1F"/>
    <w:rsid w:val="00F96694"/>
    <w:rsid w:val="00FB7FC8"/>
    <w:rsid w:val="00FF09ED"/>
    <w:rsid w:val="00FF4F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9B1ED8BC034DF29266334185EBC3A1">
    <w:name w:val="E99B1ED8BC034DF29266334185EBC3A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bbb1cdd1-cf5a-48b9-b14b-3d868fa48288" xsi:nil="true"/>
    <_ip_UnifiedCompliancePolicyProperties xmlns="bbb1cdd1-cf5a-48b9-b14b-3d868fa48288" xsi:nil="true"/>
    <lcf76f155ced4ddcb4097134ff3c332f xmlns="95109afe-48bb-45fc-924c-91843d29e86c">
      <Terms xmlns="http://schemas.microsoft.com/office/infopath/2007/PartnerControls"/>
    </lcf76f155ced4ddcb4097134ff3c332f>
    <TaxCatchAll xmlns="bbb1cdd1-cf5a-48b9-b14b-3d868fa48288" xsi:nil="true"/>
    <Review_x0020_Date xmlns="95109afe-48bb-45fc-924c-91843d29e86c" xsi:nil="true"/>
    <AnalysisandInsightforFinance xmlns="95109afe-48bb-45fc-924c-91843d29e86c">
      <UserInfo>
        <DisplayName/>
        <AccountId xsi:nil="true"/>
        <AccountType/>
      </UserInfo>
    </AnalysisandInsightforFinance>
    <WorkingLead xmlns="95109afe-48bb-45fc-924c-91843d29e86c">
      <UserInfo>
        <DisplayName/>
        <AccountId xsi:nil="true"/>
        <AccountType/>
      </UserInfo>
    </WorkingLea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Active1!167217341.2</documentid>
  <senderid>CMW</senderid>
  <senderemail>CWAITE@DACBEACHCROFT.COM</senderemail>
  <lastmodified>2026-03-04T11:21:00.0000000+00:00</lastmodified>
  <database>Active1</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3F2A0A948A1DF4590B532C1823DE513" ma:contentTypeVersion="23" ma:contentTypeDescription="Create a new document." ma:contentTypeScope="" ma:versionID="085c166bc361d666ab1c5190ff74ed87">
  <xsd:schema xmlns:xsd="http://www.w3.org/2001/XMLSchema" xmlns:xs="http://www.w3.org/2001/XMLSchema" xmlns:p="http://schemas.microsoft.com/office/2006/metadata/properties" xmlns:ns2="95109afe-48bb-45fc-924c-91843d29e86c" xmlns:ns3="bbb1cdd1-cf5a-48b9-b14b-3d868fa48288" targetNamespace="http://schemas.microsoft.com/office/2006/metadata/properties" ma:root="true" ma:fieldsID="73e62ed64b348403e6a0452745f9c838" ns2:_="" ns3:_="">
    <xsd:import namespace="95109afe-48bb-45fc-924c-91843d29e86c"/>
    <xsd:import namespace="bbb1cdd1-cf5a-48b9-b14b-3d868fa48288"/>
    <xsd:element name="properties">
      <xsd:complexType>
        <xsd:sequence>
          <xsd:element name="documentManagement">
            <xsd:complexType>
              <xsd:all>
                <xsd:element ref="ns2:WorkingLead" minOccurs="0"/>
                <xsd:element ref="ns2:AnalysisandInsightforFinance" minOccurs="0"/>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09afe-48bb-45fc-924c-91843d29e86c" elementFormDefault="qualified">
    <xsd:import namespace="http://schemas.microsoft.com/office/2006/documentManagement/types"/>
    <xsd:import namespace="http://schemas.microsoft.com/office/infopath/2007/PartnerControls"/>
    <xsd:element name="WorkingLead" ma:index="5" nillable="true" ma:displayName="Working Lead" ma:description="&#10;" ma:list="UserInfo" ma:SearchPeopleOnly="false" ma:SharePointGroup="0" ma:internalName="WorkingLea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alysisandInsightforFinance" ma:index="6" nillable="true" ma:displayName="AnalysisandInsightforFinance" ma:list="UserInfo" ma:SharePointGroup="0" ma:internalName="AnalysisandInsightforFinanc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7" nillable="true" ma:displayName="Review date" ma:indexed="true" ma:internalName="Review_x0020_Date"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element name="TaxCatchAll" ma:index="25"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AE789-1633-4E75-90DB-CE6115D76F51}">
  <ds:schemaRefs>
    <ds:schemaRef ds:uri="http://schemas.microsoft.com/office/2006/metadata/properties"/>
    <ds:schemaRef ds:uri="http://schemas.microsoft.com/office/infopath/2007/PartnerControls"/>
    <ds:schemaRef ds:uri="6c1015e3-4cdd-404a-9668-01d02646692f"/>
    <ds:schemaRef ds:uri="1ba6cd36-81fe-443b-aec5-f4c6cab5ab2b"/>
    <ds:schemaRef ds:uri="bbb1cdd1-cf5a-48b9-b14b-3d868fa48288"/>
    <ds:schemaRef ds:uri="95109afe-48bb-45fc-924c-91843d29e86c"/>
  </ds:schemaRefs>
</ds:datastoreItem>
</file>

<file path=customXml/itemProps2.xml><?xml version="1.0" encoding="utf-8"?>
<ds:datastoreItem xmlns:ds="http://schemas.openxmlformats.org/officeDocument/2006/customXml" ds:itemID="{BB2DCA51-84CC-474F-9869-72FCDE6589F2}">
  <ds:schemaRefs>
    <ds:schemaRef ds:uri="http://schemas.openxmlformats.org/officeDocument/2006/bibliography"/>
  </ds:schemaRefs>
</ds:datastoreItem>
</file>

<file path=customXml/itemProps3.xml><?xml version="1.0" encoding="utf-8"?>
<ds:datastoreItem xmlns:ds="http://schemas.openxmlformats.org/officeDocument/2006/customXml" ds:itemID="{29646340-26E2-4E3C-8698-26F329A99DA1}">
  <ds:schemaRefs>
    <ds:schemaRef ds:uri="http://schemas.microsoft.com/sharepoint/v3/contenttype/forms"/>
  </ds:schemaRefs>
</ds:datastoreItem>
</file>

<file path=customXml/itemProps4.xml><?xml version="1.0" encoding="utf-8"?>
<ds:datastoreItem xmlns:ds="http://schemas.openxmlformats.org/officeDocument/2006/customXml" ds:itemID="{C13B0616-9208-4A96-A230-06E662CDAE60}">
  <ds:schemaRefs>
    <ds:schemaRef ds:uri="http://www.imanage.com/work/xmlschema"/>
  </ds:schemaRefs>
</ds:datastoreItem>
</file>

<file path=customXml/itemProps5.xml><?xml version="1.0" encoding="utf-8"?>
<ds:datastoreItem xmlns:ds="http://schemas.openxmlformats.org/officeDocument/2006/customXml" ds:itemID="{5953A3A4-3213-4837-81B7-405C4DDAB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09afe-48bb-45fc-924c-91843d29e86c"/>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63</Pages>
  <Words>18793</Words>
  <Characters>101373</Characters>
  <Application>Microsoft Office Word</Application>
  <DocSecurity>4</DocSecurity>
  <Lines>2624</Lines>
  <Paragraphs>890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Dyson</dc:creator>
  <cp:keywords/>
  <cp:lastModifiedBy>RAJA, Fatima (NHS ENGLAND)</cp:lastModifiedBy>
  <cp:revision>2</cp:revision>
  <cp:lastPrinted>2024-09-28T22:16:00Z</cp:lastPrinted>
  <dcterms:created xsi:type="dcterms:W3CDTF">2026-03-26T11:38:00Z</dcterms:created>
  <dcterms:modified xsi:type="dcterms:W3CDTF">2026-03-26T11:38:00Z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0x01010023F2A0A948A1DF4590B532C1823DE513</vt:lpwstr>
  </property>
  <property fmtid="{D5CDD505-2E9C-101B-9397-08002B2CF9AE}" pid="3" name="MediaServiceImageTags">
    <vt:lpwstr/>
  </property>
</Properties>
</file>