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77F4" w14:textId="77777777" w:rsidR="00B72132" w:rsidRPr="008B094C" w:rsidRDefault="00B72132" w:rsidP="008B094C">
      <w:pPr>
        <w:pStyle w:val="Heading2-numbered"/>
        <w:sectPr w:rsidR="00B72132" w:rsidRPr="008B094C" w:rsidSect="00651042">
          <w:headerReference w:type="default" r:id="rId11"/>
          <w:headerReference w:type="first" r:id="rId12"/>
          <w:footerReference w:type="first" r:id="rId13"/>
          <w:pgSz w:w="11906" w:h="16838"/>
          <w:pgMar w:top="2268" w:right="1021" w:bottom="1021" w:left="1021" w:header="454" w:footer="556" w:gutter="0"/>
          <w:cols w:space="708"/>
          <w:titlePg/>
          <w:docGrid w:linePitch="360"/>
        </w:sectPr>
      </w:pPr>
    </w:p>
    <w:bookmarkStart w:id="0" w:name="_Toc142043216"/>
    <w:p w14:paraId="64437D64" w14:textId="3EF1350A" w:rsidR="00EE0481" w:rsidRPr="001E27F8" w:rsidRDefault="00000000" w:rsidP="00031FD0">
      <w:pPr>
        <w:pStyle w:val="Heading1"/>
      </w:pPr>
      <w:sdt>
        <w:sdtPr>
          <w:alias w:val="Title"/>
          <w:tag w:val="title"/>
          <w:id w:val="1036308880"/>
          <w:placeholder>
            <w:docPart w:val="01056BF73A5F43C3989C30F47DF829DE"/>
          </w:placeholder>
          <w:dataBinding w:prefixMappings="xmlns:ns0='http://purl.org/dc/elements/1.1/' xmlns:ns1='http://schemas.openxmlformats.org/package/2006/metadata/core-properties' " w:xpath="/ns1:coreProperties[1]/ns0:title[1]" w:storeItemID="{6C3C8BC8-F283-45AE-878A-BAB7291924A1}"/>
          <w:text/>
        </w:sdtPr>
        <w:sdtContent>
          <w:r w:rsidR="00C56935">
            <w:t>Community health services waiting times action checklists</w:t>
          </w:r>
        </w:sdtContent>
      </w:sdt>
      <w:bookmarkEnd w:id="0"/>
    </w:p>
    <w:p w14:paraId="68ACF285" w14:textId="6456DDF0" w:rsidR="007375BC" w:rsidRPr="007375BC" w:rsidRDefault="007375BC" w:rsidP="00E43FBD">
      <w:pPr>
        <w:pStyle w:val="Subheading"/>
        <w:sectPr w:rsidR="007375BC" w:rsidRPr="007375BC" w:rsidSect="00651042">
          <w:footerReference w:type="default" r:id="rId14"/>
          <w:type w:val="continuous"/>
          <w:pgSz w:w="11906" w:h="16838"/>
          <w:pgMar w:top="1021" w:right="1021" w:bottom="1021" w:left="1021" w:header="454" w:footer="556" w:gutter="0"/>
          <w:cols w:space="708"/>
          <w:titlePg/>
          <w:docGrid w:linePitch="360"/>
        </w:sectPr>
      </w:pPr>
      <w:r w:rsidRPr="0053542E">
        <w:rPr>
          <w:noProof/>
        </w:rPr>
        <w:drawing>
          <wp:inline distT="0" distB="0" distL="0" distR="0" wp14:anchorId="19A102BB" wp14:editId="50F27D99">
            <wp:extent cx="6263640" cy="4720846"/>
            <wp:effectExtent l="0" t="0" r="3810" b="3810"/>
            <wp:docPr id="1872496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263640" cy="4720846"/>
                    </a:xfrm>
                    <a:prstGeom prst="rect">
                      <a:avLst/>
                    </a:prstGeom>
                  </pic:spPr>
                </pic:pic>
              </a:graphicData>
            </a:graphic>
          </wp:inline>
        </w:drawing>
      </w:r>
    </w:p>
    <w:p w14:paraId="30EF4092" w14:textId="081B679A" w:rsidR="004779A7" w:rsidRPr="004779A7" w:rsidRDefault="004779A7" w:rsidP="004779A7">
      <w:pPr>
        <w:rPr>
          <w:b/>
          <w:bCs/>
        </w:rPr>
      </w:pPr>
      <w:r w:rsidRPr="004779A7">
        <w:rPr>
          <w:b/>
          <w:bCs/>
        </w:rPr>
        <w:lastRenderedPageBreak/>
        <w:t>Contents</w:t>
      </w:r>
    </w:p>
    <w:p w14:paraId="6877188B" w14:textId="37AD83DD" w:rsidR="00276E63" w:rsidRDefault="00276E63">
      <w:pPr>
        <w:pStyle w:val="TOC1"/>
        <w:rPr>
          <w:rFonts w:asciiTheme="minorHAnsi" w:eastAsiaTheme="minorEastAsia" w:hAnsiTheme="minorHAnsi" w:cstheme="minorBidi"/>
          <w:color w:val="auto"/>
          <w:kern w:val="2"/>
          <w:sz w:val="24"/>
          <w:lang w:eastAsia="en-GB"/>
          <w14:ligatures w14:val="standardContextual"/>
        </w:rPr>
      </w:pPr>
      <w:r>
        <w:fldChar w:fldCharType="begin"/>
      </w:r>
      <w:r>
        <w:instrText xml:space="preserve"> TOC \h \z \t "Heading 2,1,Heading 2 - numbered,1" </w:instrText>
      </w:r>
      <w:r>
        <w:fldChar w:fldCharType="separate"/>
      </w:r>
      <w:hyperlink w:anchor="_Toc225770568" w:history="1">
        <w:r w:rsidRPr="006F4176">
          <w:rPr>
            <w:rStyle w:val="Hyperlink"/>
          </w:rPr>
          <w:t>Action checklist 1: Effective waiting list management</w:t>
        </w:r>
        <w:r>
          <w:rPr>
            <w:webHidden/>
          </w:rPr>
          <w:tab/>
        </w:r>
        <w:r>
          <w:rPr>
            <w:webHidden/>
          </w:rPr>
          <w:fldChar w:fldCharType="begin"/>
        </w:r>
        <w:r>
          <w:rPr>
            <w:webHidden/>
          </w:rPr>
          <w:instrText xml:space="preserve"> PAGEREF _Toc225770568 \h </w:instrText>
        </w:r>
        <w:r>
          <w:rPr>
            <w:webHidden/>
          </w:rPr>
        </w:r>
        <w:r>
          <w:rPr>
            <w:webHidden/>
          </w:rPr>
          <w:fldChar w:fldCharType="separate"/>
        </w:r>
        <w:r>
          <w:rPr>
            <w:webHidden/>
          </w:rPr>
          <w:t>3</w:t>
        </w:r>
        <w:r>
          <w:rPr>
            <w:webHidden/>
          </w:rPr>
          <w:fldChar w:fldCharType="end"/>
        </w:r>
      </w:hyperlink>
    </w:p>
    <w:p w14:paraId="3BF587D4" w14:textId="5CDDA0E8" w:rsidR="00276E63" w:rsidRDefault="00276E63">
      <w:pPr>
        <w:pStyle w:val="TOC1"/>
        <w:rPr>
          <w:rFonts w:asciiTheme="minorHAnsi" w:eastAsiaTheme="minorEastAsia" w:hAnsiTheme="minorHAnsi" w:cstheme="minorBidi"/>
          <w:color w:val="auto"/>
          <w:kern w:val="2"/>
          <w:sz w:val="24"/>
          <w:lang w:eastAsia="en-GB"/>
          <w14:ligatures w14:val="standardContextual"/>
        </w:rPr>
      </w:pPr>
      <w:hyperlink w:anchor="_Toc225770569" w:history="1">
        <w:r w:rsidRPr="006F4176">
          <w:rPr>
            <w:rStyle w:val="Hyperlink"/>
          </w:rPr>
          <w:t>Action checklist 2: Productivity</w:t>
        </w:r>
        <w:r>
          <w:rPr>
            <w:webHidden/>
          </w:rPr>
          <w:tab/>
        </w:r>
        <w:r>
          <w:rPr>
            <w:webHidden/>
          </w:rPr>
          <w:fldChar w:fldCharType="begin"/>
        </w:r>
        <w:r>
          <w:rPr>
            <w:webHidden/>
          </w:rPr>
          <w:instrText xml:space="preserve"> PAGEREF _Toc225770569 \h </w:instrText>
        </w:r>
        <w:r>
          <w:rPr>
            <w:webHidden/>
          </w:rPr>
        </w:r>
        <w:r>
          <w:rPr>
            <w:webHidden/>
          </w:rPr>
          <w:fldChar w:fldCharType="separate"/>
        </w:r>
        <w:r>
          <w:rPr>
            <w:webHidden/>
          </w:rPr>
          <w:t>7</w:t>
        </w:r>
        <w:r>
          <w:rPr>
            <w:webHidden/>
          </w:rPr>
          <w:fldChar w:fldCharType="end"/>
        </w:r>
      </w:hyperlink>
    </w:p>
    <w:p w14:paraId="5568A91B" w14:textId="77224F5A" w:rsidR="00276E63" w:rsidRDefault="00276E63">
      <w:pPr>
        <w:pStyle w:val="TOC1"/>
        <w:rPr>
          <w:rFonts w:asciiTheme="minorHAnsi" w:eastAsiaTheme="minorEastAsia" w:hAnsiTheme="minorHAnsi" w:cstheme="minorBidi"/>
          <w:color w:val="auto"/>
          <w:kern w:val="2"/>
          <w:sz w:val="24"/>
          <w:lang w:eastAsia="en-GB"/>
          <w14:ligatures w14:val="standardContextual"/>
        </w:rPr>
      </w:pPr>
      <w:hyperlink w:anchor="_Toc225770570" w:history="1">
        <w:r w:rsidRPr="006F4176">
          <w:rPr>
            <w:rStyle w:val="Hyperlink"/>
          </w:rPr>
          <w:t>Action checklist 3: Appointment management</w:t>
        </w:r>
        <w:r>
          <w:rPr>
            <w:webHidden/>
          </w:rPr>
          <w:tab/>
        </w:r>
        <w:r>
          <w:rPr>
            <w:webHidden/>
          </w:rPr>
          <w:fldChar w:fldCharType="begin"/>
        </w:r>
        <w:r>
          <w:rPr>
            <w:webHidden/>
          </w:rPr>
          <w:instrText xml:space="preserve"> PAGEREF _Toc225770570 \h </w:instrText>
        </w:r>
        <w:r>
          <w:rPr>
            <w:webHidden/>
          </w:rPr>
        </w:r>
        <w:r>
          <w:rPr>
            <w:webHidden/>
          </w:rPr>
          <w:fldChar w:fldCharType="separate"/>
        </w:r>
        <w:r>
          <w:rPr>
            <w:webHidden/>
          </w:rPr>
          <w:t>10</w:t>
        </w:r>
        <w:r>
          <w:rPr>
            <w:webHidden/>
          </w:rPr>
          <w:fldChar w:fldCharType="end"/>
        </w:r>
      </w:hyperlink>
    </w:p>
    <w:p w14:paraId="2B2C4986" w14:textId="2FCD0FA6" w:rsidR="00276E63" w:rsidRDefault="00276E63">
      <w:pPr>
        <w:pStyle w:val="TOC1"/>
        <w:rPr>
          <w:rFonts w:asciiTheme="minorHAnsi" w:eastAsiaTheme="minorEastAsia" w:hAnsiTheme="minorHAnsi" w:cstheme="minorBidi"/>
          <w:color w:val="auto"/>
          <w:kern w:val="2"/>
          <w:sz w:val="24"/>
          <w:lang w:eastAsia="en-GB"/>
          <w14:ligatures w14:val="standardContextual"/>
        </w:rPr>
      </w:pPr>
      <w:hyperlink w:anchor="_Toc225770571" w:history="1">
        <w:r w:rsidRPr="006F4176">
          <w:rPr>
            <w:rStyle w:val="Hyperlink"/>
          </w:rPr>
          <w:t>Action checklist 4: Supporting people waiting for community health services</w:t>
        </w:r>
        <w:r>
          <w:rPr>
            <w:webHidden/>
          </w:rPr>
          <w:tab/>
        </w:r>
        <w:r>
          <w:rPr>
            <w:webHidden/>
          </w:rPr>
          <w:fldChar w:fldCharType="begin"/>
        </w:r>
        <w:r>
          <w:rPr>
            <w:webHidden/>
          </w:rPr>
          <w:instrText xml:space="preserve"> PAGEREF _Toc225770571 \h </w:instrText>
        </w:r>
        <w:r>
          <w:rPr>
            <w:webHidden/>
          </w:rPr>
        </w:r>
        <w:r>
          <w:rPr>
            <w:webHidden/>
          </w:rPr>
          <w:fldChar w:fldCharType="separate"/>
        </w:r>
        <w:r>
          <w:rPr>
            <w:webHidden/>
          </w:rPr>
          <w:t>14</w:t>
        </w:r>
        <w:r>
          <w:rPr>
            <w:webHidden/>
          </w:rPr>
          <w:fldChar w:fldCharType="end"/>
        </w:r>
      </w:hyperlink>
    </w:p>
    <w:p w14:paraId="5ABDD029" w14:textId="5D0D75EA" w:rsidR="004779A7" w:rsidRDefault="00276E63" w:rsidP="004779A7">
      <w:r>
        <w:fldChar w:fldCharType="end"/>
      </w:r>
    </w:p>
    <w:p w14:paraId="576F3088" w14:textId="77777777" w:rsidR="004779A7" w:rsidRPr="004779A7" w:rsidRDefault="004779A7" w:rsidP="004779A7"/>
    <w:p w14:paraId="643E64B0" w14:textId="48A9B0C5" w:rsidR="004779A7" w:rsidRDefault="004779A7">
      <w:pPr>
        <w:spacing w:after="0" w:line="240" w:lineRule="auto"/>
        <w:textboxTightWrap w:val="none"/>
        <w:rPr>
          <w:rFonts w:ascii="Arial Bold" w:hAnsi="Arial Bold" w:cs="Arial"/>
          <w:b/>
          <w:color w:val="005EB8"/>
          <w:kern w:val="28"/>
          <w:sz w:val="36"/>
          <w14:ligatures w14:val="standardContextual"/>
        </w:rPr>
      </w:pPr>
      <w:r>
        <w:br w:type="page"/>
      </w:r>
    </w:p>
    <w:p w14:paraId="102C6DDF" w14:textId="535E5060" w:rsidR="00F0026B" w:rsidRDefault="00E43FBD" w:rsidP="00E43FBD">
      <w:pPr>
        <w:pStyle w:val="Heading2"/>
      </w:pPr>
      <w:bookmarkStart w:id="1" w:name="_Toc225770568"/>
      <w:r>
        <w:lastRenderedPageBreak/>
        <w:t>Action checklist 1: Effective waiting list management</w:t>
      </w:r>
      <w:bookmarkEnd w:id="1"/>
    </w:p>
    <w:tbl>
      <w:tblPr>
        <w:tblStyle w:val="TableGrid"/>
        <w:tblW w:w="0" w:type="auto"/>
        <w:tblLook w:val="04A0" w:firstRow="1" w:lastRow="0" w:firstColumn="1" w:lastColumn="0" w:noHBand="0" w:noVBand="1"/>
      </w:tblPr>
      <w:tblGrid>
        <w:gridCol w:w="704"/>
        <w:gridCol w:w="7513"/>
        <w:gridCol w:w="1637"/>
      </w:tblGrid>
      <w:tr w:rsidR="00166A63" w:rsidRPr="00166A63" w14:paraId="303B7927" w14:textId="77777777" w:rsidTr="00166A63">
        <w:trPr>
          <w:cantSplit/>
          <w:tblHeader/>
        </w:trPr>
        <w:tc>
          <w:tcPr>
            <w:tcW w:w="704" w:type="dxa"/>
            <w:shd w:val="clear" w:color="auto" w:fill="0070C0"/>
          </w:tcPr>
          <w:p w14:paraId="6C427271" w14:textId="080190EB" w:rsidR="00F11E23" w:rsidRPr="00166A63" w:rsidRDefault="00F11E23" w:rsidP="00E43FBD">
            <w:pPr>
              <w:rPr>
                <w:b/>
                <w:bCs/>
                <w:color w:val="FFFFFF" w:themeColor="text1"/>
              </w:rPr>
            </w:pPr>
          </w:p>
        </w:tc>
        <w:tc>
          <w:tcPr>
            <w:tcW w:w="7513" w:type="dxa"/>
            <w:shd w:val="clear" w:color="auto" w:fill="0070C0"/>
          </w:tcPr>
          <w:p w14:paraId="4C2D5176" w14:textId="09F8063A" w:rsidR="00F11E23" w:rsidRPr="00166A63" w:rsidRDefault="00F11E23" w:rsidP="00E43FBD">
            <w:pPr>
              <w:rPr>
                <w:b/>
                <w:bCs/>
                <w:color w:val="FFFFFF" w:themeColor="text1"/>
              </w:rPr>
            </w:pPr>
            <w:r w:rsidRPr="00166A63">
              <w:rPr>
                <w:b/>
                <w:bCs/>
                <w:color w:val="FFFFFF" w:themeColor="text1"/>
              </w:rPr>
              <w:t>Actions</w:t>
            </w:r>
          </w:p>
        </w:tc>
        <w:tc>
          <w:tcPr>
            <w:tcW w:w="1637" w:type="dxa"/>
            <w:shd w:val="clear" w:color="auto" w:fill="0070C0"/>
          </w:tcPr>
          <w:p w14:paraId="019AF1D0" w14:textId="1CE9A58D" w:rsidR="00F11E23" w:rsidRPr="00166A63" w:rsidRDefault="00F11E23" w:rsidP="00E43FBD">
            <w:pPr>
              <w:rPr>
                <w:b/>
                <w:bCs/>
                <w:color w:val="FFFFFF" w:themeColor="text1"/>
              </w:rPr>
            </w:pPr>
            <w:r w:rsidRPr="00166A63">
              <w:rPr>
                <w:b/>
                <w:bCs/>
                <w:color w:val="FFFFFF" w:themeColor="text1"/>
              </w:rPr>
              <w:t>Compliant?</w:t>
            </w:r>
          </w:p>
        </w:tc>
      </w:tr>
      <w:tr w:rsidR="00F11E23" w14:paraId="06BCB098" w14:textId="77777777" w:rsidTr="00166A63">
        <w:trPr>
          <w:cantSplit/>
        </w:trPr>
        <w:tc>
          <w:tcPr>
            <w:tcW w:w="704" w:type="dxa"/>
          </w:tcPr>
          <w:p w14:paraId="74A396AC" w14:textId="7E9795A6" w:rsidR="00F11E23" w:rsidRDefault="00CC5738" w:rsidP="00E43FBD">
            <w:r>
              <w:t>1.1</w:t>
            </w:r>
          </w:p>
        </w:tc>
        <w:tc>
          <w:tcPr>
            <w:tcW w:w="7513" w:type="dxa"/>
          </w:tcPr>
          <w:p w14:paraId="616134AC" w14:textId="77777777" w:rsidR="000462F8" w:rsidRPr="003D2F38" w:rsidRDefault="000462F8" w:rsidP="000462F8">
            <w:pPr>
              <w:rPr>
                <w:rFonts w:cs="Arial"/>
              </w:rPr>
            </w:pPr>
            <w:r w:rsidRPr="003D2F38">
              <w:rPr>
                <w:rFonts w:cs="Arial"/>
              </w:rPr>
              <w:t>Submit monthly, accurate, provider level data to the NHS England Community Health Services (CHS) Situation Report (</w:t>
            </w:r>
            <w:proofErr w:type="spellStart"/>
            <w:r w:rsidRPr="003D2F38">
              <w:rPr>
                <w:rFonts w:cs="Arial"/>
              </w:rPr>
              <w:t>SitRep</w:t>
            </w:r>
            <w:proofErr w:type="spellEnd"/>
            <w:r w:rsidRPr="003D2F38">
              <w:rPr>
                <w:rFonts w:cs="Arial"/>
              </w:rPr>
              <w:t>) regarding waiting times for CHS ensuring:</w:t>
            </w:r>
          </w:p>
          <w:p w14:paraId="692E8991" w14:textId="77777777" w:rsidR="000462F8" w:rsidRPr="003D2F38" w:rsidRDefault="000462F8" w:rsidP="000462F8">
            <w:pPr>
              <w:pStyle w:val="Bulletlist"/>
              <w:ind w:left="360" w:hanging="360"/>
              <w:rPr>
                <w:szCs w:val="24"/>
              </w:rPr>
            </w:pPr>
            <w:r>
              <w:t xml:space="preserve">the </w:t>
            </w:r>
            <w:hyperlink r:id="rId16" w:history="1">
              <w:proofErr w:type="spellStart"/>
              <w:r w:rsidRPr="003D2F38">
                <w:rPr>
                  <w:rStyle w:val="Hyperlink"/>
                  <w:rFonts w:ascii="Arial" w:hAnsi="Arial"/>
                  <w:szCs w:val="24"/>
                </w:rPr>
                <w:t>SitRep</w:t>
              </w:r>
              <w:proofErr w:type="spellEnd"/>
              <w:r w:rsidRPr="003D2F38">
                <w:rPr>
                  <w:rStyle w:val="Hyperlink"/>
                  <w:rFonts w:ascii="Arial" w:hAnsi="Arial"/>
                  <w:szCs w:val="24"/>
                </w:rPr>
                <w:t xml:space="preserve"> technical guidance</w:t>
              </w:r>
            </w:hyperlink>
            <w:r w:rsidRPr="003D2F38">
              <w:rPr>
                <w:szCs w:val="24"/>
              </w:rPr>
              <w:t xml:space="preserve"> is adhered to</w:t>
            </w:r>
          </w:p>
          <w:p w14:paraId="39606CC6" w14:textId="77777777" w:rsidR="000462F8" w:rsidRPr="003D2F38" w:rsidRDefault="000462F8" w:rsidP="000462F8">
            <w:pPr>
              <w:pStyle w:val="Bulletlist"/>
              <w:ind w:left="360" w:hanging="360"/>
              <w:rPr>
                <w:szCs w:val="24"/>
              </w:rPr>
            </w:pPr>
            <w:r w:rsidRPr="003D2F38">
              <w:rPr>
                <w:szCs w:val="24"/>
              </w:rPr>
              <w:t xml:space="preserve">monthly, accurate data is being reported into the </w:t>
            </w:r>
            <w:proofErr w:type="spellStart"/>
            <w:r w:rsidRPr="003D2F38">
              <w:rPr>
                <w:szCs w:val="24"/>
              </w:rPr>
              <w:t>SitRep</w:t>
            </w:r>
            <w:proofErr w:type="spellEnd"/>
            <w:r w:rsidRPr="003D2F38">
              <w:rPr>
                <w:szCs w:val="24"/>
              </w:rPr>
              <w:t xml:space="preserve"> </w:t>
            </w:r>
          </w:p>
          <w:p w14:paraId="4339AD63" w14:textId="77777777" w:rsidR="000462F8" w:rsidRPr="003D2F38" w:rsidRDefault="000462F8" w:rsidP="000462F8">
            <w:pPr>
              <w:pStyle w:val="Bulletlist"/>
              <w:ind w:left="360" w:hanging="360"/>
              <w:rPr>
                <w:szCs w:val="24"/>
              </w:rPr>
            </w:pPr>
            <w:r w:rsidRPr="003D2F38">
              <w:rPr>
                <w:szCs w:val="24"/>
              </w:rPr>
              <w:t>waiting times are being reported into the appropriate data set (for example, neurodevelopmental assessments are reported into mental health data sets when delivered under a CAMHS service)</w:t>
            </w:r>
          </w:p>
          <w:p w14:paraId="16BD976B" w14:textId="77777777" w:rsidR="000462F8" w:rsidRPr="003D2F38" w:rsidRDefault="000462F8" w:rsidP="000462F8">
            <w:pPr>
              <w:pStyle w:val="Bulletlist"/>
              <w:ind w:left="360" w:hanging="360"/>
              <w:rPr>
                <w:szCs w:val="24"/>
              </w:rPr>
            </w:pPr>
            <w:r w:rsidRPr="003D2F38">
              <w:rPr>
                <w:szCs w:val="24"/>
              </w:rPr>
              <w:t>data quality is reviewed quarterly, ensuring submissions align with locally collected waiting times data and investigating any data spikes to ensure accuracy and quality</w:t>
            </w:r>
          </w:p>
          <w:p w14:paraId="02669F4B" w14:textId="77777777" w:rsidR="000462F8" w:rsidRDefault="000462F8" w:rsidP="000462F8">
            <w:pPr>
              <w:pStyle w:val="Bulletlist"/>
              <w:ind w:left="360" w:hanging="360"/>
              <w:rPr>
                <w:szCs w:val="24"/>
              </w:rPr>
            </w:pPr>
            <w:r>
              <w:rPr>
                <w:szCs w:val="24"/>
              </w:rPr>
              <w:t xml:space="preserve">that, </w:t>
            </w:r>
            <w:r w:rsidRPr="003D2F38">
              <w:rPr>
                <w:szCs w:val="24"/>
              </w:rPr>
              <w:t xml:space="preserve">where services show significant changes in waiting list size or waiting times, use internal processes to verify these changes before </w:t>
            </w:r>
            <w:proofErr w:type="spellStart"/>
            <w:r w:rsidRPr="003D2F38">
              <w:rPr>
                <w:szCs w:val="24"/>
              </w:rPr>
              <w:t>SitRep</w:t>
            </w:r>
            <w:proofErr w:type="spellEnd"/>
            <w:r w:rsidRPr="003D2F38">
              <w:rPr>
                <w:szCs w:val="24"/>
              </w:rPr>
              <w:t xml:space="preserve"> submission. Upon submission, any significant changes from previous returns should be escalated</w:t>
            </w:r>
          </w:p>
          <w:p w14:paraId="35F9B54C" w14:textId="77777777" w:rsidR="000462F8" w:rsidRDefault="000462F8" w:rsidP="000462F8">
            <w:pPr>
              <w:pStyle w:val="Bulletlist"/>
              <w:numPr>
                <w:ilvl w:val="0"/>
                <w:numId w:val="0"/>
              </w:numPr>
              <w:rPr>
                <w:rFonts w:cs="Arial"/>
              </w:rPr>
            </w:pPr>
          </w:p>
          <w:p w14:paraId="42D83118" w14:textId="47ACEF2A" w:rsidR="00F11E23" w:rsidRDefault="000462F8" w:rsidP="000462F8">
            <w:r w:rsidRPr="00A152B3">
              <w:rPr>
                <w:rFonts w:cs="Arial"/>
                <w:b/>
                <w:bCs/>
              </w:rPr>
              <w:t>Relevant guidance and support:</w:t>
            </w:r>
            <w:r>
              <w:rPr>
                <w:rFonts w:cs="Arial"/>
              </w:rPr>
              <w:t xml:space="preserve"> </w:t>
            </w:r>
            <w:hyperlink r:id="rId17" w:history="1">
              <w:r w:rsidRPr="004D34DB">
                <w:rPr>
                  <w:rStyle w:val="Hyperlink"/>
                  <w:rFonts w:ascii="Arial" w:hAnsi="Arial" w:cs="Arial"/>
                </w:rPr>
                <w:t>C</w:t>
              </w:r>
              <w:r>
                <w:rPr>
                  <w:rStyle w:val="Hyperlink"/>
                  <w:rFonts w:ascii="Arial" w:hAnsi="Arial" w:cs="Arial"/>
                </w:rPr>
                <w:t>ommunity Health Services</w:t>
              </w:r>
              <w:r w:rsidRPr="004D34DB">
                <w:rPr>
                  <w:rStyle w:val="Hyperlink"/>
                  <w:rFonts w:ascii="Arial" w:hAnsi="Arial" w:cs="Arial"/>
                </w:rPr>
                <w:t xml:space="preserve"> </w:t>
              </w:r>
              <w:proofErr w:type="spellStart"/>
              <w:r w:rsidRPr="004D34DB">
                <w:rPr>
                  <w:rStyle w:val="Hyperlink"/>
                  <w:rFonts w:ascii="Arial" w:hAnsi="Arial" w:cs="Arial"/>
                </w:rPr>
                <w:t>SitRep</w:t>
              </w:r>
              <w:proofErr w:type="spellEnd"/>
              <w:r w:rsidRPr="004D34DB">
                <w:rPr>
                  <w:rStyle w:val="Hyperlink"/>
                  <w:rFonts w:ascii="Arial" w:hAnsi="Arial" w:cs="Arial"/>
                </w:rPr>
                <w:t xml:space="preserve"> technical specification</w:t>
              </w:r>
            </w:hyperlink>
            <w:r>
              <w:t xml:space="preserve"> (NHS England)</w:t>
            </w:r>
          </w:p>
        </w:tc>
        <w:tc>
          <w:tcPr>
            <w:tcW w:w="1637" w:type="dxa"/>
          </w:tcPr>
          <w:p w14:paraId="7AE03776" w14:textId="77777777" w:rsidR="00F11E23" w:rsidRDefault="00F11E23" w:rsidP="00E43FBD"/>
        </w:tc>
      </w:tr>
      <w:tr w:rsidR="003E03CD" w14:paraId="4B4A36E7" w14:textId="77777777" w:rsidTr="00166A63">
        <w:trPr>
          <w:cantSplit/>
        </w:trPr>
        <w:tc>
          <w:tcPr>
            <w:tcW w:w="704" w:type="dxa"/>
          </w:tcPr>
          <w:p w14:paraId="0FCF5B1D" w14:textId="57FE99BE" w:rsidR="003E03CD" w:rsidRDefault="00A71B17" w:rsidP="003E03CD">
            <w:r>
              <w:t>1.2</w:t>
            </w:r>
          </w:p>
        </w:tc>
        <w:tc>
          <w:tcPr>
            <w:tcW w:w="7513" w:type="dxa"/>
          </w:tcPr>
          <w:p w14:paraId="21497938" w14:textId="77777777" w:rsidR="003E03CD" w:rsidRDefault="003E03CD" w:rsidP="003E03CD">
            <w:pPr>
              <w:rPr>
                <w:rFonts w:cs="Arial"/>
              </w:rPr>
            </w:pPr>
            <w:r w:rsidRPr="003D2F38">
              <w:rPr>
                <w:rFonts w:cs="Arial"/>
              </w:rPr>
              <w:t>Review the pathway for transition of care from children and young people services to adulthood and make sure the transfer of service provision is mapped</w:t>
            </w:r>
            <w:r>
              <w:rPr>
                <w:rFonts w:cs="Arial"/>
              </w:rPr>
              <w:t>.</w:t>
            </w:r>
          </w:p>
          <w:p w14:paraId="20E71B3D" w14:textId="1ABC2F40" w:rsidR="003E03CD" w:rsidRDefault="003E03CD" w:rsidP="003E03CD">
            <w:r w:rsidRPr="00A152B3">
              <w:rPr>
                <w:rFonts w:cs="Arial"/>
                <w:b/>
                <w:bCs/>
              </w:rPr>
              <w:t>Relevant guidance and support</w:t>
            </w:r>
            <w:r>
              <w:t xml:space="preserve">: </w:t>
            </w:r>
            <w:hyperlink r:id="rId18" w:history="1">
              <w:r w:rsidRPr="008725F5">
                <w:rPr>
                  <w:rStyle w:val="Hyperlink"/>
                  <w:rFonts w:ascii="Arial" w:hAnsi="Arial"/>
                </w:rPr>
                <w:t xml:space="preserve">Transition from </w:t>
              </w:r>
              <w:proofErr w:type="gramStart"/>
              <w:r w:rsidRPr="008725F5">
                <w:rPr>
                  <w:rStyle w:val="Hyperlink"/>
                  <w:rFonts w:ascii="Arial" w:hAnsi="Arial"/>
                </w:rPr>
                <w:t>children’s</w:t>
              </w:r>
              <w:proofErr w:type="gramEnd"/>
              <w:r w:rsidRPr="008725F5">
                <w:rPr>
                  <w:rStyle w:val="Hyperlink"/>
                  <w:rFonts w:ascii="Arial" w:hAnsi="Arial"/>
                </w:rPr>
                <w:t xml:space="preserve"> to adults’ services for young people using health or social care services</w:t>
              </w:r>
            </w:hyperlink>
            <w:r>
              <w:t xml:space="preserve"> </w:t>
            </w:r>
            <w:r>
              <w:rPr>
                <w:rFonts w:cs="Arial"/>
              </w:rPr>
              <w:t>(</w:t>
            </w:r>
            <w:r w:rsidRPr="00652E18">
              <w:rPr>
                <w:rFonts w:cs="Arial"/>
              </w:rPr>
              <w:t>NICE guideline</w:t>
            </w:r>
            <w:r>
              <w:rPr>
                <w:rFonts w:cs="Arial"/>
              </w:rPr>
              <w:t xml:space="preserve"> NG43)</w:t>
            </w:r>
          </w:p>
        </w:tc>
        <w:tc>
          <w:tcPr>
            <w:tcW w:w="1637" w:type="dxa"/>
          </w:tcPr>
          <w:p w14:paraId="5D0CB35F" w14:textId="77777777" w:rsidR="003E03CD" w:rsidRDefault="003E03CD" w:rsidP="003E03CD"/>
        </w:tc>
      </w:tr>
      <w:tr w:rsidR="00A71B17" w14:paraId="062A1BBF" w14:textId="77777777" w:rsidTr="00166A63">
        <w:trPr>
          <w:cantSplit/>
        </w:trPr>
        <w:tc>
          <w:tcPr>
            <w:tcW w:w="704" w:type="dxa"/>
          </w:tcPr>
          <w:p w14:paraId="79290B44" w14:textId="07938703" w:rsidR="00A71B17" w:rsidRDefault="00A71B17" w:rsidP="00A71B17">
            <w:r>
              <w:lastRenderedPageBreak/>
              <w:t>1.3</w:t>
            </w:r>
          </w:p>
        </w:tc>
        <w:tc>
          <w:tcPr>
            <w:tcW w:w="7513" w:type="dxa"/>
          </w:tcPr>
          <w:p w14:paraId="20B66B07" w14:textId="77777777" w:rsidR="00A71B17" w:rsidRDefault="00A71B17" w:rsidP="00A71B17">
            <w:pPr>
              <w:rPr>
                <w:rFonts w:cs="Arial"/>
              </w:rPr>
            </w:pPr>
            <w:r w:rsidRPr="28CC4242">
              <w:rPr>
                <w:rFonts w:cs="Arial"/>
              </w:rPr>
              <w:t xml:space="preserve">Complete quarterly data </w:t>
            </w:r>
            <w:r w:rsidRPr="00270F62">
              <w:rPr>
                <w:rFonts w:cs="Arial"/>
              </w:rPr>
              <w:t>validation (technical and administrative) exercises</w:t>
            </w:r>
            <w:r>
              <w:rPr>
                <w:rFonts w:cs="Arial"/>
              </w:rPr>
              <w:t>:</w:t>
            </w:r>
          </w:p>
          <w:p w14:paraId="1134AB9C" w14:textId="77777777" w:rsidR="00A71B17" w:rsidRPr="00F44B2E" w:rsidRDefault="00A71B17" w:rsidP="00A71B17">
            <w:pPr>
              <w:pStyle w:val="ListParagraph"/>
              <w:numPr>
                <w:ilvl w:val="0"/>
                <w:numId w:val="4"/>
              </w:numPr>
              <w:spacing w:after="0"/>
            </w:pPr>
            <w:r>
              <w:t>e</w:t>
            </w:r>
            <w:r w:rsidRPr="00F44B2E">
              <w:t>nsur</w:t>
            </w:r>
            <w:r>
              <w:t>e</w:t>
            </w:r>
            <w:r w:rsidRPr="00F44B2E">
              <w:t xml:space="preserve"> that services all have published referral criteria</w:t>
            </w:r>
            <w:r>
              <w:t>, which are</w:t>
            </w:r>
            <w:r w:rsidRPr="00F44B2E">
              <w:t xml:space="preserve"> regularly reviewed and shared with </w:t>
            </w:r>
            <w:r w:rsidRPr="5D8A69F6">
              <w:t>referrers</w:t>
            </w:r>
          </w:p>
          <w:p w14:paraId="2CA83EC3" w14:textId="77777777" w:rsidR="00A71B17" w:rsidRPr="00F44B2E" w:rsidRDefault="00A71B17" w:rsidP="00A71B17">
            <w:pPr>
              <w:pStyle w:val="ListParagraph"/>
              <w:numPr>
                <w:ilvl w:val="0"/>
                <w:numId w:val="4"/>
              </w:numPr>
              <w:spacing w:after="240"/>
              <w:contextualSpacing/>
            </w:pPr>
            <w:r>
              <w:t>r</w:t>
            </w:r>
            <w:r w:rsidRPr="2B4816C1">
              <w:t>emov</w:t>
            </w:r>
            <w:r>
              <w:t>e</w:t>
            </w:r>
            <w:r w:rsidRPr="2B4816C1">
              <w:t xml:space="preserve"> duplicate referrals or duplicate patient pathways</w:t>
            </w:r>
          </w:p>
          <w:p w14:paraId="4D7C966E" w14:textId="77777777" w:rsidR="00A71B17" w:rsidRDefault="00A71B17" w:rsidP="00A71B17">
            <w:pPr>
              <w:pStyle w:val="ListParagraph"/>
              <w:numPr>
                <w:ilvl w:val="0"/>
                <w:numId w:val="4"/>
              </w:numPr>
              <w:spacing w:after="240"/>
              <w:contextualSpacing/>
            </w:pPr>
            <w:r>
              <w:t>i</w:t>
            </w:r>
            <w:r w:rsidRPr="2B4816C1">
              <w:t>dentify</w:t>
            </w:r>
            <w:r>
              <w:t xml:space="preserve"> </w:t>
            </w:r>
            <w:r w:rsidRPr="2B4816C1">
              <w:t>patients already receiving care within the service</w:t>
            </w:r>
            <w:r>
              <w:t xml:space="preserve"> or </w:t>
            </w:r>
            <w:r w:rsidRPr="2B4816C1">
              <w:t>no longer requiring intervention and remov</w:t>
            </w:r>
            <w:r>
              <w:t xml:space="preserve">e </w:t>
            </w:r>
            <w:r w:rsidRPr="2B4816C1">
              <w:t>them from waiting lists. This incl</w:t>
            </w:r>
            <w:r>
              <w:t>ud</w:t>
            </w:r>
            <w:r w:rsidRPr="2B4816C1">
              <w:t>es patients who may have received treatment</w:t>
            </w:r>
            <w:r>
              <w:t xml:space="preserve"> or interventions</w:t>
            </w:r>
            <w:r w:rsidRPr="2B4816C1">
              <w:t xml:space="preserve"> </w:t>
            </w:r>
            <w:r>
              <w:t>from</w:t>
            </w:r>
            <w:r w:rsidRPr="2B4816C1">
              <w:t xml:space="preserve"> the independent sector</w:t>
            </w:r>
          </w:p>
          <w:p w14:paraId="3FA3E0C3" w14:textId="77777777" w:rsidR="00A71B17" w:rsidRDefault="00A71B17" w:rsidP="00A71B17">
            <w:pPr>
              <w:pStyle w:val="ListParagraph"/>
              <w:numPr>
                <w:ilvl w:val="0"/>
                <w:numId w:val="4"/>
              </w:numPr>
            </w:pPr>
            <w:r w:rsidRPr="0078246D">
              <w:t xml:space="preserve">contact patients (and parents or carers) using their preferred communication method to ask if they wish to continue with care and direct them to self-management resources while they are waiting </w:t>
            </w:r>
          </w:p>
          <w:p w14:paraId="0CF27AC6" w14:textId="77777777" w:rsidR="00A71B17" w:rsidRPr="0078246D" w:rsidRDefault="00A71B17" w:rsidP="00A71B17">
            <w:pPr>
              <w:pStyle w:val="ListParagraph"/>
              <w:ind w:firstLine="0"/>
            </w:pPr>
            <w:r>
              <w:t xml:space="preserve">If </w:t>
            </w:r>
            <w:r w:rsidRPr="00345514">
              <w:t>patients say they no longer want to be seen, they can be removed from the waiting list if they have capacity, understand the decision they are making and have had all their communication needs met. Patients should not be removed from the waiting list if a communication need has not been assessed or met.</w:t>
            </w:r>
          </w:p>
          <w:p w14:paraId="36A21741" w14:textId="4D5CC0EA" w:rsidR="00A71B17" w:rsidRDefault="00A71B17" w:rsidP="00A71B17">
            <w:r w:rsidRPr="00A152B3">
              <w:rPr>
                <w:rFonts w:cs="Arial"/>
                <w:b/>
                <w:bCs/>
              </w:rPr>
              <w:t>Relevant guidance and support</w:t>
            </w:r>
            <w:r>
              <w:rPr>
                <w:rFonts w:cs="Arial"/>
                <w:b/>
                <w:bCs/>
              </w:rPr>
              <w:t xml:space="preserve">: </w:t>
            </w:r>
            <w:r w:rsidRPr="00CC0415">
              <w:rPr>
                <w:rFonts w:cs="Arial"/>
              </w:rPr>
              <w:t xml:space="preserve"> Case Study: </w:t>
            </w:r>
            <w:hyperlink r:id="rId19" w:history="1">
              <w:r w:rsidRPr="00CC0415">
                <w:rPr>
                  <w:rStyle w:val="Hyperlink"/>
                  <w:rFonts w:ascii="Arial" w:hAnsi="Arial" w:cs="Arial"/>
                </w:rPr>
                <w:t>Central London Community Healthcare NHS Trust (CLCH): Access policy and data visibility driving waiting time reductions</w:t>
              </w:r>
            </w:hyperlink>
          </w:p>
        </w:tc>
        <w:tc>
          <w:tcPr>
            <w:tcW w:w="1637" w:type="dxa"/>
          </w:tcPr>
          <w:p w14:paraId="0362F3A8" w14:textId="77777777" w:rsidR="00A71B17" w:rsidRDefault="00A71B17" w:rsidP="00A71B17"/>
        </w:tc>
      </w:tr>
      <w:tr w:rsidR="00A71B17" w14:paraId="6F3FC8E5" w14:textId="77777777" w:rsidTr="00166A63">
        <w:trPr>
          <w:cantSplit/>
        </w:trPr>
        <w:tc>
          <w:tcPr>
            <w:tcW w:w="704" w:type="dxa"/>
          </w:tcPr>
          <w:p w14:paraId="18772C35" w14:textId="205BAC2E" w:rsidR="00A71B17" w:rsidRDefault="00A71B17" w:rsidP="00A71B17">
            <w:r>
              <w:lastRenderedPageBreak/>
              <w:t>1.4</w:t>
            </w:r>
          </w:p>
        </w:tc>
        <w:tc>
          <w:tcPr>
            <w:tcW w:w="7513" w:type="dxa"/>
          </w:tcPr>
          <w:p w14:paraId="7A61B9AE" w14:textId="77777777" w:rsidR="00A71B17" w:rsidRDefault="00A71B17" w:rsidP="00A71B17">
            <w:pPr>
              <w:contextualSpacing/>
              <w:rPr>
                <w:rStyle w:val="eop"/>
                <w:shd w:val="clear" w:color="auto" w:fill="FFFFFF"/>
              </w:rPr>
            </w:pPr>
            <w:r>
              <w:rPr>
                <w:rStyle w:val="normaltextrun"/>
                <w:rFonts w:cs="Arial"/>
                <w:shd w:val="clear" w:color="auto" w:fill="FFFFFF"/>
                <w:lang w:val="pt-PT"/>
              </w:rPr>
              <w:t>Complete quarterly </w:t>
            </w:r>
            <w:r>
              <w:rPr>
                <w:rStyle w:val="normaltextrun"/>
                <w:rFonts w:cs="Arial"/>
                <w:b/>
                <w:bCs/>
                <w:shd w:val="clear" w:color="auto" w:fill="FFFFFF"/>
                <w:lang w:val="pt-PT"/>
              </w:rPr>
              <w:t>clinical validation</w:t>
            </w:r>
            <w:r>
              <w:rPr>
                <w:rStyle w:val="normaltextrun"/>
                <w:rFonts w:cs="Arial"/>
                <w:shd w:val="clear" w:color="auto" w:fill="FFFFFF"/>
                <w:lang w:val="pt-PT"/>
              </w:rPr>
              <w:t> exercises:</w:t>
            </w:r>
            <w:r>
              <w:rPr>
                <w:rStyle w:val="eop"/>
                <w:shd w:val="clear" w:color="auto" w:fill="FFFFFF"/>
              </w:rPr>
              <w:t> </w:t>
            </w:r>
          </w:p>
          <w:p w14:paraId="121D3EE7" w14:textId="77777777" w:rsidR="00A71B17" w:rsidRDefault="00A71B17" w:rsidP="00A71B17">
            <w:pPr>
              <w:pStyle w:val="ListParagraph"/>
              <w:numPr>
                <w:ilvl w:val="0"/>
                <w:numId w:val="5"/>
              </w:numPr>
              <w:contextualSpacing/>
              <w:rPr>
                <w:rFonts w:cs="Arial"/>
              </w:rPr>
            </w:pPr>
            <w:r>
              <w:rPr>
                <w:rFonts w:cs="Arial"/>
                <w:lang w:val="en-US"/>
              </w:rPr>
              <w:t>e</w:t>
            </w:r>
            <w:r w:rsidRPr="005350E2">
              <w:rPr>
                <w:rFonts w:cs="Arial"/>
                <w:lang w:val="en-US"/>
              </w:rPr>
              <w:t>nsur</w:t>
            </w:r>
            <w:r>
              <w:rPr>
                <w:rFonts w:cs="Arial"/>
                <w:lang w:val="en-US"/>
              </w:rPr>
              <w:t xml:space="preserve">e </w:t>
            </w:r>
            <w:r w:rsidRPr="005350E2">
              <w:rPr>
                <w:rFonts w:cs="Arial"/>
                <w:lang w:val="en-US"/>
              </w:rPr>
              <w:t>all referrals meet the threshold to receive service interventions </w:t>
            </w:r>
          </w:p>
          <w:p w14:paraId="0702CC9C" w14:textId="77777777" w:rsidR="00A71B17" w:rsidRDefault="00A71B17" w:rsidP="00A71B17">
            <w:pPr>
              <w:pStyle w:val="ListParagraph"/>
              <w:numPr>
                <w:ilvl w:val="0"/>
                <w:numId w:val="5"/>
              </w:numPr>
              <w:contextualSpacing/>
              <w:rPr>
                <w:rFonts w:cs="Arial"/>
              </w:rPr>
            </w:pPr>
            <w:r>
              <w:rPr>
                <w:rFonts w:cs="Arial"/>
              </w:rPr>
              <w:t>r</w:t>
            </w:r>
            <w:r w:rsidRPr="005350E2">
              <w:rPr>
                <w:rFonts w:cs="Arial"/>
              </w:rPr>
              <w:t xml:space="preserve">eviewing </w:t>
            </w:r>
            <w:r>
              <w:rPr>
                <w:rFonts w:cs="Arial"/>
              </w:rPr>
              <w:t xml:space="preserve">whether </w:t>
            </w:r>
            <w:r w:rsidRPr="005350E2">
              <w:rPr>
                <w:rFonts w:cs="Arial"/>
              </w:rPr>
              <w:t>the patient can be managed through supported self-management resources (where clinically appropriate)  </w:t>
            </w:r>
          </w:p>
          <w:p w14:paraId="117021FD" w14:textId="77777777" w:rsidR="00A71B17" w:rsidRDefault="00A71B17" w:rsidP="00A71B17">
            <w:pPr>
              <w:pStyle w:val="ListParagraph"/>
              <w:numPr>
                <w:ilvl w:val="0"/>
                <w:numId w:val="5"/>
              </w:numPr>
              <w:contextualSpacing/>
              <w:rPr>
                <w:rFonts w:cs="Arial"/>
              </w:rPr>
            </w:pPr>
            <w:r>
              <w:rPr>
                <w:rFonts w:cs="Arial"/>
              </w:rPr>
              <w:t>r</w:t>
            </w:r>
            <w:r w:rsidRPr="00873690">
              <w:rPr>
                <w:rFonts w:cs="Arial"/>
              </w:rPr>
              <w:t>eview cases where multiple referrals have been made to a single service to determine whether they can be managed within one pathway </w:t>
            </w:r>
          </w:p>
          <w:p w14:paraId="15D4ABEC" w14:textId="77777777" w:rsidR="00A71B17" w:rsidRDefault="00A71B17" w:rsidP="00A71B17">
            <w:pPr>
              <w:pStyle w:val="ListParagraph"/>
              <w:numPr>
                <w:ilvl w:val="0"/>
                <w:numId w:val="5"/>
              </w:numPr>
              <w:contextualSpacing/>
              <w:rPr>
                <w:rFonts w:cs="Arial"/>
              </w:rPr>
            </w:pPr>
            <w:r>
              <w:rPr>
                <w:rFonts w:cs="Arial"/>
                <w:lang w:val="en-US"/>
              </w:rPr>
              <w:t>a</w:t>
            </w:r>
            <w:r w:rsidRPr="00873690">
              <w:rPr>
                <w:rFonts w:cs="Arial"/>
                <w:lang w:val="en-US"/>
              </w:rPr>
              <w:t>ppl</w:t>
            </w:r>
            <w:r>
              <w:rPr>
                <w:rFonts w:cs="Arial"/>
                <w:lang w:val="en-US"/>
              </w:rPr>
              <w:t>y</w:t>
            </w:r>
            <w:r w:rsidRPr="00873690">
              <w:rPr>
                <w:rFonts w:cs="Arial"/>
                <w:lang w:val="en-US"/>
              </w:rPr>
              <w:t xml:space="preserve"> risk stratification frameworks (where there is increased risk of harm/downstream need from longer waiting times)</w:t>
            </w:r>
            <w:r>
              <w:rPr>
                <w:rFonts w:cs="Arial"/>
                <w:lang w:val="en-US"/>
              </w:rPr>
              <w:t xml:space="preserve">. Use </w:t>
            </w:r>
            <w:r w:rsidRPr="00873690">
              <w:rPr>
                <w:rFonts w:cs="Arial"/>
                <w:lang w:val="en-US"/>
              </w:rPr>
              <w:t>validated tools where clinically appropriate and operationally feasible for a service line</w:t>
            </w:r>
            <w:r w:rsidRPr="00873690">
              <w:rPr>
                <w:rFonts w:cs="Arial"/>
              </w:rPr>
              <w:t> </w:t>
            </w:r>
          </w:p>
          <w:p w14:paraId="1AD43B61" w14:textId="77777777" w:rsidR="00A71B17" w:rsidRDefault="00A71B17" w:rsidP="00A71B17">
            <w:pPr>
              <w:pStyle w:val="ListParagraph"/>
              <w:numPr>
                <w:ilvl w:val="0"/>
                <w:numId w:val="5"/>
              </w:numPr>
              <w:contextualSpacing/>
              <w:rPr>
                <w:rFonts w:cs="Arial"/>
              </w:rPr>
            </w:pPr>
            <w:proofErr w:type="spellStart"/>
            <w:r>
              <w:rPr>
                <w:rFonts w:cs="Arial"/>
                <w:lang w:val="en-US"/>
              </w:rPr>
              <w:t>p</w:t>
            </w:r>
            <w:r w:rsidRPr="00024511">
              <w:rPr>
                <w:rFonts w:cs="Arial"/>
                <w:lang w:val="en-US"/>
              </w:rPr>
              <w:t>riorit</w:t>
            </w:r>
            <w:r w:rsidRPr="00024511">
              <w:rPr>
                <w:rFonts w:cs="Arial"/>
                <w:u w:val="single"/>
                <w:lang w:val="en-US"/>
              </w:rPr>
              <w:t>i</w:t>
            </w:r>
            <w:r w:rsidRPr="00024511">
              <w:rPr>
                <w:rFonts w:cs="Arial"/>
                <w:lang w:val="en-US"/>
              </w:rPr>
              <w:t>s</w:t>
            </w:r>
            <w:r>
              <w:rPr>
                <w:rFonts w:cs="Arial"/>
                <w:lang w:val="en-US"/>
              </w:rPr>
              <w:t>e</w:t>
            </w:r>
            <w:proofErr w:type="spellEnd"/>
            <w:r w:rsidRPr="00024511">
              <w:rPr>
                <w:rFonts w:cs="Arial"/>
                <w:lang w:val="en-US"/>
              </w:rPr>
              <w:t xml:space="preserve"> patients </w:t>
            </w:r>
            <w:r>
              <w:rPr>
                <w:rFonts w:cs="Arial"/>
                <w:lang w:val="en-US"/>
              </w:rPr>
              <w:t xml:space="preserve">whose condition is </w:t>
            </w:r>
            <w:r w:rsidRPr="00024511">
              <w:rPr>
                <w:rFonts w:cs="Arial"/>
                <w:lang w:val="en-US"/>
              </w:rPr>
              <w:t>at risk of deteriorati</w:t>
            </w:r>
            <w:r>
              <w:rPr>
                <w:rFonts w:cs="Arial"/>
                <w:lang w:val="en-US"/>
              </w:rPr>
              <w:t xml:space="preserve">ng or who </w:t>
            </w:r>
            <w:r w:rsidRPr="00024511">
              <w:rPr>
                <w:rFonts w:cs="Arial"/>
                <w:lang w:val="en-US"/>
              </w:rPr>
              <w:t>requir</w:t>
            </w:r>
            <w:r>
              <w:rPr>
                <w:rFonts w:cs="Arial"/>
                <w:lang w:val="en-US"/>
              </w:rPr>
              <w:t>e</w:t>
            </w:r>
            <w:r w:rsidRPr="00024511">
              <w:rPr>
                <w:rFonts w:cs="Arial"/>
                <w:lang w:val="en-US"/>
              </w:rPr>
              <w:t xml:space="preserve"> urgent intervention</w:t>
            </w:r>
            <w:r w:rsidRPr="00024511">
              <w:rPr>
                <w:rFonts w:cs="Arial"/>
              </w:rPr>
              <w:t> </w:t>
            </w:r>
          </w:p>
          <w:p w14:paraId="5AF6A605" w14:textId="77777777" w:rsidR="00A71B17" w:rsidRPr="00E6287B" w:rsidRDefault="00A71B17" w:rsidP="00A71B17">
            <w:pPr>
              <w:pStyle w:val="ListParagraph"/>
              <w:numPr>
                <w:ilvl w:val="0"/>
                <w:numId w:val="5"/>
              </w:numPr>
              <w:contextualSpacing/>
              <w:rPr>
                <w:rFonts w:cs="Arial"/>
              </w:rPr>
            </w:pPr>
            <w:proofErr w:type="spellStart"/>
            <w:r>
              <w:rPr>
                <w:rFonts w:cs="Arial"/>
                <w:lang w:val="en-US"/>
              </w:rPr>
              <w:t>p</w:t>
            </w:r>
            <w:r w:rsidRPr="00024511">
              <w:rPr>
                <w:rFonts w:cs="Arial"/>
                <w:lang w:val="en-US"/>
              </w:rPr>
              <w:t>rioritis</w:t>
            </w:r>
            <w:r>
              <w:rPr>
                <w:rFonts w:cs="Arial"/>
                <w:lang w:val="en-US"/>
              </w:rPr>
              <w:t>e</w:t>
            </w:r>
            <w:proofErr w:type="spellEnd"/>
            <w:r w:rsidRPr="00024511">
              <w:rPr>
                <w:rFonts w:cs="Arial"/>
                <w:lang w:val="en-US"/>
              </w:rPr>
              <w:t xml:space="preserve"> patients waiting over 104 and 52 weeks</w:t>
            </w:r>
            <w:r>
              <w:rPr>
                <w:rFonts w:cs="Arial"/>
                <w:lang w:val="en-US"/>
              </w:rPr>
              <w:t>.</w:t>
            </w:r>
            <w:r w:rsidRPr="00024511">
              <w:rPr>
                <w:rFonts w:cs="Arial"/>
                <w:lang w:val="en-US"/>
              </w:rPr>
              <w:t xml:space="preserve"> Consider </w:t>
            </w:r>
            <w:r>
              <w:rPr>
                <w:rFonts w:cs="Arial"/>
                <w:lang w:val="en-US"/>
              </w:rPr>
              <w:t>using</w:t>
            </w:r>
            <w:r w:rsidRPr="00024511">
              <w:rPr>
                <w:rFonts w:cs="Arial"/>
                <w:lang w:val="en-US"/>
              </w:rPr>
              <w:t xml:space="preserve"> patient routing tools to ensure </w:t>
            </w:r>
            <w:r>
              <w:rPr>
                <w:rFonts w:cs="Arial"/>
                <w:lang w:val="en-US"/>
              </w:rPr>
              <w:t xml:space="preserve">patients are seen by </w:t>
            </w:r>
            <w:r w:rsidRPr="00024511">
              <w:rPr>
                <w:rFonts w:cs="Arial"/>
                <w:lang w:val="en-US"/>
              </w:rPr>
              <w:t>the most appropriate clinicia</w:t>
            </w:r>
            <w:r>
              <w:rPr>
                <w:rFonts w:cs="Arial"/>
                <w:lang w:val="en-US"/>
              </w:rPr>
              <w:t xml:space="preserve">n or </w:t>
            </w:r>
            <w:r w:rsidRPr="00024511">
              <w:rPr>
                <w:rFonts w:cs="Arial"/>
                <w:lang w:val="en-US"/>
              </w:rPr>
              <w:t xml:space="preserve">team member </w:t>
            </w:r>
            <w:r>
              <w:rPr>
                <w:rFonts w:cs="Arial"/>
                <w:lang w:val="en-US"/>
              </w:rPr>
              <w:t>at first contact.</w:t>
            </w:r>
          </w:p>
          <w:p w14:paraId="2EE79B1D" w14:textId="434BE6FB" w:rsidR="00A71B17" w:rsidRDefault="00A71B17" w:rsidP="00A71B17">
            <w:r w:rsidRPr="00A152B3">
              <w:rPr>
                <w:rFonts w:cs="Arial"/>
                <w:b/>
                <w:bCs/>
              </w:rPr>
              <w:t>Relevant guidance and support</w:t>
            </w:r>
            <w:r>
              <w:rPr>
                <w:rFonts w:cs="Arial"/>
                <w:b/>
                <w:bCs/>
              </w:rPr>
              <w:t xml:space="preserve">: </w:t>
            </w:r>
            <w:r w:rsidRPr="007F43C5">
              <w:rPr>
                <w:rFonts w:cs="Arial"/>
              </w:rPr>
              <w:t xml:space="preserve">Case study: </w:t>
            </w:r>
            <w:hyperlink r:id="rId20" w:history="1">
              <w:r w:rsidRPr="007F43C5">
                <w:rPr>
                  <w:rStyle w:val="Hyperlink"/>
                  <w:rFonts w:ascii="Arial" w:hAnsi="Arial" w:cs="Arial"/>
                </w:rPr>
                <w:t>Sussex Community NHS Foundation Trust (SCFT) clinical risk waiting list categorisation</w:t>
              </w:r>
            </w:hyperlink>
            <w:r w:rsidRPr="00F90138">
              <w:rPr>
                <w:rFonts w:cs="Arial"/>
              </w:rPr>
              <w:t xml:space="preserve"> </w:t>
            </w:r>
          </w:p>
        </w:tc>
        <w:tc>
          <w:tcPr>
            <w:tcW w:w="1637" w:type="dxa"/>
          </w:tcPr>
          <w:p w14:paraId="0636614F" w14:textId="77777777" w:rsidR="00A71B17" w:rsidRDefault="00A71B17" w:rsidP="00A71B17"/>
        </w:tc>
      </w:tr>
      <w:tr w:rsidR="00A71B17" w14:paraId="5765A8AF" w14:textId="77777777" w:rsidTr="00166A63">
        <w:trPr>
          <w:cantSplit/>
        </w:trPr>
        <w:tc>
          <w:tcPr>
            <w:tcW w:w="704" w:type="dxa"/>
          </w:tcPr>
          <w:p w14:paraId="7D0AF80B" w14:textId="67626B53" w:rsidR="00A71B17" w:rsidRDefault="00166A63" w:rsidP="00A71B17">
            <w:r>
              <w:t>1.5</w:t>
            </w:r>
          </w:p>
        </w:tc>
        <w:tc>
          <w:tcPr>
            <w:tcW w:w="7513" w:type="dxa"/>
          </w:tcPr>
          <w:p w14:paraId="51E90ADE" w14:textId="77777777" w:rsidR="00A71B17" w:rsidRPr="00E36B70" w:rsidRDefault="00A71B17" w:rsidP="00A71B17">
            <w:pPr>
              <w:contextualSpacing/>
              <w:rPr>
                <w:rStyle w:val="normaltextrun"/>
                <w:rFonts w:cs="Arial"/>
                <w:shd w:val="clear" w:color="auto" w:fill="FFFFFF"/>
              </w:rPr>
            </w:pPr>
            <w:r w:rsidRPr="00B027DD">
              <w:rPr>
                <w:rFonts w:cs="Arial"/>
              </w:rPr>
              <w:t>Review service line referral processe</w:t>
            </w:r>
            <w:r>
              <w:rPr>
                <w:rFonts w:cs="Arial"/>
              </w:rPr>
              <w:t>s</w:t>
            </w:r>
            <w:r w:rsidRPr="00B027DD">
              <w:rPr>
                <w:rFonts w:cs="Arial"/>
              </w:rPr>
              <w:t>:</w:t>
            </w:r>
          </w:p>
          <w:p w14:paraId="7452BEC3" w14:textId="77777777" w:rsidR="00A71B17" w:rsidRPr="00E36B70" w:rsidRDefault="00A71B17" w:rsidP="00A71B17">
            <w:pPr>
              <w:pStyle w:val="ListParagraph"/>
              <w:numPr>
                <w:ilvl w:val="0"/>
                <w:numId w:val="6"/>
              </w:numPr>
              <w:contextualSpacing/>
              <w:rPr>
                <w:rStyle w:val="normaltextrun"/>
                <w:rFonts w:cs="Arial"/>
                <w:shd w:val="clear" w:color="auto" w:fill="FFFFFF"/>
              </w:rPr>
            </w:pPr>
            <w:r w:rsidRPr="00E36B70">
              <w:rPr>
                <w:rStyle w:val="normaltextrun"/>
                <w:rFonts w:cs="Arial"/>
                <w:shd w:val="clear" w:color="auto" w:fill="FFFFFF"/>
              </w:rPr>
              <w:t>review consistency and compliance with referral criteria</w:t>
            </w:r>
          </w:p>
          <w:p w14:paraId="256D300F" w14:textId="77777777" w:rsidR="00A71B17" w:rsidRPr="00F44B2E" w:rsidRDefault="00A71B17" w:rsidP="00A71B17">
            <w:pPr>
              <w:pStyle w:val="ListParagraph"/>
              <w:numPr>
                <w:ilvl w:val="0"/>
                <w:numId w:val="6"/>
              </w:numPr>
              <w:contextualSpacing/>
            </w:pPr>
            <w:r>
              <w:t>r</w:t>
            </w:r>
            <w:r w:rsidRPr="00F44B2E">
              <w:t xml:space="preserve">eview and remove any unnecessary administration where possible (using </w:t>
            </w:r>
            <w:r w:rsidRPr="002272A7">
              <w:t>Lean/Kaizen or other process mapping techniques)</w:t>
            </w:r>
          </w:p>
          <w:p w14:paraId="68D9749B" w14:textId="77777777" w:rsidR="00A71B17" w:rsidRPr="00E36B70" w:rsidRDefault="00A71B17" w:rsidP="00A71B17">
            <w:pPr>
              <w:pStyle w:val="ListParagraph"/>
              <w:numPr>
                <w:ilvl w:val="0"/>
                <w:numId w:val="6"/>
              </w:numPr>
              <w:contextualSpacing/>
              <w:rPr>
                <w:rStyle w:val="normaltextrun"/>
                <w:rFonts w:cs="Arial"/>
                <w:shd w:val="clear" w:color="auto" w:fill="FFFFFF"/>
              </w:rPr>
            </w:pPr>
            <w:r>
              <w:t>s</w:t>
            </w:r>
            <w:r w:rsidRPr="00F44B2E">
              <w:t xml:space="preserve">treamline methods of recording referrals by implementing </w:t>
            </w:r>
            <w:r w:rsidRPr="005A49B5">
              <w:t>digital referral management systems</w:t>
            </w:r>
            <w:r>
              <w:t>.</w:t>
            </w:r>
          </w:p>
          <w:p w14:paraId="28DAABC5" w14:textId="795B513F" w:rsidR="00A71B17" w:rsidRDefault="00A71B17" w:rsidP="00A71B17">
            <w:r w:rsidRPr="00A152B3">
              <w:rPr>
                <w:rFonts w:cs="Arial"/>
                <w:b/>
                <w:bCs/>
              </w:rPr>
              <w:t>Relevant guidance and support</w:t>
            </w:r>
            <w:r>
              <w:t xml:space="preserve">: </w:t>
            </w:r>
            <w:r w:rsidRPr="007F11AB">
              <w:t xml:space="preserve">Guidance: </w:t>
            </w:r>
            <w:hyperlink r:id="rId21" w:history="1">
              <w:r w:rsidRPr="007F11AB">
                <w:rPr>
                  <w:rStyle w:val="Hyperlink"/>
                  <w:rFonts w:ascii="Arial" w:hAnsi="Arial"/>
                </w:rPr>
                <w:t>Referral management plan - NHS e-Referral Service</w:t>
              </w:r>
            </w:hyperlink>
            <w:r w:rsidRPr="007F11AB">
              <w:t xml:space="preserve"> (</w:t>
            </w:r>
            <w:r>
              <w:t>NHS England)</w:t>
            </w:r>
            <w:r>
              <w:br/>
            </w:r>
            <w:r>
              <w:br/>
            </w:r>
            <w:r w:rsidRPr="00E36B70">
              <w:rPr>
                <w:rFonts w:cs="Arial"/>
                <w:shd w:val="clear" w:color="auto" w:fill="FFFFFF"/>
              </w:rPr>
              <w:t xml:space="preserve">Webpage: </w:t>
            </w:r>
            <w:hyperlink r:id="rId22" w:history="1">
              <w:r w:rsidRPr="00E36B70">
                <w:rPr>
                  <w:rStyle w:val="Hyperlink"/>
                  <w:rFonts w:ascii="Arial" w:hAnsi="Arial" w:cs="Arial"/>
                  <w:shd w:val="clear" w:color="auto" w:fill="FFFFFF"/>
                </w:rPr>
                <w:t>NHS Community Health Services Data Plan, 2024/25 to 2026/27</w:t>
              </w:r>
            </w:hyperlink>
            <w:r w:rsidRPr="00E36B70">
              <w:rPr>
                <w:rStyle w:val="normaltextrun"/>
                <w:rFonts w:cs="Arial"/>
                <w:shd w:val="clear" w:color="auto" w:fill="FFFFFF"/>
              </w:rPr>
              <w:t xml:space="preserve"> (NHS England)</w:t>
            </w:r>
          </w:p>
        </w:tc>
        <w:tc>
          <w:tcPr>
            <w:tcW w:w="1637" w:type="dxa"/>
          </w:tcPr>
          <w:p w14:paraId="67FC5C16" w14:textId="77777777" w:rsidR="00A71B17" w:rsidRDefault="00A71B17" w:rsidP="00A71B17"/>
        </w:tc>
      </w:tr>
      <w:tr w:rsidR="00A71B17" w14:paraId="5AB367E0" w14:textId="77777777" w:rsidTr="00166A63">
        <w:trPr>
          <w:cantSplit/>
        </w:trPr>
        <w:tc>
          <w:tcPr>
            <w:tcW w:w="704" w:type="dxa"/>
          </w:tcPr>
          <w:p w14:paraId="7205229B" w14:textId="5A3C9976" w:rsidR="00A71B17" w:rsidRDefault="00166A63" w:rsidP="00A71B17">
            <w:r>
              <w:lastRenderedPageBreak/>
              <w:t>1.6</w:t>
            </w:r>
          </w:p>
        </w:tc>
        <w:tc>
          <w:tcPr>
            <w:tcW w:w="7513" w:type="dxa"/>
          </w:tcPr>
          <w:p w14:paraId="4A0D76C4" w14:textId="3F48D027" w:rsidR="00A71B17" w:rsidRDefault="00A71B17" w:rsidP="00A71B17">
            <w:r w:rsidRPr="000C4ECF">
              <w:rPr>
                <w:rFonts w:cs="Arial"/>
              </w:rPr>
              <w:t>Services must report progress on improvement work to their accountable board. They must describe actions, mitigations, impact, learning, and next steps. Where services are not on track to meet targets, boards should receive reports that explicitly set out and explain the recovery actions.</w:t>
            </w:r>
          </w:p>
        </w:tc>
        <w:tc>
          <w:tcPr>
            <w:tcW w:w="1637" w:type="dxa"/>
          </w:tcPr>
          <w:p w14:paraId="01920AC2" w14:textId="77777777" w:rsidR="00A71B17" w:rsidRDefault="00A71B17" w:rsidP="00A71B17"/>
        </w:tc>
      </w:tr>
      <w:tr w:rsidR="00166A63" w:rsidRPr="00166A63" w14:paraId="6E1E3165" w14:textId="77777777" w:rsidTr="00166A63">
        <w:trPr>
          <w:cantSplit/>
          <w:tblHeader/>
        </w:trPr>
        <w:tc>
          <w:tcPr>
            <w:tcW w:w="704" w:type="dxa"/>
            <w:shd w:val="clear" w:color="auto" w:fill="0070C0"/>
          </w:tcPr>
          <w:p w14:paraId="32521435" w14:textId="77777777" w:rsidR="00166A63" w:rsidRPr="00166A63" w:rsidRDefault="00166A63" w:rsidP="00D53F06">
            <w:pPr>
              <w:rPr>
                <w:b/>
                <w:bCs/>
                <w:color w:val="FFFFFF" w:themeColor="text1"/>
              </w:rPr>
            </w:pPr>
          </w:p>
        </w:tc>
        <w:tc>
          <w:tcPr>
            <w:tcW w:w="7513" w:type="dxa"/>
            <w:shd w:val="clear" w:color="auto" w:fill="0070C0"/>
          </w:tcPr>
          <w:p w14:paraId="11DDFCD0" w14:textId="27589339" w:rsidR="00166A63" w:rsidRPr="00166A63" w:rsidRDefault="00166A63" w:rsidP="00D53F06">
            <w:pPr>
              <w:rPr>
                <w:b/>
                <w:bCs/>
                <w:color w:val="FFFFFF" w:themeColor="text1"/>
              </w:rPr>
            </w:pPr>
            <w:r>
              <w:rPr>
                <w:b/>
                <w:bCs/>
                <w:color w:val="FFFFFF" w:themeColor="text1"/>
              </w:rPr>
              <w:t>Going further activity</w:t>
            </w:r>
          </w:p>
        </w:tc>
        <w:tc>
          <w:tcPr>
            <w:tcW w:w="1637" w:type="dxa"/>
            <w:shd w:val="clear" w:color="auto" w:fill="0070C0"/>
          </w:tcPr>
          <w:p w14:paraId="0C387CF3" w14:textId="0C14B43F" w:rsidR="00166A63" w:rsidRPr="00166A63" w:rsidRDefault="00166A63" w:rsidP="00D53F06">
            <w:pPr>
              <w:rPr>
                <w:b/>
                <w:bCs/>
                <w:color w:val="FFFFFF" w:themeColor="text1"/>
              </w:rPr>
            </w:pPr>
          </w:p>
        </w:tc>
      </w:tr>
      <w:tr w:rsidR="00A71B17" w14:paraId="7F72F6B5" w14:textId="77777777" w:rsidTr="00166A63">
        <w:trPr>
          <w:cantSplit/>
        </w:trPr>
        <w:tc>
          <w:tcPr>
            <w:tcW w:w="704" w:type="dxa"/>
          </w:tcPr>
          <w:p w14:paraId="61D80E03" w14:textId="24492647" w:rsidR="00A71B17" w:rsidRDefault="00166A63" w:rsidP="00A71B17">
            <w:r>
              <w:t>1.7</w:t>
            </w:r>
          </w:p>
        </w:tc>
        <w:tc>
          <w:tcPr>
            <w:tcW w:w="7513" w:type="dxa"/>
          </w:tcPr>
          <w:p w14:paraId="389E6660" w14:textId="5904D823" w:rsidR="00A71B17" w:rsidRDefault="00A71B17" w:rsidP="00A71B17">
            <w:r>
              <w:rPr>
                <w:rFonts w:cs="Arial"/>
              </w:rPr>
              <w:t xml:space="preserve">Implement </w:t>
            </w:r>
            <w:r w:rsidRPr="2B4816C1">
              <w:rPr>
                <w:rFonts w:cs="Arial"/>
              </w:rPr>
              <w:t>digital tools to support validation of waiting lists.</w:t>
            </w:r>
          </w:p>
        </w:tc>
        <w:tc>
          <w:tcPr>
            <w:tcW w:w="1637" w:type="dxa"/>
          </w:tcPr>
          <w:p w14:paraId="2FCA502F" w14:textId="77777777" w:rsidR="00A71B17" w:rsidRDefault="00A71B17" w:rsidP="00A71B17"/>
        </w:tc>
      </w:tr>
      <w:tr w:rsidR="00A71B17" w14:paraId="6B9C4C3E" w14:textId="77777777" w:rsidTr="00166A63">
        <w:trPr>
          <w:cantSplit/>
        </w:trPr>
        <w:tc>
          <w:tcPr>
            <w:tcW w:w="704" w:type="dxa"/>
          </w:tcPr>
          <w:p w14:paraId="786F8393" w14:textId="08C338E3" w:rsidR="00A71B17" w:rsidRDefault="00166A63" w:rsidP="00A71B17">
            <w:r>
              <w:t>1.8</w:t>
            </w:r>
          </w:p>
        </w:tc>
        <w:tc>
          <w:tcPr>
            <w:tcW w:w="7513" w:type="dxa"/>
          </w:tcPr>
          <w:p w14:paraId="29E4AE3A" w14:textId="77777777" w:rsidR="00A71B17" w:rsidRDefault="00A71B17" w:rsidP="00A71B17">
            <w:pPr>
              <w:rPr>
                <w:rFonts w:cs="Arial"/>
              </w:rPr>
            </w:pPr>
            <w:r w:rsidRPr="0038662F">
              <w:rPr>
                <w:rFonts w:cs="Arial"/>
              </w:rPr>
              <w:t>Weekly waiting</w:t>
            </w:r>
            <w:r w:rsidRPr="0097784D">
              <w:rPr>
                <w:rFonts w:cs="Arial"/>
              </w:rPr>
              <w:t xml:space="preserve"> list validation to ensure data accuracy, early identification of patients no longer requiring intervention</w:t>
            </w:r>
            <w:r>
              <w:rPr>
                <w:rFonts w:cs="Arial"/>
              </w:rPr>
              <w:t xml:space="preserve"> </w:t>
            </w:r>
            <w:r w:rsidRPr="0097784D">
              <w:rPr>
                <w:rFonts w:cs="Arial"/>
              </w:rPr>
              <w:t>and clinical prioritisation</w:t>
            </w:r>
            <w:r>
              <w:rPr>
                <w:rFonts w:cs="Arial"/>
              </w:rPr>
              <w:t>.</w:t>
            </w:r>
          </w:p>
          <w:p w14:paraId="69178820" w14:textId="44FCB60B" w:rsidR="00A71B17" w:rsidRDefault="00A71B17" w:rsidP="00A71B17">
            <w:r w:rsidRPr="00A152B3">
              <w:rPr>
                <w:rFonts w:cs="Arial"/>
                <w:b/>
                <w:bCs/>
              </w:rPr>
              <w:t>Relevant guidance and support</w:t>
            </w:r>
            <w:r>
              <w:rPr>
                <w:rFonts w:cs="Arial"/>
                <w:b/>
                <w:bCs/>
              </w:rPr>
              <w:t xml:space="preserve">: </w:t>
            </w:r>
            <w:r w:rsidRPr="00F81099">
              <w:rPr>
                <w:rFonts w:cs="Arial"/>
              </w:rPr>
              <w:t xml:space="preserve">Case study: </w:t>
            </w:r>
            <w:hyperlink r:id="rId23" w:history="1">
              <w:r w:rsidRPr="008C0F7F">
                <w:rPr>
                  <w:rStyle w:val="Hyperlink"/>
                  <w:rFonts w:ascii="Arial" w:hAnsi="Arial" w:cs="Arial"/>
                </w:rPr>
                <w:t>Central London Community Healthcare NHS Trust: Access policy and data visibility driving waiting time reductions</w:t>
              </w:r>
            </w:hyperlink>
            <w:r>
              <w:rPr>
                <w:rFonts w:cs="Arial"/>
              </w:rPr>
              <w:t xml:space="preserve"> </w:t>
            </w:r>
          </w:p>
        </w:tc>
        <w:tc>
          <w:tcPr>
            <w:tcW w:w="1637" w:type="dxa"/>
          </w:tcPr>
          <w:p w14:paraId="46CE18DA" w14:textId="77777777" w:rsidR="00A71B17" w:rsidRDefault="00A71B17" w:rsidP="00A71B17"/>
        </w:tc>
      </w:tr>
      <w:tr w:rsidR="00A71B17" w14:paraId="04E1F3D9" w14:textId="77777777" w:rsidTr="00166A63">
        <w:trPr>
          <w:cantSplit/>
        </w:trPr>
        <w:tc>
          <w:tcPr>
            <w:tcW w:w="704" w:type="dxa"/>
          </w:tcPr>
          <w:p w14:paraId="6625D9B0" w14:textId="711F702E" w:rsidR="00A71B17" w:rsidRDefault="00166A63" w:rsidP="00A71B17">
            <w:r>
              <w:t>1.9</w:t>
            </w:r>
          </w:p>
        </w:tc>
        <w:tc>
          <w:tcPr>
            <w:tcW w:w="7513" w:type="dxa"/>
          </w:tcPr>
          <w:p w14:paraId="2DE0AF12" w14:textId="77777777" w:rsidR="00A71B17" w:rsidRDefault="00A71B17" w:rsidP="00A71B17">
            <w:pPr>
              <w:rPr>
                <w:rFonts w:cs="Arial"/>
              </w:rPr>
            </w:pPr>
            <w:r w:rsidRPr="00393A58">
              <w:rPr>
                <w:rFonts w:cs="Arial"/>
              </w:rPr>
              <w:t xml:space="preserve">Local waiting list data should be linked with demographic information on the wider determinants of health (such as socio-economic status, ethnicity, and gender). Use this to support waiting list management and targeted engagement with communities at risk of </w:t>
            </w:r>
            <w:r>
              <w:rPr>
                <w:rFonts w:cs="Arial"/>
              </w:rPr>
              <w:t>inequalities in access</w:t>
            </w:r>
            <w:r w:rsidRPr="00393A58">
              <w:rPr>
                <w:rFonts w:cs="Arial"/>
              </w:rPr>
              <w:t>.</w:t>
            </w:r>
          </w:p>
          <w:p w14:paraId="551D15D2" w14:textId="1FA90EAC" w:rsidR="00A71B17" w:rsidRDefault="00A71B17" w:rsidP="00A71B17">
            <w:r w:rsidRPr="009236DA">
              <w:rPr>
                <w:b/>
                <w:bCs/>
              </w:rPr>
              <w:t>Relevant guidance and support:</w:t>
            </w:r>
            <w:r w:rsidRPr="009236DA">
              <w:t xml:space="preserve"> </w:t>
            </w:r>
            <w:r w:rsidRPr="009236DA">
              <w:rPr>
                <w:rFonts w:cs="Arial"/>
              </w:rPr>
              <w:t xml:space="preserve">Case study: </w:t>
            </w:r>
            <w:hyperlink r:id="rId24" w:history="1">
              <w:r w:rsidRPr="009236DA">
                <w:rPr>
                  <w:rStyle w:val="Hyperlink"/>
                  <w:rFonts w:ascii="Arial" w:hAnsi="Arial" w:cs="Arial"/>
                </w:rPr>
                <w:t>Bristol North Somerset and South Gloucestershire digital waiting list validation</w:t>
              </w:r>
            </w:hyperlink>
          </w:p>
        </w:tc>
        <w:tc>
          <w:tcPr>
            <w:tcW w:w="1637" w:type="dxa"/>
          </w:tcPr>
          <w:p w14:paraId="57DAEDCF" w14:textId="77777777" w:rsidR="00A71B17" w:rsidRDefault="00A71B17" w:rsidP="00A71B17"/>
        </w:tc>
      </w:tr>
    </w:tbl>
    <w:p w14:paraId="58F1EB22" w14:textId="2B8CCB6D" w:rsidR="003A4590" w:rsidRDefault="003A4590" w:rsidP="00E43FBD"/>
    <w:p w14:paraId="4B4184B4" w14:textId="5ADDB274" w:rsidR="00F11E23" w:rsidRDefault="003A4590" w:rsidP="00BD0732">
      <w:pPr>
        <w:pStyle w:val="Heading2"/>
      </w:pPr>
      <w:bookmarkStart w:id="2" w:name="_Toc225770569"/>
      <w:r>
        <w:lastRenderedPageBreak/>
        <w:t>Action checklist 2: Productivity</w:t>
      </w:r>
      <w:bookmarkEnd w:id="2"/>
    </w:p>
    <w:tbl>
      <w:tblPr>
        <w:tblStyle w:val="TableGrid"/>
        <w:tblW w:w="0" w:type="auto"/>
        <w:tblLook w:val="04A0" w:firstRow="1" w:lastRow="0" w:firstColumn="1" w:lastColumn="0" w:noHBand="0" w:noVBand="1"/>
      </w:tblPr>
      <w:tblGrid>
        <w:gridCol w:w="704"/>
        <w:gridCol w:w="7513"/>
        <w:gridCol w:w="1637"/>
      </w:tblGrid>
      <w:tr w:rsidR="00BD0732" w:rsidRPr="00166A63" w14:paraId="583E9F37" w14:textId="77777777" w:rsidTr="00D53F06">
        <w:trPr>
          <w:cantSplit/>
          <w:tblHeader/>
        </w:trPr>
        <w:tc>
          <w:tcPr>
            <w:tcW w:w="704" w:type="dxa"/>
            <w:shd w:val="clear" w:color="auto" w:fill="0070C0"/>
          </w:tcPr>
          <w:p w14:paraId="190B1CE5" w14:textId="77777777" w:rsidR="00BD0732" w:rsidRPr="00166A63" w:rsidRDefault="00BD0732" w:rsidP="00D53F06">
            <w:pPr>
              <w:rPr>
                <w:b/>
                <w:bCs/>
                <w:color w:val="FFFFFF" w:themeColor="text1"/>
              </w:rPr>
            </w:pPr>
          </w:p>
        </w:tc>
        <w:tc>
          <w:tcPr>
            <w:tcW w:w="7513" w:type="dxa"/>
            <w:shd w:val="clear" w:color="auto" w:fill="0070C0"/>
          </w:tcPr>
          <w:p w14:paraId="5A60340A" w14:textId="77777777" w:rsidR="00BD0732" w:rsidRPr="00166A63" w:rsidRDefault="00BD0732" w:rsidP="00D53F06">
            <w:pPr>
              <w:rPr>
                <w:b/>
                <w:bCs/>
                <w:color w:val="FFFFFF" w:themeColor="text1"/>
              </w:rPr>
            </w:pPr>
            <w:r w:rsidRPr="00166A63">
              <w:rPr>
                <w:b/>
                <w:bCs/>
                <w:color w:val="FFFFFF" w:themeColor="text1"/>
              </w:rPr>
              <w:t>Actions</w:t>
            </w:r>
          </w:p>
        </w:tc>
        <w:tc>
          <w:tcPr>
            <w:tcW w:w="1637" w:type="dxa"/>
            <w:shd w:val="clear" w:color="auto" w:fill="0070C0"/>
          </w:tcPr>
          <w:p w14:paraId="37B93BF9" w14:textId="77777777" w:rsidR="00BD0732" w:rsidRPr="00166A63" w:rsidRDefault="00BD0732" w:rsidP="00D53F06">
            <w:pPr>
              <w:rPr>
                <w:b/>
                <w:bCs/>
                <w:color w:val="FFFFFF" w:themeColor="text1"/>
              </w:rPr>
            </w:pPr>
            <w:r w:rsidRPr="00166A63">
              <w:rPr>
                <w:b/>
                <w:bCs/>
                <w:color w:val="FFFFFF" w:themeColor="text1"/>
              </w:rPr>
              <w:t>Compliant?</w:t>
            </w:r>
          </w:p>
        </w:tc>
      </w:tr>
      <w:tr w:rsidR="00625089" w14:paraId="038AB767" w14:textId="77777777" w:rsidTr="00D53F06">
        <w:trPr>
          <w:cantSplit/>
        </w:trPr>
        <w:tc>
          <w:tcPr>
            <w:tcW w:w="704" w:type="dxa"/>
          </w:tcPr>
          <w:p w14:paraId="756EE010" w14:textId="2246B345" w:rsidR="00625089" w:rsidRDefault="00625089" w:rsidP="00625089">
            <w:r>
              <w:t>2.1</w:t>
            </w:r>
          </w:p>
        </w:tc>
        <w:tc>
          <w:tcPr>
            <w:tcW w:w="7513" w:type="dxa"/>
          </w:tcPr>
          <w:p w14:paraId="7BCC6857" w14:textId="1697B834" w:rsidR="00625089" w:rsidRDefault="00625089" w:rsidP="00625089">
            <w:r w:rsidRPr="007104F3">
              <w:rPr>
                <w:rFonts w:cs="Arial"/>
              </w:rPr>
              <w:t>Map the workforce, including skill mix and vacancies, and identify where a different workforce model could release specialist capacity and make best use of clinical or specialist skills and experience.</w:t>
            </w:r>
          </w:p>
        </w:tc>
        <w:tc>
          <w:tcPr>
            <w:tcW w:w="1637" w:type="dxa"/>
          </w:tcPr>
          <w:p w14:paraId="6BCBC67E" w14:textId="77777777" w:rsidR="00625089" w:rsidRDefault="00625089" w:rsidP="00625089"/>
        </w:tc>
      </w:tr>
      <w:tr w:rsidR="009E3DA4" w14:paraId="0BAE094B" w14:textId="77777777" w:rsidTr="00D53F06">
        <w:trPr>
          <w:cantSplit/>
        </w:trPr>
        <w:tc>
          <w:tcPr>
            <w:tcW w:w="704" w:type="dxa"/>
          </w:tcPr>
          <w:p w14:paraId="7BAAA5FC" w14:textId="384C363F" w:rsidR="009E3DA4" w:rsidRDefault="009E3DA4" w:rsidP="009E3DA4">
            <w:r>
              <w:t>2.2</w:t>
            </w:r>
          </w:p>
        </w:tc>
        <w:tc>
          <w:tcPr>
            <w:tcW w:w="7513" w:type="dxa"/>
          </w:tcPr>
          <w:p w14:paraId="4B104A7A" w14:textId="77777777" w:rsidR="009E3DA4" w:rsidRPr="00F44B2E" w:rsidRDefault="009E3DA4" w:rsidP="009E3DA4">
            <w:pPr>
              <w:rPr>
                <w:rFonts w:cs="Arial"/>
              </w:rPr>
            </w:pPr>
            <w:r w:rsidRPr="00F44B2E">
              <w:rPr>
                <w:rFonts w:cs="Arial"/>
              </w:rPr>
              <w:t>Routinely collect patient re</w:t>
            </w:r>
            <w:r>
              <w:rPr>
                <w:rFonts w:cs="Arial"/>
              </w:rPr>
              <w:t>ported</w:t>
            </w:r>
            <w:r w:rsidRPr="00F44B2E">
              <w:rPr>
                <w:rFonts w:cs="Arial"/>
              </w:rPr>
              <w:t xml:space="preserve"> outcome </w:t>
            </w:r>
            <w:r w:rsidRPr="00F17518">
              <w:rPr>
                <w:rFonts w:cs="Arial"/>
              </w:rPr>
              <w:t>measures</w:t>
            </w:r>
            <w:r>
              <w:rPr>
                <w:rFonts w:cs="Arial"/>
              </w:rPr>
              <w:t xml:space="preserve">, </w:t>
            </w:r>
            <w:r w:rsidRPr="00F17518">
              <w:rPr>
                <w:rFonts w:cs="Arial"/>
              </w:rPr>
              <w:t>patient recorded experience measures</w:t>
            </w:r>
            <w:r w:rsidRPr="00F44B2E">
              <w:rPr>
                <w:rFonts w:cs="Arial"/>
              </w:rPr>
              <w:t xml:space="preserve"> (where available) and </w:t>
            </w:r>
            <w:r>
              <w:rPr>
                <w:rFonts w:cs="Arial"/>
              </w:rPr>
              <w:t xml:space="preserve">clinician reported measures and </w:t>
            </w:r>
            <w:r w:rsidRPr="00F44B2E">
              <w:rPr>
                <w:rFonts w:cs="Arial"/>
              </w:rPr>
              <w:t>use</w:t>
            </w:r>
            <w:r>
              <w:rPr>
                <w:rFonts w:cs="Arial"/>
              </w:rPr>
              <w:t xml:space="preserve"> these</w:t>
            </w:r>
            <w:r w:rsidRPr="00F44B2E">
              <w:rPr>
                <w:rFonts w:cs="Arial"/>
              </w:rPr>
              <w:t xml:space="preserve"> to inform quality evaluation and improvement.</w:t>
            </w:r>
          </w:p>
          <w:p w14:paraId="31EC4304" w14:textId="4B060056" w:rsidR="009E3DA4" w:rsidRDefault="009E3DA4" w:rsidP="009E3DA4">
            <w:r w:rsidRPr="00FA7940">
              <w:rPr>
                <w:rFonts w:cs="Arial"/>
                <w:b/>
                <w:bCs/>
              </w:rPr>
              <w:t>Relevant guidance and support:</w:t>
            </w:r>
            <w:r w:rsidRPr="002A11AD">
              <w:rPr>
                <w:rFonts w:cs="Arial"/>
              </w:rPr>
              <w:t xml:space="preserve"> </w:t>
            </w:r>
            <w:r w:rsidRPr="006E652E">
              <w:rPr>
                <w:rFonts w:cs="Arial"/>
              </w:rPr>
              <w:t xml:space="preserve">Guidance: </w:t>
            </w:r>
            <w:hyperlink r:id="rId25" w:history="1">
              <w:r w:rsidRPr="00F11A6E">
                <w:rPr>
                  <w:rStyle w:val="Hyperlink"/>
                  <w:rFonts w:ascii="Arial" w:hAnsi="Arial" w:cs="Arial"/>
                </w:rPr>
                <w:t>Experience of care improvement self-assessment</w:t>
              </w:r>
            </w:hyperlink>
            <w:r>
              <w:rPr>
                <w:rFonts w:cs="Arial"/>
              </w:rPr>
              <w:t xml:space="preserve"> (NHS England)</w:t>
            </w:r>
            <w:r>
              <w:rPr>
                <w:rFonts w:cs="Arial"/>
              </w:rPr>
              <w:br/>
            </w:r>
            <w:r w:rsidRPr="006E652E">
              <w:rPr>
                <w:rFonts w:cs="Arial"/>
              </w:rPr>
              <w:t xml:space="preserve">Guidance: </w:t>
            </w:r>
            <w:hyperlink r:id="rId26" w:history="1">
              <w:r w:rsidRPr="000277A8">
                <w:rPr>
                  <w:rStyle w:val="Hyperlink"/>
                  <w:rFonts w:ascii="Arial" w:hAnsi="Arial" w:cs="Arial"/>
                </w:rPr>
                <w:t>Patient experience in adult NHS services: improving the experience of care for people using adult NHS services</w:t>
              </w:r>
            </w:hyperlink>
            <w:r>
              <w:rPr>
                <w:rFonts w:cs="Arial"/>
              </w:rPr>
              <w:t xml:space="preserve"> (NICE </w:t>
            </w:r>
            <w:r w:rsidRPr="00652E18">
              <w:rPr>
                <w:rFonts w:cs="Arial"/>
              </w:rPr>
              <w:t>clinical guideline</w:t>
            </w:r>
            <w:r>
              <w:rPr>
                <w:rFonts w:cs="Arial"/>
              </w:rPr>
              <w:t xml:space="preserve"> CG138)</w:t>
            </w:r>
            <w:r>
              <w:rPr>
                <w:rFonts w:cs="Arial"/>
              </w:rPr>
              <w:br/>
            </w:r>
            <w:r w:rsidRPr="00FD65C2">
              <w:rPr>
                <w:rFonts w:cs="Arial"/>
              </w:rPr>
              <w:t xml:space="preserve">Guidance: </w:t>
            </w:r>
            <w:hyperlink r:id="rId27" w:history="1">
              <w:r w:rsidRPr="001B3819">
                <w:rPr>
                  <w:rStyle w:val="Hyperlink"/>
                  <w:rFonts w:ascii="Arial" w:hAnsi="Arial" w:cs="Arial"/>
                </w:rPr>
                <w:t>Babies, children and young people's experience of healthcare</w:t>
              </w:r>
            </w:hyperlink>
            <w:r>
              <w:rPr>
                <w:rFonts w:cs="Arial"/>
              </w:rPr>
              <w:t xml:space="preserve"> (</w:t>
            </w:r>
            <w:r w:rsidRPr="00652E18">
              <w:rPr>
                <w:rFonts w:cs="Arial"/>
              </w:rPr>
              <w:t>NICE guideline</w:t>
            </w:r>
            <w:r>
              <w:rPr>
                <w:rFonts w:cs="Arial"/>
              </w:rPr>
              <w:t xml:space="preserve"> NG204)</w:t>
            </w:r>
          </w:p>
        </w:tc>
        <w:tc>
          <w:tcPr>
            <w:tcW w:w="1637" w:type="dxa"/>
          </w:tcPr>
          <w:p w14:paraId="4FD3CEB6" w14:textId="77777777" w:rsidR="009E3DA4" w:rsidRDefault="009E3DA4" w:rsidP="009E3DA4"/>
        </w:tc>
      </w:tr>
      <w:tr w:rsidR="00E274B8" w14:paraId="2B801352" w14:textId="77777777" w:rsidTr="00D53F06">
        <w:trPr>
          <w:cantSplit/>
        </w:trPr>
        <w:tc>
          <w:tcPr>
            <w:tcW w:w="704" w:type="dxa"/>
          </w:tcPr>
          <w:p w14:paraId="588D85FD" w14:textId="5EBBA2B4" w:rsidR="00E274B8" w:rsidRDefault="00E274B8" w:rsidP="00E274B8">
            <w:r>
              <w:t>2.3</w:t>
            </w:r>
          </w:p>
        </w:tc>
        <w:tc>
          <w:tcPr>
            <w:tcW w:w="7513" w:type="dxa"/>
          </w:tcPr>
          <w:p w14:paraId="21D00DC8" w14:textId="2D5DF823" w:rsidR="00E274B8" w:rsidRDefault="00E274B8" w:rsidP="00E274B8">
            <w:r w:rsidRPr="00C83C4D">
              <w:rPr>
                <w:rFonts w:cs="Arial"/>
              </w:rPr>
              <w:t>Work with alternative settings (including voluntary, community and social enterprise groups) to create capacity in a variety of community venues.</w:t>
            </w:r>
          </w:p>
        </w:tc>
        <w:tc>
          <w:tcPr>
            <w:tcW w:w="1637" w:type="dxa"/>
          </w:tcPr>
          <w:p w14:paraId="45AD7C23" w14:textId="77777777" w:rsidR="00E274B8" w:rsidRDefault="00E274B8" w:rsidP="00E274B8"/>
        </w:tc>
      </w:tr>
      <w:tr w:rsidR="00BC5327" w14:paraId="66E8A9A1" w14:textId="77777777" w:rsidTr="00D53F06">
        <w:trPr>
          <w:cantSplit/>
        </w:trPr>
        <w:tc>
          <w:tcPr>
            <w:tcW w:w="704" w:type="dxa"/>
          </w:tcPr>
          <w:p w14:paraId="6B720B00" w14:textId="217A9BA9" w:rsidR="00BC5327" w:rsidRDefault="00BC5327" w:rsidP="00BC5327">
            <w:r>
              <w:t>2.4</w:t>
            </w:r>
          </w:p>
        </w:tc>
        <w:tc>
          <w:tcPr>
            <w:tcW w:w="7513" w:type="dxa"/>
          </w:tcPr>
          <w:p w14:paraId="546F3020" w14:textId="77777777" w:rsidR="00BC5327" w:rsidRDefault="00BC5327" w:rsidP="00BC5327">
            <w:pPr>
              <w:rPr>
                <w:rFonts w:cs="Arial"/>
              </w:rPr>
            </w:pPr>
            <w:r w:rsidRPr="000E05DE">
              <w:rPr>
                <w:rFonts w:cs="Arial"/>
              </w:rPr>
              <w:t xml:space="preserve">Implement patient initiated follow up (PIFU) where clinically appropriate and operationally feasible and build </w:t>
            </w:r>
            <w:r>
              <w:rPr>
                <w:rFonts w:cs="Arial"/>
              </w:rPr>
              <w:t xml:space="preserve">this </w:t>
            </w:r>
            <w:r w:rsidRPr="000E05DE">
              <w:rPr>
                <w:rFonts w:cs="Arial"/>
              </w:rPr>
              <w:t>into service reporting</w:t>
            </w:r>
            <w:r>
              <w:rPr>
                <w:rFonts w:cs="Arial"/>
              </w:rPr>
              <w:t>.</w:t>
            </w:r>
          </w:p>
          <w:p w14:paraId="111CF384" w14:textId="4896201B" w:rsidR="00BC5327" w:rsidRDefault="00BC5327" w:rsidP="00BC5327">
            <w:r w:rsidRPr="00A152B3">
              <w:rPr>
                <w:rFonts w:cs="Arial"/>
                <w:b/>
                <w:bCs/>
              </w:rPr>
              <w:t>Relevant guidance and support</w:t>
            </w:r>
            <w:r>
              <w:rPr>
                <w:rFonts w:cs="Arial"/>
                <w:b/>
                <w:bCs/>
              </w:rPr>
              <w:t>:</w:t>
            </w:r>
            <w:r w:rsidRPr="0088245A">
              <w:rPr>
                <w:rFonts w:cs="Arial"/>
              </w:rPr>
              <w:t xml:space="preserve"> </w:t>
            </w:r>
            <w:r w:rsidRPr="006E652E">
              <w:rPr>
                <w:rFonts w:cs="Arial"/>
              </w:rPr>
              <w:t xml:space="preserve">Guidance: </w:t>
            </w:r>
            <w:hyperlink r:id="rId28" w:history="1">
              <w:r w:rsidRPr="00EF1F83">
                <w:rPr>
                  <w:rStyle w:val="Hyperlink"/>
                  <w:rFonts w:ascii="Arial" w:hAnsi="Arial" w:cs="Arial"/>
                </w:rPr>
                <w:t xml:space="preserve">Implementing patient initiated follow-up: guidance for local health and care systems </w:t>
              </w:r>
            </w:hyperlink>
            <w:r>
              <w:rPr>
                <w:rFonts w:cs="Arial"/>
              </w:rPr>
              <w:t xml:space="preserve"> (NHS England)</w:t>
            </w:r>
          </w:p>
        </w:tc>
        <w:tc>
          <w:tcPr>
            <w:tcW w:w="1637" w:type="dxa"/>
          </w:tcPr>
          <w:p w14:paraId="1EB6D3D1" w14:textId="77777777" w:rsidR="00BC5327" w:rsidRDefault="00BC5327" w:rsidP="00BC5327"/>
        </w:tc>
      </w:tr>
      <w:tr w:rsidR="00BC5327" w:rsidRPr="00166A63" w14:paraId="34C75F23" w14:textId="77777777" w:rsidTr="00D53F06">
        <w:trPr>
          <w:cantSplit/>
          <w:tblHeader/>
        </w:trPr>
        <w:tc>
          <w:tcPr>
            <w:tcW w:w="704" w:type="dxa"/>
            <w:shd w:val="clear" w:color="auto" w:fill="0070C0"/>
          </w:tcPr>
          <w:p w14:paraId="06C061E1" w14:textId="77777777" w:rsidR="00BC5327" w:rsidRPr="00166A63" w:rsidRDefault="00BC5327" w:rsidP="0052666B">
            <w:pPr>
              <w:keepNext/>
              <w:rPr>
                <w:b/>
                <w:bCs/>
                <w:color w:val="FFFFFF" w:themeColor="text1"/>
              </w:rPr>
            </w:pPr>
          </w:p>
        </w:tc>
        <w:tc>
          <w:tcPr>
            <w:tcW w:w="7513" w:type="dxa"/>
            <w:shd w:val="clear" w:color="auto" w:fill="0070C0"/>
          </w:tcPr>
          <w:p w14:paraId="1D77A6CB" w14:textId="77777777" w:rsidR="00BC5327" w:rsidRPr="00166A63" w:rsidRDefault="00BC5327" w:rsidP="0052666B">
            <w:pPr>
              <w:keepNext/>
              <w:rPr>
                <w:b/>
                <w:bCs/>
                <w:color w:val="FFFFFF" w:themeColor="text1"/>
              </w:rPr>
            </w:pPr>
            <w:r>
              <w:rPr>
                <w:b/>
                <w:bCs/>
                <w:color w:val="FFFFFF" w:themeColor="text1"/>
              </w:rPr>
              <w:t>Going further activity</w:t>
            </w:r>
          </w:p>
        </w:tc>
        <w:tc>
          <w:tcPr>
            <w:tcW w:w="1637" w:type="dxa"/>
            <w:shd w:val="clear" w:color="auto" w:fill="0070C0"/>
          </w:tcPr>
          <w:p w14:paraId="12467A1D" w14:textId="77777777" w:rsidR="00BC5327" w:rsidRPr="00166A63" w:rsidRDefault="00BC5327" w:rsidP="0052666B">
            <w:pPr>
              <w:keepNext/>
              <w:rPr>
                <w:b/>
                <w:bCs/>
                <w:color w:val="FFFFFF" w:themeColor="text1"/>
              </w:rPr>
            </w:pPr>
          </w:p>
        </w:tc>
      </w:tr>
      <w:tr w:rsidR="0052666B" w14:paraId="5B37E2AE" w14:textId="77777777" w:rsidTr="00D53F06">
        <w:trPr>
          <w:cantSplit/>
        </w:trPr>
        <w:tc>
          <w:tcPr>
            <w:tcW w:w="704" w:type="dxa"/>
          </w:tcPr>
          <w:p w14:paraId="5F9988D2" w14:textId="62182531" w:rsidR="0052666B" w:rsidRDefault="0052666B" w:rsidP="0052666B">
            <w:r>
              <w:t>2.5</w:t>
            </w:r>
          </w:p>
        </w:tc>
        <w:tc>
          <w:tcPr>
            <w:tcW w:w="7513" w:type="dxa"/>
          </w:tcPr>
          <w:p w14:paraId="74E83FEF" w14:textId="77777777" w:rsidR="0052666B" w:rsidRDefault="0052666B" w:rsidP="0052666B">
            <w:pPr>
              <w:rPr>
                <w:rFonts w:cs="Arial"/>
              </w:rPr>
            </w:pPr>
            <w:r w:rsidRPr="00C74600">
              <w:rPr>
                <w:rFonts w:cs="Arial"/>
              </w:rPr>
              <w:t>Support patient self-management with evidence-based approaches to peer support, self-management education and health coaching.</w:t>
            </w:r>
          </w:p>
          <w:p w14:paraId="2022C897" w14:textId="0CE99DDA" w:rsidR="0052666B" w:rsidRDefault="0052666B" w:rsidP="0052666B">
            <w:r w:rsidRPr="00A152B3">
              <w:rPr>
                <w:rFonts w:cs="Arial"/>
                <w:b/>
                <w:bCs/>
              </w:rPr>
              <w:t>Relevant guidance and support</w:t>
            </w:r>
            <w:r>
              <w:rPr>
                <w:rFonts w:cs="Arial"/>
                <w:b/>
                <w:bCs/>
              </w:rPr>
              <w:t xml:space="preserve">: </w:t>
            </w:r>
            <w:r w:rsidRPr="006E652E">
              <w:rPr>
                <w:rFonts w:cs="Arial"/>
              </w:rPr>
              <w:t xml:space="preserve">Guidance: </w:t>
            </w:r>
            <w:hyperlink r:id="rId29" w:history="1">
              <w:r w:rsidRPr="004F5C9D">
                <w:rPr>
                  <w:rStyle w:val="Hyperlink"/>
                  <w:rFonts w:ascii="Arial" w:hAnsi="Arial" w:cs="Arial"/>
                </w:rPr>
                <w:t>Supported self-management</w:t>
              </w:r>
            </w:hyperlink>
            <w:r>
              <w:rPr>
                <w:rFonts w:cs="Arial"/>
              </w:rPr>
              <w:t xml:space="preserve"> (NHS England)</w:t>
            </w:r>
          </w:p>
        </w:tc>
        <w:tc>
          <w:tcPr>
            <w:tcW w:w="1637" w:type="dxa"/>
          </w:tcPr>
          <w:p w14:paraId="71761CB3" w14:textId="77777777" w:rsidR="0052666B" w:rsidRDefault="0052666B" w:rsidP="0052666B"/>
        </w:tc>
      </w:tr>
      <w:tr w:rsidR="0052666B" w14:paraId="7E9233C2" w14:textId="77777777" w:rsidTr="00D53F06">
        <w:trPr>
          <w:cantSplit/>
        </w:trPr>
        <w:tc>
          <w:tcPr>
            <w:tcW w:w="704" w:type="dxa"/>
          </w:tcPr>
          <w:p w14:paraId="0741A7E2" w14:textId="101E54B5" w:rsidR="0052666B" w:rsidRDefault="0052666B" w:rsidP="0052666B">
            <w:r>
              <w:t>2.6</w:t>
            </w:r>
          </w:p>
        </w:tc>
        <w:tc>
          <w:tcPr>
            <w:tcW w:w="7513" w:type="dxa"/>
          </w:tcPr>
          <w:p w14:paraId="79596891" w14:textId="77777777" w:rsidR="0052666B" w:rsidRDefault="0052666B" w:rsidP="0052666B">
            <w:r w:rsidRPr="00B96C77">
              <w:t xml:space="preserve">Offer </w:t>
            </w:r>
            <w:r>
              <w:t>c</w:t>
            </w:r>
            <w:r w:rsidRPr="00B96C77">
              <w:t xml:space="preserve">linical </w:t>
            </w:r>
            <w:r>
              <w:t>a</w:t>
            </w:r>
            <w:r w:rsidRPr="00B96C77">
              <w:t>ssessment</w:t>
            </w:r>
            <w:r>
              <w:t xml:space="preserve"> or a</w:t>
            </w:r>
            <w:r w:rsidRPr="00B96C77">
              <w:t xml:space="preserve">ppointment </w:t>
            </w:r>
            <w:r>
              <w:t>d</w:t>
            </w:r>
            <w:r w:rsidRPr="00B96C77">
              <w:t>ays where clinically appropriate and consider opportunities to involve other partners including the voluntary sector.</w:t>
            </w:r>
          </w:p>
          <w:p w14:paraId="7CD23EE6" w14:textId="760D819A" w:rsidR="0052666B" w:rsidRDefault="0052666B" w:rsidP="0052666B">
            <w:r w:rsidRPr="00A152B3">
              <w:rPr>
                <w:rFonts w:cs="Arial"/>
                <w:b/>
                <w:bCs/>
              </w:rPr>
              <w:t>Relevant guidance and support</w:t>
            </w:r>
            <w:r>
              <w:rPr>
                <w:rFonts w:cs="Arial"/>
                <w:b/>
                <w:bCs/>
              </w:rPr>
              <w:t xml:space="preserve">: </w:t>
            </w:r>
            <w:r w:rsidRPr="00FD65C2">
              <w:rPr>
                <w:rFonts w:cs="Arial"/>
              </w:rPr>
              <w:t xml:space="preserve">Case </w:t>
            </w:r>
            <w:r>
              <w:rPr>
                <w:rFonts w:cs="Arial"/>
              </w:rPr>
              <w:t>s</w:t>
            </w:r>
            <w:r w:rsidRPr="00FD65C2">
              <w:rPr>
                <w:rFonts w:cs="Arial"/>
              </w:rPr>
              <w:t xml:space="preserve">tudy: </w:t>
            </w:r>
            <w:hyperlink r:id="rId30" w:history="1">
              <w:r w:rsidRPr="006C794A">
                <w:rPr>
                  <w:rStyle w:val="Hyperlink"/>
                  <w:rFonts w:ascii="Arial" w:hAnsi="Arial" w:cs="Arial"/>
                </w:rPr>
                <w:t>Cornwall Partnership Foundation NHS Trust</w:t>
              </w:r>
              <w:r>
                <w:rPr>
                  <w:rStyle w:val="Hyperlink"/>
                  <w:rFonts w:ascii="Arial" w:hAnsi="Arial" w:cs="Arial"/>
                </w:rPr>
                <w:t>’s c</w:t>
              </w:r>
              <w:r w:rsidRPr="00A7281B">
                <w:rPr>
                  <w:rStyle w:val="Hyperlink"/>
                  <w:rFonts w:ascii="Arial" w:hAnsi="Arial" w:cs="Arial"/>
                </w:rPr>
                <w:t xml:space="preserve">ommunity </w:t>
              </w:r>
              <w:r>
                <w:rPr>
                  <w:rStyle w:val="Hyperlink"/>
                  <w:rFonts w:ascii="Arial" w:hAnsi="Arial" w:cs="Arial"/>
                </w:rPr>
                <w:t>a</w:t>
              </w:r>
              <w:r w:rsidRPr="00A7281B">
                <w:rPr>
                  <w:rStyle w:val="Hyperlink"/>
                  <w:rFonts w:ascii="Arial" w:hAnsi="Arial" w:cs="Arial"/>
                </w:rPr>
                <w:t xml:space="preserve">ssessment </w:t>
              </w:r>
              <w:r>
                <w:rPr>
                  <w:rStyle w:val="Hyperlink"/>
                  <w:rFonts w:ascii="Arial" w:hAnsi="Arial" w:cs="Arial"/>
                </w:rPr>
                <w:t>d</w:t>
              </w:r>
              <w:r w:rsidRPr="00A7281B">
                <w:rPr>
                  <w:rStyle w:val="Hyperlink"/>
                  <w:rFonts w:ascii="Arial" w:hAnsi="Arial" w:cs="Arial"/>
                </w:rPr>
                <w:t xml:space="preserve">ay for </w:t>
              </w:r>
              <w:r>
                <w:rPr>
                  <w:rStyle w:val="Hyperlink"/>
                  <w:rFonts w:ascii="Arial" w:hAnsi="Arial" w:cs="Arial"/>
                </w:rPr>
                <w:t>p</w:t>
              </w:r>
              <w:r w:rsidRPr="00A7281B">
                <w:rPr>
                  <w:rStyle w:val="Hyperlink"/>
                  <w:rFonts w:ascii="Arial" w:hAnsi="Arial" w:cs="Arial"/>
                </w:rPr>
                <w:t xml:space="preserve">odiatry </w:t>
              </w:r>
              <w:r>
                <w:rPr>
                  <w:rStyle w:val="Hyperlink"/>
                  <w:rFonts w:ascii="Arial" w:hAnsi="Arial" w:cs="Arial"/>
                </w:rPr>
                <w:t>s</w:t>
              </w:r>
              <w:r w:rsidRPr="00A7281B">
                <w:rPr>
                  <w:rStyle w:val="Hyperlink"/>
                  <w:rFonts w:ascii="Arial" w:hAnsi="Arial" w:cs="Arial"/>
                </w:rPr>
                <w:t>ervices</w:t>
              </w:r>
            </w:hyperlink>
          </w:p>
        </w:tc>
        <w:tc>
          <w:tcPr>
            <w:tcW w:w="1637" w:type="dxa"/>
          </w:tcPr>
          <w:p w14:paraId="28C3E76E" w14:textId="77777777" w:rsidR="0052666B" w:rsidRDefault="0052666B" w:rsidP="0052666B"/>
        </w:tc>
      </w:tr>
      <w:tr w:rsidR="0052666B" w14:paraId="6F73151F" w14:textId="77777777" w:rsidTr="00D53F06">
        <w:trPr>
          <w:cantSplit/>
        </w:trPr>
        <w:tc>
          <w:tcPr>
            <w:tcW w:w="704" w:type="dxa"/>
          </w:tcPr>
          <w:p w14:paraId="759DE174" w14:textId="4C936188" w:rsidR="0052666B" w:rsidRDefault="0052666B" w:rsidP="0052666B">
            <w:r>
              <w:t>2.7</w:t>
            </w:r>
          </w:p>
        </w:tc>
        <w:tc>
          <w:tcPr>
            <w:tcW w:w="7513" w:type="dxa"/>
          </w:tcPr>
          <w:p w14:paraId="7F31E5C1" w14:textId="77777777" w:rsidR="0052666B" w:rsidRDefault="0052666B" w:rsidP="0052666B">
            <w:r w:rsidRPr="00B96C77">
              <w:t xml:space="preserve">Offer </w:t>
            </w:r>
            <w:r>
              <w:t>g</w:t>
            </w:r>
            <w:r w:rsidRPr="00B96C77">
              <w:t xml:space="preserve">roup </w:t>
            </w:r>
            <w:r>
              <w:t>c</w:t>
            </w:r>
            <w:r w:rsidRPr="00B96C77">
              <w:t>linics</w:t>
            </w:r>
            <w:r>
              <w:t>. Group clinics are widely</w:t>
            </w:r>
            <w:r w:rsidRPr="00B96C77">
              <w:t xml:space="preserve"> used in primary care</w:t>
            </w:r>
            <w:r>
              <w:t xml:space="preserve"> and</w:t>
            </w:r>
            <w:r w:rsidRPr="00B96C77">
              <w:t xml:space="preserve"> increasingly part of community health service delivery.</w:t>
            </w:r>
          </w:p>
          <w:p w14:paraId="44DF0FFC" w14:textId="38482436" w:rsidR="0052666B" w:rsidRDefault="0052666B" w:rsidP="0052666B">
            <w:r w:rsidRPr="00A152B3">
              <w:rPr>
                <w:rFonts w:cs="Arial"/>
                <w:b/>
                <w:bCs/>
              </w:rPr>
              <w:t>Relevant guidance and support</w:t>
            </w:r>
            <w:r>
              <w:rPr>
                <w:rFonts w:cs="Arial"/>
                <w:b/>
                <w:bCs/>
              </w:rPr>
              <w:t xml:space="preserve">: </w:t>
            </w:r>
            <w:r w:rsidRPr="006E652E">
              <w:rPr>
                <w:rFonts w:cs="Arial"/>
              </w:rPr>
              <w:t xml:space="preserve">Case study: </w:t>
            </w:r>
            <w:hyperlink r:id="rId31" w:history="1">
              <w:r w:rsidRPr="004B66E9">
                <w:rPr>
                  <w:rStyle w:val="Hyperlink"/>
                  <w:rFonts w:ascii="Arial" w:hAnsi="Arial" w:cs="Arial"/>
                </w:rPr>
                <w:t xml:space="preserve">Torbay stroke rehabilitation </w:t>
              </w:r>
              <w:r>
                <w:rPr>
                  <w:rStyle w:val="Hyperlink"/>
                  <w:rFonts w:ascii="Arial" w:hAnsi="Arial" w:cs="Arial"/>
                </w:rPr>
                <w:t>1-</w:t>
              </w:r>
              <w:r w:rsidRPr="004B66E9">
                <w:rPr>
                  <w:rStyle w:val="Hyperlink"/>
                  <w:rFonts w:ascii="Arial" w:hAnsi="Arial" w:cs="Arial"/>
                </w:rPr>
                <w:t>stop group assessment and treatment clinic case study</w:t>
              </w:r>
            </w:hyperlink>
            <w:r>
              <w:rPr>
                <w:rFonts w:cs="Arial"/>
              </w:rPr>
              <w:br/>
            </w:r>
            <w:r>
              <w:rPr>
                <w:rFonts w:cs="Arial"/>
              </w:rPr>
              <w:br/>
            </w:r>
            <w:r w:rsidRPr="006E652E">
              <w:rPr>
                <w:rFonts w:cs="Arial"/>
              </w:rPr>
              <w:t xml:space="preserve">Case study: </w:t>
            </w:r>
            <w:hyperlink r:id="rId32" w:history="1">
              <w:r w:rsidRPr="004B66E9">
                <w:rPr>
                  <w:rStyle w:val="Hyperlink"/>
                  <w:rFonts w:ascii="Arial" w:hAnsi="Arial" w:cs="Arial"/>
                </w:rPr>
                <w:t>Whittington Health NHS Trust</w:t>
              </w:r>
              <w:r>
                <w:rPr>
                  <w:rStyle w:val="Hyperlink"/>
                  <w:rFonts w:ascii="Arial" w:hAnsi="Arial" w:cs="Arial"/>
                </w:rPr>
                <w:t>’s</w:t>
              </w:r>
              <w:r w:rsidRPr="004B66E9">
                <w:rPr>
                  <w:rStyle w:val="Hyperlink"/>
                  <w:rFonts w:ascii="Arial" w:hAnsi="Arial" w:cs="Arial"/>
                </w:rPr>
                <w:t xml:space="preserve"> </w:t>
              </w:r>
              <w:r>
                <w:rPr>
                  <w:rStyle w:val="Hyperlink"/>
                  <w:rFonts w:ascii="Arial" w:hAnsi="Arial" w:cs="Arial"/>
                </w:rPr>
                <w:t>c</w:t>
              </w:r>
              <w:r w:rsidRPr="004B66E9">
                <w:rPr>
                  <w:rStyle w:val="Hyperlink"/>
                  <w:rFonts w:ascii="Arial" w:hAnsi="Arial" w:cs="Arial"/>
                </w:rPr>
                <w:t>ommunity dietetics and nutritio</w:t>
              </w:r>
              <w:r>
                <w:rPr>
                  <w:rStyle w:val="Hyperlink"/>
                  <w:rFonts w:ascii="Arial" w:hAnsi="Arial" w:cs="Arial"/>
                </w:rPr>
                <w:t>n video group clinics</w:t>
              </w:r>
            </w:hyperlink>
          </w:p>
        </w:tc>
        <w:tc>
          <w:tcPr>
            <w:tcW w:w="1637" w:type="dxa"/>
          </w:tcPr>
          <w:p w14:paraId="3C74FF4E" w14:textId="77777777" w:rsidR="0052666B" w:rsidRDefault="0052666B" w:rsidP="0052666B"/>
        </w:tc>
      </w:tr>
      <w:tr w:rsidR="0052666B" w14:paraId="31CCAE03" w14:textId="77777777" w:rsidTr="00D53F06">
        <w:trPr>
          <w:cantSplit/>
        </w:trPr>
        <w:tc>
          <w:tcPr>
            <w:tcW w:w="704" w:type="dxa"/>
          </w:tcPr>
          <w:p w14:paraId="0A001D88" w14:textId="5423FCE1" w:rsidR="0052666B" w:rsidRDefault="0052666B" w:rsidP="0052666B">
            <w:r>
              <w:lastRenderedPageBreak/>
              <w:t>2.8</w:t>
            </w:r>
          </w:p>
        </w:tc>
        <w:tc>
          <w:tcPr>
            <w:tcW w:w="7513" w:type="dxa"/>
          </w:tcPr>
          <w:p w14:paraId="42A1F246" w14:textId="77777777" w:rsidR="0052666B" w:rsidRPr="00F44B2E" w:rsidRDefault="0052666B" w:rsidP="0052666B">
            <w:pPr>
              <w:contextualSpacing/>
              <w:rPr>
                <w:rFonts w:cs="Arial"/>
              </w:rPr>
            </w:pPr>
            <w:r w:rsidRPr="00F374DC">
              <w:rPr>
                <w:rFonts w:cs="Arial"/>
              </w:rPr>
              <w:t>Where clinically appropriate and operationally feasible, use digital tools to improve productivity. For example:</w:t>
            </w:r>
          </w:p>
          <w:p w14:paraId="59D84C48" w14:textId="77777777" w:rsidR="0052666B" w:rsidRPr="003D1626" w:rsidRDefault="0052666B" w:rsidP="0052666B">
            <w:pPr>
              <w:numPr>
                <w:ilvl w:val="0"/>
                <w:numId w:val="7"/>
              </w:numPr>
              <w:spacing w:after="180"/>
              <w:ind w:left="714" w:hanging="357"/>
              <w:contextualSpacing/>
              <w:rPr>
                <w:lang w:eastAsia="en-US"/>
              </w:rPr>
            </w:pPr>
            <w:r>
              <w:rPr>
                <w:lang w:eastAsia="en-US"/>
              </w:rPr>
              <w:t>a</w:t>
            </w:r>
            <w:r w:rsidRPr="003D1626">
              <w:rPr>
                <w:lang w:eastAsia="en-US"/>
              </w:rPr>
              <w:t xml:space="preserve">mbient </w:t>
            </w:r>
            <w:r>
              <w:rPr>
                <w:lang w:eastAsia="en-US"/>
              </w:rPr>
              <w:t>v</w:t>
            </w:r>
            <w:r w:rsidRPr="003D1626">
              <w:rPr>
                <w:lang w:eastAsia="en-US"/>
              </w:rPr>
              <w:t xml:space="preserve">oice </w:t>
            </w:r>
            <w:r>
              <w:rPr>
                <w:lang w:eastAsia="en-US"/>
              </w:rPr>
              <w:t>t</w:t>
            </w:r>
            <w:r w:rsidRPr="003D1626">
              <w:rPr>
                <w:lang w:eastAsia="en-US"/>
              </w:rPr>
              <w:t>echnology</w:t>
            </w:r>
          </w:p>
          <w:p w14:paraId="59F352BA" w14:textId="77777777" w:rsidR="0052666B" w:rsidRPr="003D1626" w:rsidRDefault="0052666B" w:rsidP="0052666B">
            <w:pPr>
              <w:numPr>
                <w:ilvl w:val="0"/>
                <w:numId w:val="7"/>
              </w:numPr>
              <w:spacing w:after="180"/>
              <w:ind w:left="714" w:hanging="357"/>
              <w:contextualSpacing/>
              <w:rPr>
                <w:lang w:eastAsia="en-US"/>
              </w:rPr>
            </w:pPr>
            <w:r>
              <w:rPr>
                <w:lang w:eastAsia="en-US"/>
              </w:rPr>
              <w:t>d</w:t>
            </w:r>
            <w:r w:rsidRPr="003D1626">
              <w:rPr>
                <w:lang w:eastAsia="en-US"/>
              </w:rPr>
              <w:t xml:space="preserve">igital management systems to automate triage, route patients to the most appropriate professional for their appointment and support self-management </w:t>
            </w:r>
          </w:p>
          <w:p w14:paraId="66B98AFA" w14:textId="77777777" w:rsidR="0052666B" w:rsidRPr="003D1626" w:rsidRDefault="0052666B" w:rsidP="0052666B">
            <w:pPr>
              <w:numPr>
                <w:ilvl w:val="0"/>
                <w:numId w:val="7"/>
              </w:numPr>
              <w:spacing w:after="180"/>
              <w:ind w:left="714" w:hanging="357"/>
              <w:contextualSpacing/>
              <w:rPr>
                <w:lang w:eastAsia="en-US"/>
              </w:rPr>
            </w:pPr>
            <w:r>
              <w:rPr>
                <w:lang w:eastAsia="en-US"/>
              </w:rPr>
              <w:t>t</w:t>
            </w:r>
            <w:r w:rsidRPr="003D1626">
              <w:rPr>
                <w:lang w:eastAsia="en-US"/>
              </w:rPr>
              <w:t>echnology to support telehealth appointments</w:t>
            </w:r>
          </w:p>
          <w:p w14:paraId="771577C0" w14:textId="77777777" w:rsidR="0052666B" w:rsidRPr="003D1626" w:rsidRDefault="0052666B" w:rsidP="0052666B">
            <w:pPr>
              <w:numPr>
                <w:ilvl w:val="0"/>
                <w:numId w:val="7"/>
              </w:numPr>
              <w:spacing w:after="180"/>
              <w:ind w:left="714" w:hanging="357"/>
              <w:contextualSpacing/>
              <w:rPr>
                <w:lang w:eastAsia="en-US"/>
              </w:rPr>
            </w:pPr>
            <w:r>
              <w:rPr>
                <w:lang w:eastAsia="en-US"/>
              </w:rPr>
              <w:t>d</w:t>
            </w:r>
            <w:r w:rsidRPr="003D1626">
              <w:rPr>
                <w:lang w:eastAsia="en-US"/>
              </w:rPr>
              <w:t xml:space="preserve">igital screening and triage tools </w:t>
            </w:r>
          </w:p>
          <w:p w14:paraId="0DA00647" w14:textId="77777777" w:rsidR="0052666B" w:rsidRPr="003D1626" w:rsidRDefault="0052666B" w:rsidP="0052666B">
            <w:pPr>
              <w:numPr>
                <w:ilvl w:val="0"/>
                <w:numId w:val="7"/>
              </w:numPr>
              <w:spacing w:after="180"/>
              <w:ind w:left="714" w:hanging="357"/>
              <w:contextualSpacing/>
              <w:rPr>
                <w:lang w:eastAsia="en-US"/>
              </w:rPr>
            </w:pPr>
            <w:r>
              <w:rPr>
                <w:lang w:eastAsia="en-US"/>
              </w:rPr>
              <w:t>p</w:t>
            </w:r>
            <w:r w:rsidRPr="003D1626">
              <w:rPr>
                <w:lang w:eastAsia="en-US"/>
              </w:rPr>
              <w:t>atient communication portals and record sharing tools</w:t>
            </w:r>
          </w:p>
          <w:p w14:paraId="4F1D7948" w14:textId="77777777" w:rsidR="0052666B" w:rsidRDefault="0052666B" w:rsidP="0052666B">
            <w:pPr>
              <w:numPr>
                <w:ilvl w:val="0"/>
                <w:numId w:val="7"/>
              </w:numPr>
              <w:spacing w:after="180"/>
              <w:ind w:left="714" w:hanging="357"/>
              <w:contextualSpacing/>
              <w:rPr>
                <w:lang w:eastAsia="en-US"/>
              </w:rPr>
            </w:pPr>
            <w:r w:rsidRPr="00FD035D">
              <w:rPr>
                <w:lang w:eastAsia="en-US"/>
              </w:rPr>
              <w:t>digital interventions or therapies that release capacity</w:t>
            </w:r>
            <w:r>
              <w:rPr>
                <w:lang w:eastAsia="en-US"/>
              </w:rPr>
              <w:br/>
            </w:r>
          </w:p>
          <w:p w14:paraId="38C28E6E" w14:textId="77777777" w:rsidR="0052666B" w:rsidRDefault="0052666B" w:rsidP="0052666B">
            <w:pPr>
              <w:spacing w:after="180"/>
              <w:contextualSpacing/>
              <w:rPr>
                <w:lang w:eastAsia="en-US"/>
              </w:rPr>
            </w:pPr>
            <w:r>
              <w:t>Services must consider how introducing a digital tool will affect service accessibility for all patients</w:t>
            </w:r>
            <w:r w:rsidRPr="00B75E65">
              <w:t>.</w:t>
            </w:r>
          </w:p>
          <w:p w14:paraId="1ADEF28C" w14:textId="77777777" w:rsidR="0052666B" w:rsidRDefault="0052666B" w:rsidP="0052666B">
            <w:pPr>
              <w:spacing w:after="180"/>
              <w:contextualSpacing/>
              <w:rPr>
                <w:rFonts w:cs="Arial"/>
              </w:rPr>
            </w:pPr>
            <w:r w:rsidRPr="00A152B3">
              <w:rPr>
                <w:rFonts w:cs="Arial"/>
                <w:b/>
                <w:bCs/>
              </w:rPr>
              <w:t>Relevant guidance and support</w:t>
            </w:r>
            <w:r>
              <w:rPr>
                <w:rFonts w:cs="Arial"/>
                <w:b/>
                <w:bCs/>
              </w:rPr>
              <w:t>:</w:t>
            </w:r>
            <w:r w:rsidRPr="006E652E">
              <w:rPr>
                <w:rFonts w:cs="Arial"/>
              </w:rPr>
              <w:t xml:space="preserve"> Guidance</w:t>
            </w:r>
            <w:r>
              <w:rPr>
                <w:rFonts w:cs="Arial"/>
              </w:rPr>
              <w:t xml:space="preserve">: </w:t>
            </w:r>
            <w:hyperlink r:id="rId33" w:history="1">
              <w:r w:rsidRPr="001F63F4">
                <w:rPr>
                  <w:rStyle w:val="Hyperlink"/>
                  <w:rFonts w:ascii="Arial" w:hAnsi="Arial" w:cs="Arial"/>
                </w:rPr>
                <w:t>Guidance on the use of AI-enabled ambient scribing products in health and care settings</w:t>
              </w:r>
            </w:hyperlink>
            <w:r>
              <w:rPr>
                <w:rFonts w:cs="Arial"/>
              </w:rPr>
              <w:t xml:space="preserve"> (NHS England)</w:t>
            </w:r>
          </w:p>
          <w:p w14:paraId="7345C647" w14:textId="5DE87E9B" w:rsidR="0052666B" w:rsidRDefault="0052666B" w:rsidP="0052666B"/>
        </w:tc>
        <w:tc>
          <w:tcPr>
            <w:tcW w:w="1637" w:type="dxa"/>
          </w:tcPr>
          <w:p w14:paraId="56D483AF" w14:textId="77777777" w:rsidR="0052666B" w:rsidRDefault="0052666B" w:rsidP="0052666B"/>
        </w:tc>
      </w:tr>
      <w:tr w:rsidR="0052666B" w14:paraId="16341CA6" w14:textId="77777777" w:rsidTr="00D53F06">
        <w:trPr>
          <w:cantSplit/>
        </w:trPr>
        <w:tc>
          <w:tcPr>
            <w:tcW w:w="704" w:type="dxa"/>
          </w:tcPr>
          <w:p w14:paraId="143C6FFA" w14:textId="0DF70EC3" w:rsidR="0052666B" w:rsidRDefault="0052666B" w:rsidP="0052666B">
            <w:r>
              <w:t>2.9</w:t>
            </w:r>
          </w:p>
        </w:tc>
        <w:tc>
          <w:tcPr>
            <w:tcW w:w="7513" w:type="dxa"/>
          </w:tcPr>
          <w:p w14:paraId="760B9D81" w14:textId="77777777" w:rsidR="0052666B" w:rsidRDefault="0052666B" w:rsidP="0052666B">
            <w:pPr>
              <w:contextualSpacing/>
              <w:rPr>
                <w:rFonts w:cs="Arial"/>
              </w:rPr>
            </w:pPr>
            <w:r w:rsidRPr="00B315F5">
              <w:rPr>
                <w:rFonts w:cs="Arial"/>
              </w:rPr>
              <w:t>Apply statistical process control techniques to understand local variations in waiting list data and the impact of improvement approaches. Use recognised service improvement methods (for example, quality, service improvement and redesign (QSIR)) to support productivity improvement.</w:t>
            </w:r>
          </w:p>
          <w:p w14:paraId="36A643FE" w14:textId="77777777" w:rsidR="0052666B" w:rsidRDefault="0052666B" w:rsidP="0052666B">
            <w:pPr>
              <w:contextualSpacing/>
              <w:rPr>
                <w:rFonts w:cs="Arial"/>
              </w:rPr>
            </w:pPr>
          </w:p>
          <w:p w14:paraId="238B30EE" w14:textId="77777777" w:rsidR="0052666B" w:rsidRPr="00B54B7C" w:rsidRDefault="0052666B" w:rsidP="0052666B">
            <w:pPr>
              <w:contextualSpacing/>
              <w:rPr>
                <w:rFonts w:cs="Arial"/>
              </w:rPr>
            </w:pPr>
            <w:r w:rsidRPr="00A152B3">
              <w:rPr>
                <w:rFonts w:cs="Arial"/>
                <w:b/>
                <w:bCs/>
              </w:rPr>
              <w:t>Relevant guidance and support</w:t>
            </w:r>
            <w:r>
              <w:rPr>
                <w:rFonts w:cs="Arial"/>
                <w:b/>
                <w:bCs/>
              </w:rPr>
              <w:t xml:space="preserve">: </w:t>
            </w:r>
            <w:r w:rsidRPr="006E652E">
              <w:rPr>
                <w:rFonts w:cs="Arial"/>
              </w:rPr>
              <w:t xml:space="preserve">Webpage: </w:t>
            </w:r>
            <w:hyperlink r:id="rId34" w:history="1">
              <w:r w:rsidRPr="00D01083">
                <w:rPr>
                  <w:rStyle w:val="Hyperlink"/>
                  <w:rFonts w:ascii="Arial" w:hAnsi="Arial" w:cs="Arial"/>
                </w:rPr>
                <w:t>Statistical process control tool</w:t>
              </w:r>
            </w:hyperlink>
            <w:r>
              <w:rPr>
                <w:rFonts w:cs="Arial"/>
              </w:rPr>
              <w:t xml:space="preserve"> (NHS England)</w:t>
            </w:r>
          </w:p>
          <w:p w14:paraId="3FFC6967" w14:textId="7F3DCED2" w:rsidR="0052666B" w:rsidRDefault="0052666B" w:rsidP="0052666B"/>
        </w:tc>
        <w:tc>
          <w:tcPr>
            <w:tcW w:w="1637" w:type="dxa"/>
          </w:tcPr>
          <w:p w14:paraId="516476F3" w14:textId="77777777" w:rsidR="0052666B" w:rsidRDefault="0052666B" w:rsidP="0052666B"/>
        </w:tc>
      </w:tr>
    </w:tbl>
    <w:p w14:paraId="797DC058" w14:textId="2E6A0D64" w:rsidR="00BD0732" w:rsidRDefault="0099533F" w:rsidP="0099533F">
      <w:pPr>
        <w:pStyle w:val="Heading2"/>
      </w:pPr>
      <w:bookmarkStart w:id="3" w:name="_Toc225770570"/>
      <w:r>
        <w:lastRenderedPageBreak/>
        <w:t>Action checklist 3: Appointment management</w:t>
      </w:r>
      <w:bookmarkEnd w:id="3"/>
    </w:p>
    <w:tbl>
      <w:tblPr>
        <w:tblStyle w:val="TableGrid"/>
        <w:tblW w:w="0" w:type="auto"/>
        <w:tblLook w:val="04A0" w:firstRow="1" w:lastRow="0" w:firstColumn="1" w:lastColumn="0" w:noHBand="0" w:noVBand="1"/>
      </w:tblPr>
      <w:tblGrid>
        <w:gridCol w:w="704"/>
        <w:gridCol w:w="7513"/>
        <w:gridCol w:w="1637"/>
      </w:tblGrid>
      <w:tr w:rsidR="0099533F" w:rsidRPr="00166A63" w14:paraId="1F1F4844" w14:textId="77777777" w:rsidTr="00D53F06">
        <w:trPr>
          <w:cantSplit/>
          <w:tblHeader/>
        </w:trPr>
        <w:tc>
          <w:tcPr>
            <w:tcW w:w="704" w:type="dxa"/>
            <w:shd w:val="clear" w:color="auto" w:fill="0070C0"/>
          </w:tcPr>
          <w:p w14:paraId="388D81D8" w14:textId="77777777" w:rsidR="0099533F" w:rsidRPr="00166A63" w:rsidRDefault="0099533F" w:rsidP="00D53F06">
            <w:pPr>
              <w:rPr>
                <w:b/>
                <w:bCs/>
                <w:color w:val="FFFFFF" w:themeColor="text1"/>
              </w:rPr>
            </w:pPr>
          </w:p>
        </w:tc>
        <w:tc>
          <w:tcPr>
            <w:tcW w:w="7513" w:type="dxa"/>
            <w:shd w:val="clear" w:color="auto" w:fill="0070C0"/>
          </w:tcPr>
          <w:p w14:paraId="27BB1B3B" w14:textId="77777777" w:rsidR="0099533F" w:rsidRPr="00166A63" w:rsidRDefault="0099533F" w:rsidP="00D53F06">
            <w:pPr>
              <w:rPr>
                <w:b/>
                <w:bCs/>
                <w:color w:val="FFFFFF" w:themeColor="text1"/>
              </w:rPr>
            </w:pPr>
            <w:r w:rsidRPr="00166A63">
              <w:rPr>
                <w:b/>
                <w:bCs/>
                <w:color w:val="FFFFFF" w:themeColor="text1"/>
              </w:rPr>
              <w:t>Actions</w:t>
            </w:r>
          </w:p>
        </w:tc>
        <w:tc>
          <w:tcPr>
            <w:tcW w:w="1637" w:type="dxa"/>
            <w:shd w:val="clear" w:color="auto" w:fill="0070C0"/>
          </w:tcPr>
          <w:p w14:paraId="50105F27" w14:textId="77777777" w:rsidR="0099533F" w:rsidRPr="00166A63" w:rsidRDefault="0099533F" w:rsidP="00D53F06">
            <w:pPr>
              <w:rPr>
                <w:b/>
                <w:bCs/>
                <w:color w:val="FFFFFF" w:themeColor="text1"/>
              </w:rPr>
            </w:pPr>
            <w:r w:rsidRPr="00166A63">
              <w:rPr>
                <w:b/>
                <w:bCs/>
                <w:color w:val="FFFFFF" w:themeColor="text1"/>
              </w:rPr>
              <w:t>Compliant?</w:t>
            </w:r>
          </w:p>
        </w:tc>
      </w:tr>
      <w:tr w:rsidR="00CD6D0C" w14:paraId="0FDA992A" w14:textId="77777777" w:rsidTr="00D53F06">
        <w:trPr>
          <w:cantSplit/>
        </w:trPr>
        <w:tc>
          <w:tcPr>
            <w:tcW w:w="704" w:type="dxa"/>
          </w:tcPr>
          <w:p w14:paraId="0E241E2A" w14:textId="7A9D8C0B" w:rsidR="00CD6D0C" w:rsidRDefault="00CD6D0C" w:rsidP="00CD6D0C">
            <w:r>
              <w:rPr>
                <w:rFonts w:cs="Arial"/>
              </w:rPr>
              <w:t>3.1</w:t>
            </w:r>
          </w:p>
        </w:tc>
        <w:tc>
          <w:tcPr>
            <w:tcW w:w="7513" w:type="dxa"/>
          </w:tcPr>
          <w:p w14:paraId="091273BE" w14:textId="77777777" w:rsidR="00CD6D0C" w:rsidRDefault="00CD6D0C" w:rsidP="00CD6D0C">
            <w:pPr>
              <w:rPr>
                <w:rFonts w:cs="Arial"/>
              </w:rPr>
            </w:pPr>
            <w:r w:rsidRPr="00467CDA">
              <w:rPr>
                <w:rFonts w:cs="Arial"/>
              </w:rPr>
              <w:t>Communication methods must take account of patients, carers and others who have communication support needs. This includes people with disabilities, impairments or sensory loss, people with limited English, and people who have difficulty reading. Communications must reach people who don’t have access to smartphones or emails</w:t>
            </w:r>
          </w:p>
          <w:p w14:paraId="23EEE950" w14:textId="77777777" w:rsidR="00CD6D0C" w:rsidRPr="006B547B" w:rsidRDefault="00CD6D0C" w:rsidP="00CD6D0C">
            <w:pPr>
              <w:rPr>
                <w:color w:val="auto"/>
              </w:rPr>
            </w:pPr>
            <w:r w:rsidRPr="006B547B">
              <w:rPr>
                <w:rFonts w:cs="Arial"/>
                <w:b/>
                <w:bCs/>
              </w:rPr>
              <w:t xml:space="preserve">Relevant guidance and support: </w:t>
            </w:r>
            <w:r w:rsidRPr="006B547B">
              <w:rPr>
                <w:color w:val="auto"/>
              </w:rPr>
              <w:t xml:space="preserve"> Guidance: </w:t>
            </w:r>
            <w:hyperlink r:id="rId35" w:history="1">
              <w:r w:rsidRPr="006B547B">
                <w:rPr>
                  <w:rStyle w:val="Hyperlink"/>
                  <w:rFonts w:ascii="Arial" w:hAnsi="Arial"/>
                </w:rPr>
                <w:t>Good communication with patients waiting for care: core principles</w:t>
              </w:r>
            </w:hyperlink>
            <w:r w:rsidRPr="006B547B">
              <w:rPr>
                <w:color w:val="auto"/>
              </w:rPr>
              <w:t xml:space="preserve"> (NHS England)</w:t>
            </w:r>
          </w:p>
          <w:p w14:paraId="1AA5F359" w14:textId="1F7958C3" w:rsidR="00CD6D0C" w:rsidRDefault="00CD6D0C" w:rsidP="00CD6D0C">
            <w:r w:rsidRPr="00053121">
              <w:rPr>
                <w:rFonts w:cs="Arial"/>
                <w:color w:val="auto"/>
              </w:rPr>
              <w:t xml:space="preserve">Guidance: </w:t>
            </w:r>
            <w:hyperlink r:id="rId36" w:history="1">
              <w:r w:rsidRPr="005516D0">
                <w:rPr>
                  <w:rStyle w:val="Hyperlink"/>
                  <w:rFonts w:ascii="Arial" w:hAnsi="Arial" w:cs="Arial"/>
                </w:rPr>
                <w:t>Accessible Information Standard</w:t>
              </w:r>
            </w:hyperlink>
            <w:r>
              <w:rPr>
                <w:rFonts w:cs="Arial"/>
                <w:color w:val="FFFFFF" w:themeColor="text1"/>
              </w:rPr>
              <w:t xml:space="preserve"> </w:t>
            </w:r>
            <w:r w:rsidRPr="00E43835">
              <w:rPr>
                <w:rFonts w:cs="Arial"/>
                <w:color w:val="auto"/>
              </w:rPr>
              <w:t>(NHS England)</w:t>
            </w:r>
          </w:p>
        </w:tc>
        <w:tc>
          <w:tcPr>
            <w:tcW w:w="1637" w:type="dxa"/>
          </w:tcPr>
          <w:p w14:paraId="6B7558BF" w14:textId="77777777" w:rsidR="00CD6D0C" w:rsidRDefault="00CD6D0C" w:rsidP="00CD6D0C"/>
        </w:tc>
      </w:tr>
      <w:tr w:rsidR="00CD6D0C" w14:paraId="6212ACD5" w14:textId="77777777" w:rsidTr="00D53F06">
        <w:trPr>
          <w:cantSplit/>
        </w:trPr>
        <w:tc>
          <w:tcPr>
            <w:tcW w:w="704" w:type="dxa"/>
          </w:tcPr>
          <w:p w14:paraId="5032AAD0" w14:textId="0D4EFB3F" w:rsidR="00CD6D0C" w:rsidRDefault="00CD6D0C" w:rsidP="00CD6D0C">
            <w:r>
              <w:rPr>
                <w:rFonts w:cs="Arial"/>
              </w:rPr>
              <w:t>3.2</w:t>
            </w:r>
          </w:p>
        </w:tc>
        <w:tc>
          <w:tcPr>
            <w:tcW w:w="7513" w:type="dxa"/>
          </w:tcPr>
          <w:p w14:paraId="2A096187" w14:textId="77777777" w:rsidR="00CD6D0C" w:rsidRPr="002B1E50" w:rsidRDefault="00CD6D0C" w:rsidP="00CD6D0C">
            <w:pPr>
              <w:rPr>
                <w:rFonts w:cs="Arial"/>
              </w:rPr>
            </w:pPr>
            <w:r>
              <w:rPr>
                <w:rFonts w:cs="Arial"/>
              </w:rPr>
              <w:t>Ensure</w:t>
            </w:r>
            <w:r w:rsidRPr="002B1E50">
              <w:rPr>
                <w:rFonts w:cs="Arial"/>
              </w:rPr>
              <w:t xml:space="preserve"> </w:t>
            </w:r>
            <w:r>
              <w:rPr>
                <w:rFonts w:cs="Arial"/>
              </w:rPr>
              <w:t xml:space="preserve">all </w:t>
            </w:r>
            <w:r w:rsidRPr="002B1E50">
              <w:rPr>
                <w:rFonts w:cs="Arial"/>
              </w:rPr>
              <w:t>referrals into community services are appropriate:</w:t>
            </w:r>
          </w:p>
          <w:p w14:paraId="44EF3004" w14:textId="77777777" w:rsidR="00CD6D0C" w:rsidRPr="00294DF0" w:rsidRDefault="00CD6D0C" w:rsidP="00CD6D0C">
            <w:pPr>
              <w:pStyle w:val="ListParagraph"/>
              <w:numPr>
                <w:ilvl w:val="0"/>
                <w:numId w:val="8"/>
              </w:numPr>
            </w:pPr>
            <w:r w:rsidRPr="00294DF0">
              <w:t>provide referrers (including self-referring patients) with information about conditions and relevant services, so community services are only used when necessary and clinically appropriate and when they cannot be managed in a primary care setting, through supported self-management or in other settings such as community pharmacy. Give GPs and other referring professionals information about the local services available (for example, diagnostics) so that referred patients go to the right place at the right time</w:t>
            </w:r>
          </w:p>
          <w:p w14:paraId="2711D73B" w14:textId="77777777" w:rsidR="00CD6D0C" w:rsidRPr="00884D8F" w:rsidRDefault="00CD6D0C" w:rsidP="00CD6D0C">
            <w:pPr>
              <w:pStyle w:val="ListParagraph"/>
              <w:numPr>
                <w:ilvl w:val="0"/>
                <w:numId w:val="8"/>
              </w:numPr>
            </w:pPr>
            <w:r w:rsidRPr="00884D8F">
              <w:t>set out clear referral criteria for services. If a referral is rejected, clearly explain why (for example, that the patient does not meet the threshold for intervention)</w:t>
            </w:r>
          </w:p>
          <w:p w14:paraId="727ABABD" w14:textId="77777777" w:rsidR="00CD6D0C" w:rsidRDefault="00CD6D0C" w:rsidP="00CD6D0C">
            <w:pPr>
              <w:spacing w:after="180"/>
              <w:ind w:left="357"/>
              <w:contextualSpacing/>
            </w:pPr>
          </w:p>
          <w:p w14:paraId="3697BDCF" w14:textId="695AC95D" w:rsidR="00CD6D0C" w:rsidRDefault="00CD6D0C" w:rsidP="00CD6D0C">
            <w:r w:rsidRPr="00A152B3">
              <w:rPr>
                <w:rFonts w:cs="Arial"/>
                <w:b/>
                <w:bCs/>
              </w:rPr>
              <w:t>Relevant guidance and support</w:t>
            </w:r>
            <w:r>
              <w:rPr>
                <w:rFonts w:cs="Arial"/>
                <w:b/>
                <w:bCs/>
              </w:rPr>
              <w:t xml:space="preserve">: </w:t>
            </w:r>
            <w:r w:rsidRPr="00A0198D">
              <w:rPr>
                <w:rFonts w:cs="Arial"/>
              </w:rPr>
              <w:t xml:space="preserve"> Guidance: </w:t>
            </w:r>
            <w:hyperlink r:id="rId37" w:history="1">
              <w:r w:rsidRPr="00A0198D">
                <w:rPr>
                  <w:rStyle w:val="Hyperlink"/>
                  <w:rFonts w:ascii="Arial" w:hAnsi="Arial" w:cs="Arial"/>
                </w:rPr>
                <w:t xml:space="preserve">Advice and </w:t>
              </w:r>
              <w:r>
                <w:rPr>
                  <w:rStyle w:val="Hyperlink"/>
                  <w:rFonts w:ascii="Arial" w:hAnsi="Arial" w:cs="Arial"/>
                </w:rPr>
                <w:t>g</w:t>
              </w:r>
              <w:r w:rsidRPr="00A0198D">
                <w:rPr>
                  <w:rStyle w:val="Hyperlink"/>
                  <w:rFonts w:ascii="Arial" w:hAnsi="Arial" w:cs="Arial"/>
                </w:rPr>
                <w:t>uidance</w:t>
              </w:r>
            </w:hyperlink>
            <w:r w:rsidRPr="00A0198D">
              <w:rPr>
                <w:rFonts w:cs="Arial"/>
              </w:rPr>
              <w:t xml:space="preserve"> (NHS England)</w:t>
            </w:r>
            <w:r w:rsidRPr="00A0198D">
              <w:rPr>
                <w:rFonts w:cs="Arial"/>
              </w:rPr>
              <w:br/>
            </w:r>
            <w:r>
              <w:t xml:space="preserve">Guidance: </w:t>
            </w:r>
            <w:hyperlink r:id="rId38" w:history="1">
              <w:r w:rsidRPr="00A0198D">
                <w:rPr>
                  <w:rStyle w:val="Hyperlink"/>
                  <w:rFonts w:ascii="Arial" w:hAnsi="Arial"/>
                </w:rPr>
                <w:t xml:space="preserve">Supported </w:t>
              </w:r>
              <w:r>
                <w:rPr>
                  <w:rStyle w:val="Hyperlink"/>
                  <w:rFonts w:ascii="Arial" w:hAnsi="Arial"/>
                </w:rPr>
                <w:t>s</w:t>
              </w:r>
              <w:r w:rsidRPr="00A0198D">
                <w:rPr>
                  <w:rStyle w:val="Hyperlink"/>
                  <w:rFonts w:ascii="Arial" w:hAnsi="Arial"/>
                </w:rPr>
                <w:t>elf-</w:t>
              </w:r>
              <w:r>
                <w:rPr>
                  <w:rStyle w:val="Hyperlink"/>
                  <w:rFonts w:ascii="Arial" w:hAnsi="Arial"/>
                </w:rPr>
                <w:t>m</w:t>
              </w:r>
              <w:r w:rsidRPr="00A0198D">
                <w:rPr>
                  <w:rStyle w:val="Hyperlink"/>
                  <w:rFonts w:ascii="Arial" w:hAnsi="Arial"/>
                </w:rPr>
                <w:t>anagement</w:t>
              </w:r>
            </w:hyperlink>
            <w:r>
              <w:t xml:space="preserve"> (NHS England)</w:t>
            </w:r>
          </w:p>
        </w:tc>
        <w:tc>
          <w:tcPr>
            <w:tcW w:w="1637" w:type="dxa"/>
          </w:tcPr>
          <w:p w14:paraId="76597CB9" w14:textId="77777777" w:rsidR="00CD6D0C" w:rsidRDefault="00CD6D0C" w:rsidP="00CD6D0C"/>
        </w:tc>
      </w:tr>
      <w:tr w:rsidR="00CD6D0C" w14:paraId="7DED230E" w14:textId="77777777" w:rsidTr="00D53F06">
        <w:trPr>
          <w:cantSplit/>
        </w:trPr>
        <w:tc>
          <w:tcPr>
            <w:tcW w:w="704" w:type="dxa"/>
          </w:tcPr>
          <w:p w14:paraId="017D4950" w14:textId="5AEBD36B" w:rsidR="00CD6D0C" w:rsidRDefault="00CD6D0C" w:rsidP="00CD6D0C">
            <w:r>
              <w:rPr>
                <w:rFonts w:cs="Arial"/>
              </w:rPr>
              <w:lastRenderedPageBreak/>
              <w:t>3.3</w:t>
            </w:r>
          </w:p>
        </w:tc>
        <w:tc>
          <w:tcPr>
            <w:tcW w:w="7513" w:type="dxa"/>
          </w:tcPr>
          <w:p w14:paraId="241A9986" w14:textId="77777777" w:rsidR="00CD6D0C" w:rsidRPr="00A407CD" w:rsidRDefault="00CD6D0C" w:rsidP="00CD6D0C">
            <w:pPr>
              <w:rPr>
                <w:rFonts w:cs="Arial"/>
                <w:lang w:eastAsia="en-US"/>
              </w:rPr>
            </w:pPr>
            <w:r w:rsidRPr="00FF17E7">
              <w:rPr>
                <w:rFonts w:cs="Arial"/>
                <w:lang w:eastAsia="en-US"/>
              </w:rPr>
              <w:t>Provide attendance support to help prepare patients for appointments</w:t>
            </w:r>
            <w:r w:rsidRPr="00A407CD">
              <w:rPr>
                <w:rFonts w:cs="Arial"/>
                <w:lang w:eastAsia="en-US"/>
              </w:rPr>
              <w:t>:</w:t>
            </w:r>
          </w:p>
          <w:p w14:paraId="2B806181" w14:textId="77777777" w:rsidR="00CD6D0C" w:rsidRPr="00CB5132" w:rsidRDefault="00CD6D0C" w:rsidP="00CD6D0C">
            <w:pPr>
              <w:pStyle w:val="ListParagraph"/>
              <w:numPr>
                <w:ilvl w:val="0"/>
                <w:numId w:val="9"/>
              </w:numPr>
            </w:pPr>
            <w:r w:rsidRPr="00CB5132">
              <w:t>give clear, concise information about what the appointment is for and how the patient should prepare, particularly if it is a remote appointment</w:t>
            </w:r>
          </w:p>
          <w:p w14:paraId="772951B3" w14:textId="77777777" w:rsidR="00CD6D0C" w:rsidRPr="00CD4150" w:rsidRDefault="00CD6D0C" w:rsidP="00CD6D0C">
            <w:pPr>
              <w:pStyle w:val="ListParagraph"/>
              <w:numPr>
                <w:ilvl w:val="0"/>
                <w:numId w:val="9"/>
              </w:numPr>
            </w:pPr>
            <w:r w:rsidRPr="00CD4150">
              <w:t>confirm the patient’s phone number before telephone appointments and explain how they can update their number if they change it</w:t>
            </w:r>
          </w:p>
          <w:p w14:paraId="073036F1" w14:textId="77777777" w:rsidR="00CD6D0C" w:rsidRPr="006500D7" w:rsidRDefault="00CD6D0C" w:rsidP="00CD6D0C">
            <w:pPr>
              <w:pStyle w:val="ListParagraph"/>
              <w:numPr>
                <w:ilvl w:val="0"/>
                <w:numId w:val="9"/>
              </w:numPr>
            </w:pPr>
            <w:r w:rsidRPr="006500D7">
              <w:t>tell patients what equipment they will need for video appointments and how to set this up to get the most out of the appointment</w:t>
            </w:r>
          </w:p>
          <w:p w14:paraId="5FB87937" w14:textId="77777777" w:rsidR="00CD6D0C" w:rsidRPr="00A407CD" w:rsidRDefault="00CD6D0C" w:rsidP="00CD6D0C">
            <w:pPr>
              <w:pStyle w:val="ListParagraph"/>
              <w:numPr>
                <w:ilvl w:val="0"/>
                <w:numId w:val="9"/>
              </w:numPr>
            </w:pPr>
            <w:r w:rsidRPr="00733F37">
              <w:t>send appointment reminders (texts, calls or letters) to patients before their appointment</w:t>
            </w:r>
            <w:r>
              <w:rPr>
                <w:lang w:eastAsia="en-US"/>
              </w:rPr>
              <w:br/>
            </w:r>
          </w:p>
          <w:p w14:paraId="3E72450C" w14:textId="430F1FA0" w:rsidR="00CD6D0C" w:rsidRDefault="00CD6D0C" w:rsidP="00CD6D0C">
            <w:r w:rsidRPr="00A152B3">
              <w:rPr>
                <w:rFonts w:cs="Arial"/>
                <w:b/>
                <w:bCs/>
              </w:rPr>
              <w:t>Relevant guidance and support</w:t>
            </w:r>
            <w:r>
              <w:rPr>
                <w:rFonts w:cs="Arial"/>
                <w:b/>
                <w:bCs/>
              </w:rPr>
              <w:t xml:space="preserve">: </w:t>
            </w:r>
            <w:r w:rsidRPr="00A55B02">
              <w:rPr>
                <w:rFonts w:cs="Arial"/>
              </w:rPr>
              <w:t xml:space="preserve">Guidance: </w:t>
            </w:r>
            <w:hyperlink r:id="rId39" w:history="1">
              <w:r w:rsidRPr="00067D14">
                <w:rPr>
                  <w:rStyle w:val="Hyperlink"/>
                  <w:rFonts w:ascii="Arial" w:hAnsi="Arial" w:cs="Arial"/>
                  <w:lang w:eastAsia="en-US"/>
                </w:rPr>
                <w:t>Video consulting with your NHS: guides for patients, staff and trusts</w:t>
              </w:r>
            </w:hyperlink>
            <w:r>
              <w:t xml:space="preserve"> (NHS England)</w:t>
            </w:r>
            <w:r>
              <w:rPr>
                <w:rFonts w:cs="Arial"/>
              </w:rPr>
              <w:br/>
            </w:r>
            <w:r>
              <w:t xml:space="preserve">Guidance: </w:t>
            </w:r>
            <w:hyperlink r:id="rId40" w:history="1">
              <w:r w:rsidRPr="003C13B5">
                <w:rPr>
                  <w:rStyle w:val="Hyperlink"/>
                  <w:rFonts w:ascii="Arial" w:hAnsi="Arial"/>
                  <w:lang w:eastAsia="en-US"/>
                </w:rPr>
                <w:t>Good communication with patients waiting for care: core principles</w:t>
              </w:r>
            </w:hyperlink>
            <w:r>
              <w:t xml:space="preserve"> (NHS England)</w:t>
            </w:r>
          </w:p>
        </w:tc>
        <w:tc>
          <w:tcPr>
            <w:tcW w:w="1637" w:type="dxa"/>
          </w:tcPr>
          <w:p w14:paraId="40CFC609" w14:textId="77777777" w:rsidR="00CD6D0C" w:rsidRDefault="00CD6D0C" w:rsidP="00CD6D0C"/>
        </w:tc>
      </w:tr>
      <w:tr w:rsidR="00CD6D0C" w14:paraId="0D9EF793" w14:textId="77777777" w:rsidTr="00D53F06">
        <w:trPr>
          <w:cantSplit/>
        </w:trPr>
        <w:tc>
          <w:tcPr>
            <w:tcW w:w="704" w:type="dxa"/>
          </w:tcPr>
          <w:p w14:paraId="0D66BD7C" w14:textId="363D2580" w:rsidR="00CD6D0C" w:rsidRDefault="00CD6D0C" w:rsidP="00CD6D0C">
            <w:r>
              <w:rPr>
                <w:rFonts w:cs="Arial"/>
              </w:rPr>
              <w:lastRenderedPageBreak/>
              <w:t>3.4</w:t>
            </w:r>
          </w:p>
        </w:tc>
        <w:tc>
          <w:tcPr>
            <w:tcW w:w="7513" w:type="dxa"/>
          </w:tcPr>
          <w:p w14:paraId="62D47A50" w14:textId="77777777" w:rsidR="00CD6D0C" w:rsidRPr="00453E62" w:rsidRDefault="00CD6D0C" w:rsidP="00CD6D0C">
            <w:pPr>
              <w:contextualSpacing/>
              <w:rPr>
                <w:rFonts w:cs="Arial"/>
                <w:lang w:eastAsia="en-US"/>
              </w:rPr>
            </w:pPr>
            <w:r w:rsidRPr="00B43F54">
              <w:rPr>
                <w:rFonts w:cs="Arial"/>
                <w:lang w:eastAsia="en-US"/>
              </w:rPr>
              <w:t>Implement robust ‘did not attend’ (DNA) and ‘was not brought’ (WNB) management in line with local access policies. Ensure that</w:t>
            </w:r>
            <w:r w:rsidRPr="00453E62">
              <w:rPr>
                <w:rFonts w:cs="Arial"/>
                <w:lang w:eastAsia="en-US"/>
              </w:rPr>
              <w:t>:</w:t>
            </w:r>
            <w:r>
              <w:rPr>
                <w:rFonts w:cs="Arial"/>
                <w:lang w:eastAsia="en-US"/>
              </w:rPr>
              <w:br/>
            </w:r>
          </w:p>
          <w:p w14:paraId="0C652E99" w14:textId="77777777" w:rsidR="00CD6D0C" w:rsidRPr="00453E62" w:rsidRDefault="00CD6D0C" w:rsidP="00CD6D0C">
            <w:pPr>
              <w:numPr>
                <w:ilvl w:val="0"/>
                <w:numId w:val="10"/>
              </w:numPr>
              <w:spacing w:after="180"/>
              <w:contextualSpacing/>
              <w:rPr>
                <w:lang w:eastAsia="en-US"/>
              </w:rPr>
            </w:pPr>
            <w:r w:rsidRPr="00453E62">
              <w:rPr>
                <w:lang w:eastAsia="en-US"/>
              </w:rPr>
              <w:t>DNA</w:t>
            </w:r>
            <w:r>
              <w:rPr>
                <w:lang w:eastAsia="en-US"/>
              </w:rPr>
              <w:t xml:space="preserve"> and </w:t>
            </w:r>
            <w:r w:rsidRPr="00453E62">
              <w:rPr>
                <w:lang w:eastAsia="en-US"/>
              </w:rPr>
              <w:t>WN</w:t>
            </w:r>
            <w:r>
              <w:rPr>
                <w:lang w:eastAsia="en-US"/>
              </w:rPr>
              <w:t>B</w:t>
            </w:r>
            <w:r w:rsidRPr="00453E62">
              <w:rPr>
                <w:lang w:eastAsia="en-US"/>
              </w:rPr>
              <w:t xml:space="preserve"> rates are monitored routinely</w:t>
            </w:r>
          </w:p>
          <w:p w14:paraId="20B96DC3" w14:textId="77777777" w:rsidR="00CD6D0C" w:rsidRPr="00453E62" w:rsidRDefault="00CD6D0C" w:rsidP="00CD6D0C">
            <w:pPr>
              <w:numPr>
                <w:ilvl w:val="0"/>
                <w:numId w:val="10"/>
              </w:numPr>
              <w:spacing w:after="180"/>
              <w:contextualSpacing/>
              <w:rPr>
                <w:lang w:eastAsia="en-US"/>
              </w:rPr>
            </w:pPr>
            <w:r w:rsidRPr="00453E62">
              <w:rPr>
                <w:lang w:eastAsia="en-US"/>
              </w:rPr>
              <w:t xml:space="preserve">DNA </w:t>
            </w:r>
            <w:r>
              <w:rPr>
                <w:lang w:eastAsia="en-US"/>
              </w:rPr>
              <w:t>and</w:t>
            </w:r>
            <w:r w:rsidRPr="00453E62">
              <w:rPr>
                <w:lang w:eastAsia="en-US"/>
              </w:rPr>
              <w:t xml:space="preserve"> WNB audits are conducted regularly to understand </w:t>
            </w:r>
            <w:r>
              <w:rPr>
                <w:lang w:eastAsia="en-US"/>
              </w:rPr>
              <w:t>why people are not attending</w:t>
            </w:r>
            <w:r w:rsidRPr="00453E62">
              <w:rPr>
                <w:lang w:eastAsia="en-US"/>
              </w:rPr>
              <w:t>. For children and young people, contact the family to understand why the</w:t>
            </w:r>
            <w:r>
              <w:rPr>
                <w:lang w:eastAsia="en-US"/>
              </w:rPr>
              <w:t xml:space="preserve">y were not brought </w:t>
            </w:r>
            <w:r w:rsidRPr="00453E62">
              <w:rPr>
                <w:lang w:eastAsia="en-US"/>
              </w:rPr>
              <w:t>and consider</w:t>
            </w:r>
            <w:r>
              <w:rPr>
                <w:lang w:eastAsia="en-US"/>
              </w:rPr>
              <w:t xml:space="preserve"> </w:t>
            </w:r>
            <w:r w:rsidRPr="00453E62">
              <w:rPr>
                <w:lang w:eastAsia="en-US"/>
              </w:rPr>
              <w:t xml:space="preserve">reasonable adjustments to </w:t>
            </w:r>
            <w:r>
              <w:rPr>
                <w:lang w:eastAsia="en-US"/>
              </w:rPr>
              <w:t>support</w:t>
            </w:r>
            <w:r w:rsidRPr="00453E62">
              <w:rPr>
                <w:lang w:eastAsia="en-US"/>
              </w:rPr>
              <w:t xml:space="preserve"> attendance</w:t>
            </w:r>
          </w:p>
          <w:p w14:paraId="04B4A4F0" w14:textId="77777777" w:rsidR="00CD6D0C" w:rsidRPr="00453E62" w:rsidRDefault="00CD6D0C" w:rsidP="00CD6D0C">
            <w:pPr>
              <w:numPr>
                <w:ilvl w:val="0"/>
                <w:numId w:val="10"/>
              </w:numPr>
              <w:spacing w:after="180"/>
              <w:contextualSpacing/>
              <w:rPr>
                <w:lang w:eastAsia="en-US"/>
              </w:rPr>
            </w:pPr>
            <w:r>
              <w:rPr>
                <w:lang w:eastAsia="en-US"/>
              </w:rPr>
              <w:t>patients have r</w:t>
            </w:r>
            <w:r w:rsidRPr="00453E62">
              <w:rPr>
                <w:lang w:eastAsia="en-US"/>
              </w:rPr>
              <w:t>easonable rebooking o</w:t>
            </w:r>
            <w:r>
              <w:rPr>
                <w:lang w:eastAsia="en-US"/>
              </w:rPr>
              <w:t>ptions</w:t>
            </w:r>
            <w:r w:rsidRPr="00453E62">
              <w:rPr>
                <w:lang w:eastAsia="en-US"/>
              </w:rPr>
              <w:t xml:space="preserve"> where appropriate</w:t>
            </w:r>
          </w:p>
          <w:p w14:paraId="21284F86" w14:textId="77777777" w:rsidR="00CD6D0C" w:rsidRPr="00453E62" w:rsidRDefault="00CD6D0C" w:rsidP="00CD6D0C">
            <w:pPr>
              <w:numPr>
                <w:ilvl w:val="0"/>
                <w:numId w:val="10"/>
              </w:numPr>
              <w:spacing w:after="180"/>
              <w:contextualSpacing/>
              <w:rPr>
                <w:lang w:eastAsia="en-US"/>
              </w:rPr>
            </w:pPr>
            <w:r w:rsidRPr="007B596D">
              <w:rPr>
                <w:lang w:eastAsia="en-US"/>
              </w:rPr>
              <w:t xml:space="preserve">capacity is safely released by promptly discharging patients from services in line with access policies and notifying their referrers </w:t>
            </w:r>
            <w:r>
              <w:rPr>
                <w:lang w:eastAsia="en-US"/>
              </w:rPr>
              <w:br/>
            </w:r>
          </w:p>
          <w:p w14:paraId="7D80E66A" w14:textId="227F9455" w:rsidR="00CD6D0C" w:rsidRDefault="00CD6D0C" w:rsidP="00CD6D0C">
            <w:r w:rsidRPr="00A152B3">
              <w:rPr>
                <w:rFonts w:cs="Arial"/>
                <w:b/>
                <w:bCs/>
              </w:rPr>
              <w:t>Relevant guidance and support</w:t>
            </w:r>
            <w:r>
              <w:rPr>
                <w:rFonts w:cs="Arial"/>
                <w:b/>
                <w:bCs/>
              </w:rPr>
              <w:t xml:space="preserve">: </w:t>
            </w:r>
            <w:r w:rsidRPr="00FB022F">
              <w:rPr>
                <w:rFonts w:cs="Arial"/>
              </w:rPr>
              <w:t>Guidance</w:t>
            </w:r>
            <w:r>
              <w:rPr>
                <w:rFonts w:cs="Arial"/>
              </w:rPr>
              <w:t>:</w:t>
            </w:r>
            <w:r>
              <w:rPr>
                <w:rFonts w:cs="Arial"/>
                <w:b/>
                <w:bCs/>
              </w:rPr>
              <w:t xml:space="preserve"> </w:t>
            </w:r>
            <w:hyperlink r:id="rId41" w:history="1">
              <w:r w:rsidRPr="00E61F41">
                <w:rPr>
                  <w:rStyle w:val="Hyperlink"/>
                  <w:rFonts w:ascii="Arial" w:hAnsi="Arial" w:cs="Arial"/>
                  <w:lang w:eastAsia="en-US"/>
                </w:rPr>
                <w:t>Reducing did not attends (DNAs) in outpatient services</w:t>
              </w:r>
            </w:hyperlink>
            <w:r>
              <w:t xml:space="preserve"> (NHS England)</w:t>
            </w:r>
          </w:p>
        </w:tc>
        <w:tc>
          <w:tcPr>
            <w:tcW w:w="1637" w:type="dxa"/>
          </w:tcPr>
          <w:p w14:paraId="55147A26" w14:textId="77777777" w:rsidR="00CD6D0C" w:rsidRDefault="00CD6D0C" w:rsidP="00CD6D0C"/>
        </w:tc>
      </w:tr>
      <w:tr w:rsidR="00CD6D0C" w:rsidRPr="00166A63" w14:paraId="1EB7BB3B" w14:textId="77777777" w:rsidTr="00D53F06">
        <w:trPr>
          <w:cantSplit/>
          <w:tblHeader/>
        </w:trPr>
        <w:tc>
          <w:tcPr>
            <w:tcW w:w="704" w:type="dxa"/>
            <w:shd w:val="clear" w:color="auto" w:fill="0070C0"/>
          </w:tcPr>
          <w:p w14:paraId="268C67DE" w14:textId="77777777" w:rsidR="00CD6D0C" w:rsidRPr="00166A63" w:rsidRDefault="00CD6D0C" w:rsidP="00CD6D0C">
            <w:pPr>
              <w:keepNext/>
              <w:rPr>
                <w:b/>
                <w:bCs/>
                <w:color w:val="FFFFFF" w:themeColor="text1"/>
              </w:rPr>
            </w:pPr>
          </w:p>
        </w:tc>
        <w:tc>
          <w:tcPr>
            <w:tcW w:w="7513" w:type="dxa"/>
            <w:shd w:val="clear" w:color="auto" w:fill="0070C0"/>
          </w:tcPr>
          <w:p w14:paraId="73798297" w14:textId="77777777" w:rsidR="00CD6D0C" w:rsidRPr="00166A63" w:rsidRDefault="00CD6D0C" w:rsidP="00CD6D0C">
            <w:pPr>
              <w:keepNext/>
              <w:rPr>
                <w:b/>
                <w:bCs/>
                <w:color w:val="FFFFFF" w:themeColor="text1"/>
              </w:rPr>
            </w:pPr>
            <w:r>
              <w:rPr>
                <w:b/>
                <w:bCs/>
                <w:color w:val="FFFFFF" w:themeColor="text1"/>
              </w:rPr>
              <w:t>Going further activity</w:t>
            </w:r>
          </w:p>
        </w:tc>
        <w:tc>
          <w:tcPr>
            <w:tcW w:w="1637" w:type="dxa"/>
            <w:shd w:val="clear" w:color="auto" w:fill="0070C0"/>
          </w:tcPr>
          <w:p w14:paraId="1793DDFC" w14:textId="77777777" w:rsidR="00CD6D0C" w:rsidRPr="00166A63" w:rsidRDefault="00CD6D0C" w:rsidP="00CD6D0C">
            <w:pPr>
              <w:keepNext/>
              <w:rPr>
                <w:b/>
                <w:bCs/>
                <w:color w:val="FFFFFF" w:themeColor="text1"/>
              </w:rPr>
            </w:pPr>
          </w:p>
        </w:tc>
      </w:tr>
      <w:tr w:rsidR="006371B7" w14:paraId="2F00688C" w14:textId="77777777" w:rsidTr="00D53F06">
        <w:trPr>
          <w:cantSplit/>
        </w:trPr>
        <w:tc>
          <w:tcPr>
            <w:tcW w:w="704" w:type="dxa"/>
          </w:tcPr>
          <w:p w14:paraId="09968022" w14:textId="780B2B80" w:rsidR="006371B7" w:rsidRDefault="006371B7" w:rsidP="006371B7">
            <w:r>
              <w:rPr>
                <w:rFonts w:cs="Arial"/>
              </w:rPr>
              <w:t>3.5</w:t>
            </w:r>
          </w:p>
        </w:tc>
        <w:tc>
          <w:tcPr>
            <w:tcW w:w="7513" w:type="dxa"/>
          </w:tcPr>
          <w:p w14:paraId="37A69EBE" w14:textId="5F90D305" w:rsidR="006371B7" w:rsidRDefault="006371B7" w:rsidP="006371B7">
            <w:r w:rsidRPr="003A6286">
              <w:rPr>
                <w:rFonts w:cs="Arial"/>
              </w:rPr>
              <w:t>Review booking processes annually to make sure they are effective and patients find them easy to use</w:t>
            </w:r>
            <w:r w:rsidRPr="002B1E50">
              <w:rPr>
                <w:rFonts w:cs="Arial"/>
              </w:rPr>
              <w:t>.</w:t>
            </w:r>
          </w:p>
        </w:tc>
        <w:tc>
          <w:tcPr>
            <w:tcW w:w="1637" w:type="dxa"/>
          </w:tcPr>
          <w:p w14:paraId="0E24A5FC" w14:textId="77777777" w:rsidR="006371B7" w:rsidRDefault="006371B7" w:rsidP="006371B7"/>
        </w:tc>
      </w:tr>
      <w:tr w:rsidR="006371B7" w14:paraId="62007EE7" w14:textId="77777777" w:rsidTr="00D53F06">
        <w:trPr>
          <w:cantSplit/>
        </w:trPr>
        <w:tc>
          <w:tcPr>
            <w:tcW w:w="704" w:type="dxa"/>
          </w:tcPr>
          <w:p w14:paraId="3DB79EF2" w14:textId="51FC5B08" w:rsidR="006371B7" w:rsidRDefault="006371B7" w:rsidP="006371B7">
            <w:r>
              <w:rPr>
                <w:rFonts w:cs="Arial"/>
              </w:rPr>
              <w:t>3.6</w:t>
            </w:r>
          </w:p>
        </w:tc>
        <w:tc>
          <w:tcPr>
            <w:tcW w:w="7513" w:type="dxa"/>
          </w:tcPr>
          <w:p w14:paraId="2E7C2523" w14:textId="593D112E" w:rsidR="006371B7" w:rsidRDefault="006371B7" w:rsidP="006371B7">
            <w:r w:rsidRPr="00E412DB">
              <w:rPr>
                <w:rFonts w:cs="Arial"/>
              </w:rPr>
              <w:t xml:space="preserve">Offer virtual or telephone consultations </w:t>
            </w:r>
            <w:proofErr w:type="gramStart"/>
            <w:r w:rsidRPr="00E412DB">
              <w:rPr>
                <w:rFonts w:cs="Arial"/>
              </w:rPr>
              <w:t>where</w:t>
            </w:r>
            <w:proofErr w:type="gramEnd"/>
            <w:r w:rsidRPr="00E412DB">
              <w:rPr>
                <w:rFonts w:cs="Arial"/>
              </w:rPr>
              <w:t xml:space="preserve"> requested and clinically appropriate. Where possible, give patients a choice about where they are seen.</w:t>
            </w:r>
          </w:p>
        </w:tc>
        <w:tc>
          <w:tcPr>
            <w:tcW w:w="1637" w:type="dxa"/>
          </w:tcPr>
          <w:p w14:paraId="6BA9892D" w14:textId="77777777" w:rsidR="006371B7" w:rsidRDefault="006371B7" w:rsidP="006371B7"/>
        </w:tc>
      </w:tr>
      <w:tr w:rsidR="006371B7" w14:paraId="2D23EDB6" w14:textId="77777777" w:rsidTr="00D53F06">
        <w:trPr>
          <w:cantSplit/>
        </w:trPr>
        <w:tc>
          <w:tcPr>
            <w:tcW w:w="704" w:type="dxa"/>
          </w:tcPr>
          <w:p w14:paraId="481151FD" w14:textId="16C8F24C" w:rsidR="006371B7" w:rsidRDefault="006371B7" w:rsidP="006371B7">
            <w:r>
              <w:rPr>
                <w:rFonts w:cs="Arial"/>
              </w:rPr>
              <w:t>3.7</w:t>
            </w:r>
          </w:p>
        </w:tc>
        <w:tc>
          <w:tcPr>
            <w:tcW w:w="7513" w:type="dxa"/>
          </w:tcPr>
          <w:p w14:paraId="51F7F2AC" w14:textId="36040642" w:rsidR="006371B7" w:rsidRDefault="006371B7" w:rsidP="006371B7">
            <w:r w:rsidRPr="00513297">
              <w:rPr>
                <w:rFonts w:cs="Arial"/>
              </w:rPr>
              <w:t>Consider expanding service hours, including providing evening or weekend appointments when this is operationally feasible</w:t>
            </w:r>
            <w:r>
              <w:rPr>
                <w:rFonts w:cs="Arial"/>
              </w:rPr>
              <w:t>.</w:t>
            </w:r>
          </w:p>
        </w:tc>
        <w:tc>
          <w:tcPr>
            <w:tcW w:w="1637" w:type="dxa"/>
          </w:tcPr>
          <w:p w14:paraId="30259723" w14:textId="77777777" w:rsidR="006371B7" w:rsidRDefault="006371B7" w:rsidP="006371B7"/>
        </w:tc>
      </w:tr>
      <w:tr w:rsidR="006371B7" w14:paraId="3E2672BA" w14:textId="77777777" w:rsidTr="00D53F06">
        <w:trPr>
          <w:cantSplit/>
        </w:trPr>
        <w:tc>
          <w:tcPr>
            <w:tcW w:w="704" w:type="dxa"/>
          </w:tcPr>
          <w:p w14:paraId="56632A58" w14:textId="5370D1BD" w:rsidR="006371B7" w:rsidRDefault="006371B7" w:rsidP="006371B7">
            <w:r>
              <w:rPr>
                <w:rFonts w:cs="Arial"/>
              </w:rPr>
              <w:t>3.8</w:t>
            </w:r>
          </w:p>
        </w:tc>
        <w:tc>
          <w:tcPr>
            <w:tcW w:w="7513" w:type="dxa"/>
          </w:tcPr>
          <w:p w14:paraId="195A0A89" w14:textId="2A2B2F9B" w:rsidR="006371B7" w:rsidRDefault="006371B7" w:rsidP="006371B7">
            <w:r w:rsidRPr="00B93861">
              <w:rPr>
                <w:rFonts w:cs="Arial"/>
              </w:rPr>
              <w:t>Maintain a list of patients who can be seen at short notice to fill last-minute cancellations.</w:t>
            </w:r>
          </w:p>
        </w:tc>
        <w:tc>
          <w:tcPr>
            <w:tcW w:w="1637" w:type="dxa"/>
          </w:tcPr>
          <w:p w14:paraId="2E52EBA2" w14:textId="77777777" w:rsidR="006371B7" w:rsidRDefault="006371B7" w:rsidP="006371B7"/>
        </w:tc>
      </w:tr>
      <w:tr w:rsidR="006371B7" w14:paraId="28F53E29" w14:textId="77777777" w:rsidTr="00D53F06">
        <w:trPr>
          <w:cantSplit/>
        </w:trPr>
        <w:tc>
          <w:tcPr>
            <w:tcW w:w="704" w:type="dxa"/>
          </w:tcPr>
          <w:p w14:paraId="640C3158" w14:textId="55CE0F05" w:rsidR="006371B7" w:rsidRDefault="006371B7" w:rsidP="006371B7">
            <w:r>
              <w:rPr>
                <w:rFonts w:cs="Arial"/>
              </w:rPr>
              <w:t>3.9</w:t>
            </w:r>
          </w:p>
        </w:tc>
        <w:tc>
          <w:tcPr>
            <w:tcW w:w="7513" w:type="dxa"/>
          </w:tcPr>
          <w:p w14:paraId="7AF8F133" w14:textId="5D23181E" w:rsidR="006371B7" w:rsidRDefault="006371B7" w:rsidP="006371B7">
            <w:r w:rsidRPr="003E4D8F">
              <w:rPr>
                <w:rFonts w:cs="Arial"/>
              </w:rPr>
              <w:t>Carry out quarterly reviews of clinic slot utilisation, with a target of 95% utilisation. Use analysis of DNA and WNB rates to inform planning and maximise clinical capacity</w:t>
            </w:r>
            <w:r>
              <w:rPr>
                <w:rFonts w:cs="Arial"/>
              </w:rPr>
              <w:t>.</w:t>
            </w:r>
          </w:p>
        </w:tc>
        <w:tc>
          <w:tcPr>
            <w:tcW w:w="1637" w:type="dxa"/>
          </w:tcPr>
          <w:p w14:paraId="3B4A358D" w14:textId="77777777" w:rsidR="006371B7" w:rsidRDefault="006371B7" w:rsidP="006371B7"/>
        </w:tc>
      </w:tr>
      <w:tr w:rsidR="006371B7" w14:paraId="6A62B89F" w14:textId="77777777" w:rsidTr="00D53F06">
        <w:trPr>
          <w:cantSplit/>
        </w:trPr>
        <w:tc>
          <w:tcPr>
            <w:tcW w:w="704" w:type="dxa"/>
          </w:tcPr>
          <w:p w14:paraId="6329F362" w14:textId="6851A884" w:rsidR="006371B7" w:rsidRDefault="006371B7" w:rsidP="006371B7">
            <w:pPr>
              <w:rPr>
                <w:rFonts w:cs="Arial"/>
              </w:rPr>
            </w:pPr>
            <w:r>
              <w:rPr>
                <w:rFonts w:cs="Arial"/>
              </w:rPr>
              <w:lastRenderedPageBreak/>
              <w:t>3.10</w:t>
            </w:r>
          </w:p>
        </w:tc>
        <w:tc>
          <w:tcPr>
            <w:tcW w:w="7513" w:type="dxa"/>
          </w:tcPr>
          <w:p w14:paraId="5B6AE917" w14:textId="1FBABA5B" w:rsidR="006371B7" w:rsidRPr="003E4D8F" w:rsidRDefault="006371B7" w:rsidP="006371B7">
            <w:pPr>
              <w:rPr>
                <w:rFonts w:cs="Arial"/>
              </w:rPr>
            </w:pPr>
            <w:r w:rsidRPr="00807117">
              <w:rPr>
                <w:rFonts w:cs="Arial"/>
              </w:rPr>
              <w:t>Review the notes of DNA or WNB patients and try to contact them to communicate next steps</w:t>
            </w:r>
            <w:r>
              <w:rPr>
                <w:rFonts w:cs="Arial"/>
              </w:rPr>
              <w:t>.</w:t>
            </w:r>
          </w:p>
        </w:tc>
        <w:tc>
          <w:tcPr>
            <w:tcW w:w="1637" w:type="dxa"/>
          </w:tcPr>
          <w:p w14:paraId="2F7D062D" w14:textId="77777777" w:rsidR="006371B7" w:rsidRDefault="006371B7" w:rsidP="006371B7"/>
        </w:tc>
      </w:tr>
      <w:tr w:rsidR="006371B7" w14:paraId="43AE1F11" w14:textId="77777777" w:rsidTr="00D53F06">
        <w:trPr>
          <w:cantSplit/>
        </w:trPr>
        <w:tc>
          <w:tcPr>
            <w:tcW w:w="704" w:type="dxa"/>
          </w:tcPr>
          <w:p w14:paraId="01C386FB" w14:textId="09EAAEB7" w:rsidR="006371B7" w:rsidRDefault="006371B7" w:rsidP="006371B7">
            <w:pPr>
              <w:rPr>
                <w:rFonts w:cs="Arial"/>
              </w:rPr>
            </w:pPr>
            <w:r>
              <w:rPr>
                <w:rFonts w:cs="Arial"/>
              </w:rPr>
              <w:t>3.11</w:t>
            </w:r>
          </w:p>
        </w:tc>
        <w:tc>
          <w:tcPr>
            <w:tcW w:w="7513" w:type="dxa"/>
          </w:tcPr>
          <w:p w14:paraId="451DFC43" w14:textId="0B3D464D" w:rsidR="006371B7" w:rsidRPr="00807117" w:rsidRDefault="006371B7" w:rsidP="006371B7">
            <w:pPr>
              <w:rPr>
                <w:rFonts w:cs="Arial"/>
              </w:rPr>
            </w:pPr>
            <w:r w:rsidRPr="00960D8C">
              <w:rPr>
                <w:rFonts w:cs="Arial"/>
              </w:rPr>
              <w:t>Review new to follow-up ratios in services to identify pathway inefficiencies and opportunity to use clinic slots more effectively</w:t>
            </w:r>
            <w:r>
              <w:rPr>
                <w:rFonts w:cs="Arial"/>
              </w:rPr>
              <w:t>.</w:t>
            </w:r>
          </w:p>
        </w:tc>
        <w:tc>
          <w:tcPr>
            <w:tcW w:w="1637" w:type="dxa"/>
          </w:tcPr>
          <w:p w14:paraId="2A636F35" w14:textId="77777777" w:rsidR="006371B7" w:rsidRDefault="006371B7" w:rsidP="006371B7"/>
        </w:tc>
      </w:tr>
      <w:tr w:rsidR="006371B7" w14:paraId="2332A894" w14:textId="77777777" w:rsidTr="00D53F06">
        <w:trPr>
          <w:cantSplit/>
        </w:trPr>
        <w:tc>
          <w:tcPr>
            <w:tcW w:w="704" w:type="dxa"/>
          </w:tcPr>
          <w:p w14:paraId="42CD3A99" w14:textId="6979EFC3" w:rsidR="006371B7" w:rsidRDefault="006371B7" w:rsidP="006371B7">
            <w:pPr>
              <w:rPr>
                <w:rFonts w:cs="Arial"/>
              </w:rPr>
            </w:pPr>
            <w:r>
              <w:rPr>
                <w:rFonts w:cs="Arial"/>
              </w:rPr>
              <w:t>3.12</w:t>
            </w:r>
          </w:p>
        </w:tc>
        <w:tc>
          <w:tcPr>
            <w:tcW w:w="7513" w:type="dxa"/>
          </w:tcPr>
          <w:p w14:paraId="05EFECF3" w14:textId="77777777" w:rsidR="006371B7" w:rsidRDefault="006371B7" w:rsidP="006371B7">
            <w:pPr>
              <w:rPr>
                <w:rFonts w:cs="Arial"/>
              </w:rPr>
            </w:pPr>
            <w:r w:rsidRPr="00A924CC">
              <w:rPr>
                <w:rFonts w:cs="Arial"/>
              </w:rPr>
              <w:t>Shared decision making (SDM): Help patients to understand their care, treatment and support options, including the risks, benefits and outcomes of these options</w:t>
            </w:r>
            <w:r w:rsidRPr="6A2CBCED">
              <w:rPr>
                <w:rFonts w:cs="Arial"/>
              </w:rPr>
              <w:t>.</w:t>
            </w:r>
          </w:p>
          <w:p w14:paraId="564DD560" w14:textId="6061E956" w:rsidR="006371B7" w:rsidRPr="00960D8C" w:rsidRDefault="006371B7" w:rsidP="006371B7">
            <w:pPr>
              <w:rPr>
                <w:rFonts w:cs="Arial"/>
              </w:rPr>
            </w:pPr>
            <w:r w:rsidRPr="00A152B3">
              <w:rPr>
                <w:rFonts w:cs="Arial"/>
                <w:b/>
                <w:bCs/>
              </w:rPr>
              <w:t>Relevant guidance and support</w:t>
            </w:r>
            <w:r>
              <w:rPr>
                <w:rFonts w:cs="Arial"/>
                <w:b/>
                <w:bCs/>
              </w:rPr>
              <w:t xml:space="preserve">: </w:t>
            </w:r>
            <w:r w:rsidRPr="006F1EE4">
              <w:rPr>
                <w:rFonts w:cs="Arial"/>
              </w:rPr>
              <w:t>Guidance:</w:t>
            </w:r>
            <w:r>
              <w:rPr>
                <w:rFonts w:cs="Arial"/>
                <w:b/>
                <w:bCs/>
              </w:rPr>
              <w:t xml:space="preserve"> </w:t>
            </w:r>
            <w:hyperlink r:id="rId42" w:history="1">
              <w:r w:rsidRPr="00713400">
                <w:rPr>
                  <w:rStyle w:val="Hyperlink"/>
                  <w:rFonts w:ascii="Arial" w:hAnsi="Arial"/>
                  <w:lang w:eastAsia="en-US"/>
                </w:rPr>
                <w:t xml:space="preserve">Shared </w:t>
              </w:r>
              <w:r>
                <w:rPr>
                  <w:rStyle w:val="Hyperlink"/>
                  <w:rFonts w:ascii="Arial" w:hAnsi="Arial"/>
                  <w:lang w:eastAsia="en-US"/>
                </w:rPr>
                <w:t>d</w:t>
              </w:r>
              <w:r w:rsidRPr="00713400">
                <w:rPr>
                  <w:rStyle w:val="Hyperlink"/>
                  <w:rFonts w:ascii="Arial" w:hAnsi="Arial"/>
                  <w:lang w:eastAsia="en-US"/>
                </w:rPr>
                <w:t>ecision-</w:t>
              </w:r>
              <w:r>
                <w:rPr>
                  <w:rStyle w:val="Hyperlink"/>
                  <w:rFonts w:ascii="Arial" w:hAnsi="Arial"/>
                  <w:lang w:eastAsia="en-US"/>
                </w:rPr>
                <w:t>m</w:t>
              </w:r>
              <w:r w:rsidRPr="00713400">
                <w:rPr>
                  <w:rStyle w:val="Hyperlink"/>
                  <w:rFonts w:ascii="Arial" w:hAnsi="Arial"/>
                  <w:lang w:eastAsia="en-US"/>
                </w:rPr>
                <w:t xml:space="preserve">aking: </w:t>
              </w:r>
              <w:r>
                <w:rPr>
                  <w:rStyle w:val="Hyperlink"/>
                  <w:rFonts w:ascii="Arial" w:hAnsi="Arial"/>
                  <w:lang w:eastAsia="en-US"/>
                </w:rPr>
                <w:t>s</w:t>
              </w:r>
              <w:r w:rsidRPr="00713400">
                <w:rPr>
                  <w:rStyle w:val="Hyperlink"/>
                  <w:rFonts w:ascii="Arial" w:hAnsi="Arial"/>
                  <w:lang w:eastAsia="en-US"/>
                </w:rPr>
                <w:t xml:space="preserve">ummary </w:t>
              </w:r>
              <w:r>
                <w:rPr>
                  <w:rStyle w:val="Hyperlink"/>
                  <w:rFonts w:ascii="Arial" w:hAnsi="Arial"/>
                  <w:lang w:eastAsia="en-US"/>
                </w:rPr>
                <w:t>g</w:t>
              </w:r>
              <w:r w:rsidRPr="00713400">
                <w:rPr>
                  <w:rStyle w:val="Hyperlink"/>
                  <w:rFonts w:ascii="Arial" w:hAnsi="Arial"/>
                  <w:lang w:eastAsia="en-US"/>
                </w:rPr>
                <w:t>uide</w:t>
              </w:r>
            </w:hyperlink>
            <w:r>
              <w:t xml:space="preserve"> (NHS England)</w:t>
            </w:r>
          </w:p>
        </w:tc>
        <w:tc>
          <w:tcPr>
            <w:tcW w:w="1637" w:type="dxa"/>
          </w:tcPr>
          <w:p w14:paraId="02FF9CE5" w14:textId="77777777" w:rsidR="006371B7" w:rsidRDefault="006371B7" w:rsidP="006371B7"/>
        </w:tc>
      </w:tr>
    </w:tbl>
    <w:p w14:paraId="1BD79576" w14:textId="15BEA207" w:rsidR="0099533F" w:rsidRDefault="006371B7" w:rsidP="006371B7">
      <w:pPr>
        <w:pStyle w:val="Heading2"/>
      </w:pPr>
      <w:bookmarkStart w:id="4" w:name="_Toc225770571"/>
      <w:r>
        <w:lastRenderedPageBreak/>
        <w:t>Action checklist 4: Supporting people waiting for community health services</w:t>
      </w:r>
      <w:bookmarkEnd w:id="4"/>
    </w:p>
    <w:tbl>
      <w:tblPr>
        <w:tblStyle w:val="TableGrid"/>
        <w:tblW w:w="0" w:type="auto"/>
        <w:tblLook w:val="04A0" w:firstRow="1" w:lastRow="0" w:firstColumn="1" w:lastColumn="0" w:noHBand="0" w:noVBand="1"/>
      </w:tblPr>
      <w:tblGrid>
        <w:gridCol w:w="704"/>
        <w:gridCol w:w="7513"/>
        <w:gridCol w:w="1637"/>
      </w:tblGrid>
      <w:tr w:rsidR="006371B7" w:rsidRPr="00166A63" w14:paraId="0F8B32F6" w14:textId="77777777" w:rsidTr="00D53F06">
        <w:trPr>
          <w:cantSplit/>
          <w:tblHeader/>
        </w:trPr>
        <w:tc>
          <w:tcPr>
            <w:tcW w:w="704" w:type="dxa"/>
            <w:shd w:val="clear" w:color="auto" w:fill="0070C0"/>
          </w:tcPr>
          <w:p w14:paraId="11296A1C" w14:textId="77777777" w:rsidR="006371B7" w:rsidRPr="00166A63" w:rsidRDefault="006371B7" w:rsidP="00D53F06">
            <w:pPr>
              <w:rPr>
                <w:b/>
                <w:bCs/>
                <w:color w:val="FFFFFF" w:themeColor="text1"/>
              </w:rPr>
            </w:pPr>
          </w:p>
        </w:tc>
        <w:tc>
          <w:tcPr>
            <w:tcW w:w="7513" w:type="dxa"/>
            <w:shd w:val="clear" w:color="auto" w:fill="0070C0"/>
          </w:tcPr>
          <w:p w14:paraId="7CD86CAA" w14:textId="77777777" w:rsidR="006371B7" w:rsidRPr="00166A63" w:rsidRDefault="006371B7" w:rsidP="00D53F06">
            <w:pPr>
              <w:rPr>
                <w:b/>
                <w:bCs/>
                <w:color w:val="FFFFFF" w:themeColor="text1"/>
              </w:rPr>
            </w:pPr>
            <w:r w:rsidRPr="00166A63">
              <w:rPr>
                <w:b/>
                <w:bCs/>
                <w:color w:val="FFFFFF" w:themeColor="text1"/>
              </w:rPr>
              <w:t>Actions</w:t>
            </w:r>
          </w:p>
        </w:tc>
        <w:tc>
          <w:tcPr>
            <w:tcW w:w="1637" w:type="dxa"/>
            <w:shd w:val="clear" w:color="auto" w:fill="0070C0"/>
          </w:tcPr>
          <w:p w14:paraId="15CDB451" w14:textId="77777777" w:rsidR="006371B7" w:rsidRPr="00166A63" w:rsidRDefault="006371B7" w:rsidP="00D53F06">
            <w:pPr>
              <w:rPr>
                <w:b/>
                <w:bCs/>
                <w:color w:val="FFFFFF" w:themeColor="text1"/>
              </w:rPr>
            </w:pPr>
            <w:r w:rsidRPr="00166A63">
              <w:rPr>
                <w:b/>
                <w:bCs/>
                <w:color w:val="FFFFFF" w:themeColor="text1"/>
              </w:rPr>
              <w:t>Compliant?</w:t>
            </w:r>
          </w:p>
        </w:tc>
      </w:tr>
      <w:tr w:rsidR="00210751" w14:paraId="07B5C84E" w14:textId="77777777" w:rsidTr="00D53F06">
        <w:trPr>
          <w:cantSplit/>
        </w:trPr>
        <w:tc>
          <w:tcPr>
            <w:tcW w:w="704" w:type="dxa"/>
          </w:tcPr>
          <w:p w14:paraId="6A2ECF4C" w14:textId="419075EA" w:rsidR="00210751" w:rsidRDefault="00210751" w:rsidP="00210751">
            <w:r>
              <w:t>4.1</w:t>
            </w:r>
          </w:p>
        </w:tc>
        <w:tc>
          <w:tcPr>
            <w:tcW w:w="7513" w:type="dxa"/>
          </w:tcPr>
          <w:p w14:paraId="0F79292D" w14:textId="5E0858AA" w:rsidR="00210751" w:rsidRDefault="00210751" w:rsidP="00210751">
            <w:r w:rsidRPr="00520C94">
              <w:rPr>
                <w:rFonts w:cs="Arial"/>
              </w:rPr>
              <w:t>Share information with the referrer at the point of referral to community health services, including details of the support available for patients while they wait.</w:t>
            </w:r>
          </w:p>
        </w:tc>
        <w:tc>
          <w:tcPr>
            <w:tcW w:w="1637" w:type="dxa"/>
          </w:tcPr>
          <w:p w14:paraId="362D6CDA" w14:textId="77777777" w:rsidR="00210751" w:rsidRDefault="00210751" w:rsidP="00210751"/>
        </w:tc>
      </w:tr>
      <w:tr w:rsidR="00210751" w14:paraId="108CD57A" w14:textId="77777777" w:rsidTr="00D53F06">
        <w:trPr>
          <w:cantSplit/>
        </w:trPr>
        <w:tc>
          <w:tcPr>
            <w:tcW w:w="704" w:type="dxa"/>
          </w:tcPr>
          <w:p w14:paraId="63D21B65" w14:textId="013E569E" w:rsidR="00210751" w:rsidRDefault="00210751" w:rsidP="00210751">
            <w:r>
              <w:t>4.2</w:t>
            </w:r>
          </w:p>
        </w:tc>
        <w:tc>
          <w:tcPr>
            <w:tcW w:w="7513" w:type="dxa"/>
          </w:tcPr>
          <w:p w14:paraId="4F8D8B3E" w14:textId="77777777" w:rsidR="00210751" w:rsidRDefault="00210751" w:rsidP="00210751">
            <w:pPr>
              <w:rPr>
                <w:rFonts w:cs="Arial"/>
              </w:rPr>
            </w:pPr>
            <w:r w:rsidRPr="004D1BFB">
              <w:rPr>
                <w:rFonts w:cs="Arial"/>
              </w:rPr>
              <w:t>Take action to reduce health inequalities affecting people needing</w:t>
            </w:r>
            <w:r>
              <w:rPr>
                <w:rFonts w:cs="Arial"/>
              </w:rPr>
              <w:t xml:space="preserve"> to access</w:t>
            </w:r>
            <w:r w:rsidRPr="004D1BFB">
              <w:rPr>
                <w:rFonts w:cs="Arial"/>
              </w:rPr>
              <w:t xml:space="preserve"> community health services and align this action with the NHS strategic priorities in this area.</w:t>
            </w:r>
          </w:p>
          <w:p w14:paraId="0423AAEF" w14:textId="77777777" w:rsidR="00210751" w:rsidRPr="0024309A" w:rsidRDefault="00210751" w:rsidP="00210751">
            <w:pPr>
              <w:rPr>
                <w:rFonts w:cs="Arial"/>
                <w:b/>
                <w:bCs/>
              </w:rPr>
            </w:pPr>
            <w:r w:rsidRPr="00A152B3">
              <w:rPr>
                <w:rFonts w:cs="Arial"/>
                <w:b/>
                <w:bCs/>
              </w:rPr>
              <w:t>Relevant guidance and support</w:t>
            </w:r>
            <w:r>
              <w:rPr>
                <w:rFonts w:cs="Arial"/>
                <w:b/>
                <w:bCs/>
              </w:rPr>
              <w:t>:</w:t>
            </w:r>
            <w:r>
              <w:rPr>
                <w:rFonts w:cs="Arial"/>
                <w:b/>
                <w:bCs/>
              </w:rPr>
              <w:br/>
            </w:r>
            <w:r>
              <w:t xml:space="preserve">Guidance: </w:t>
            </w:r>
            <w:hyperlink r:id="rId43" w:history="1">
              <w:r w:rsidRPr="00DE440B">
                <w:rPr>
                  <w:rStyle w:val="Hyperlink"/>
                  <w:rFonts w:ascii="Arial" w:hAnsi="Arial"/>
                  <w:lang w:eastAsia="en-US"/>
                </w:rPr>
                <w:t>Core20PLUS5 (adults) – an approach to reducing healthcare inequalities</w:t>
              </w:r>
            </w:hyperlink>
            <w:r>
              <w:t xml:space="preserve"> (NHS England)</w:t>
            </w:r>
          </w:p>
          <w:p w14:paraId="676156DB" w14:textId="77777777" w:rsidR="00210751" w:rsidRDefault="00210751" w:rsidP="00210751">
            <w:r>
              <w:t>Guidance:</w:t>
            </w:r>
            <w:hyperlink r:id="rId44" w:history="1">
              <w:r w:rsidRPr="00E1414B">
                <w:rPr>
                  <w:rStyle w:val="Hyperlink"/>
                  <w:rFonts w:ascii="Arial" w:hAnsi="Arial"/>
                  <w:lang w:eastAsia="en-US"/>
                </w:rPr>
                <w:t xml:space="preserve">Core20PLUS5 – </w:t>
              </w:r>
              <w:r>
                <w:rPr>
                  <w:rStyle w:val="Hyperlink"/>
                  <w:rFonts w:ascii="Arial" w:hAnsi="Arial"/>
                  <w:lang w:eastAsia="en-US"/>
                </w:rPr>
                <w:t>a</w:t>
              </w:r>
              <w:r w:rsidRPr="00E1414B">
                <w:rPr>
                  <w:rStyle w:val="Hyperlink"/>
                  <w:rFonts w:ascii="Arial" w:hAnsi="Arial"/>
                  <w:lang w:eastAsia="en-US"/>
                </w:rPr>
                <w:t>n approach to reducing health inequalities for children and young people</w:t>
              </w:r>
            </w:hyperlink>
            <w:r>
              <w:t xml:space="preserve"> (NHS England)</w:t>
            </w:r>
          </w:p>
          <w:p w14:paraId="31F4011C" w14:textId="1C4E0D11" w:rsidR="00210751" w:rsidRDefault="00210751" w:rsidP="00210751">
            <w:r>
              <w:t xml:space="preserve">Guidance: </w:t>
            </w:r>
            <w:hyperlink r:id="rId45" w:history="1">
              <w:r w:rsidRPr="00A737B9">
                <w:rPr>
                  <w:rStyle w:val="Hyperlink"/>
                  <w:rFonts w:ascii="Arial" w:hAnsi="Arial"/>
                  <w:lang w:eastAsia="en-US"/>
                </w:rPr>
                <w:t>Addressing health inequalities across allied health professional (AHP) services: a guide for AHP system leaders</w:t>
              </w:r>
            </w:hyperlink>
            <w:r>
              <w:t xml:space="preserve"> (Office for Health Improvement and Disparities)</w:t>
            </w:r>
          </w:p>
        </w:tc>
        <w:tc>
          <w:tcPr>
            <w:tcW w:w="1637" w:type="dxa"/>
          </w:tcPr>
          <w:p w14:paraId="78DB4FAF" w14:textId="77777777" w:rsidR="00210751" w:rsidRDefault="00210751" w:rsidP="00210751"/>
        </w:tc>
      </w:tr>
      <w:tr w:rsidR="00210751" w14:paraId="38B1F4E6" w14:textId="77777777" w:rsidTr="00D53F06">
        <w:trPr>
          <w:cantSplit/>
        </w:trPr>
        <w:tc>
          <w:tcPr>
            <w:tcW w:w="704" w:type="dxa"/>
          </w:tcPr>
          <w:p w14:paraId="05E66830" w14:textId="7958022A" w:rsidR="00210751" w:rsidRDefault="00210751" w:rsidP="00210751">
            <w:r>
              <w:t>4.3</w:t>
            </w:r>
          </w:p>
        </w:tc>
        <w:tc>
          <w:tcPr>
            <w:tcW w:w="7513" w:type="dxa"/>
          </w:tcPr>
          <w:p w14:paraId="48523FD9" w14:textId="4057FFEA" w:rsidR="00210751" w:rsidRDefault="00210751" w:rsidP="00210751">
            <w:r w:rsidRPr="001A69C5">
              <w:rPr>
                <w:rFonts w:cs="Arial"/>
              </w:rPr>
              <w:t>Share support and resources at the point of referral to help the patient self-manage conditions while waiting. Review these regularly to make sure they are clear, accessible and relevant.</w:t>
            </w:r>
          </w:p>
        </w:tc>
        <w:tc>
          <w:tcPr>
            <w:tcW w:w="1637" w:type="dxa"/>
          </w:tcPr>
          <w:p w14:paraId="166841D3" w14:textId="77777777" w:rsidR="00210751" w:rsidRDefault="00210751" w:rsidP="00210751"/>
        </w:tc>
      </w:tr>
      <w:tr w:rsidR="00210751" w14:paraId="0CA9734E" w14:textId="77777777" w:rsidTr="00D53F06">
        <w:trPr>
          <w:cantSplit/>
        </w:trPr>
        <w:tc>
          <w:tcPr>
            <w:tcW w:w="704" w:type="dxa"/>
          </w:tcPr>
          <w:p w14:paraId="1E0CECB4" w14:textId="0B019B30" w:rsidR="00210751" w:rsidRDefault="00210751" w:rsidP="00210751">
            <w:r>
              <w:t>4.4</w:t>
            </w:r>
          </w:p>
        </w:tc>
        <w:tc>
          <w:tcPr>
            <w:tcW w:w="7513" w:type="dxa"/>
          </w:tcPr>
          <w:p w14:paraId="59D74D65" w14:textId="57AB387C" w:rsidR="00210751" w:rsidRDefault="00210751" w:rsidP="00210751">
            <w:r w:rsidRPr="00327BDD">
              <w:rPr>
                <w:rFonts w:cs="Arial"/>
              </w:rPr>
              <w:t>Communicate clear, up-to-date information on how to access local voluntary, community and social enterprise (VCSE) services.</w:t>
            </w:r>
          </w:p>
        </w:tc>
        <w:tc>
          <w:tcPr>
            <w:tcW w:w="1637" w:type="dxa"/>
          </w:tcPr>
          <w:p w14:paraId="33C0F5FB" w14:textId="77777777" w:rsidR="00210751" w:rsidRDefault="00210751" w:rsidP="00210751"/>
        </w:tc>
      </w:tr>
      <w:tr w:rsidR="00210751" w14:paraId="5DBE9A4D" w14:textId="77777777" w:rsidTr="00D53F06">
        <w:trPr>
          <w:cantSplit/>
        </w:trPr>
        <w:tc>
          <w:tcPr>
            <w:tcW w:w="704" w:type="dxa"/>
          </w:tcPr>
          <w:p w14:paraId="5350E353" w14:textId="5EA2C1CA" w:rsidR="00210751" w:rsidRDefault="00210751" w:rsidP="00210751">
            <w:r>
              <w:t>4.5</w:t>
            </w:r>
          </w:p>
        </w:tc>
        <w:tc>
          <w:tcPr>
            <w:tcW w:w="7513" w:type="dxa"/>
          </w:tcPr>
          <w:p w14:paraId="24F14CEF" w14:textId="77777777" w:rsidR="00210751" w:rsidRDefault="00210751" w:rsidP="00210751">
            <w:pPr>
              <w:contextualSpacing/>
              <w:rPr>
                <w:rFonts w:cs="Arial"/>
              </w:rPr>
            </w:pPr>
            <w:r w:rsidRPr="002A0462">
              <w:rPr>
                <w:rFonts w:cs="Arial"/>
              </w:rPr>
              <w:t>Monitor risk for patients on waiting lists routinely, using risk-profiling to prioritise referrals appropriately. This should consider</w:t>
            </w:r>
            <w:r w:rsidRPr="69CC25D3">
              <w:rPr>
                <w:rFonts w:cs="Arial"/>
              </w:rPr>
              <w:t>:</w:t>
            </w:r>
          </w:p>
          <w:p w14:paraId="58212B8A" w14:textId="77777777" w:rsidR="00210751" w:rsidRDefault="00210751" w:rsidP="00210751">
            <w:pPr>
              <w:pStyle w:val="ListParagraph"/>
              <w:numPr>
                <w:ilvl w:val="0"/>
                <w:numId w:val="11"/>
              </w:numPr>
              <w:ind w:left="714" w:hanging="357"/>
              <w:contextualSpacing/>
            </w:pPr>
            <w:r>
              <w:t>the clinical risks of prolonged waiting times</w:t>
            </w:r>
          </w:p>
          <w:p w14:paraId="0B902840" w14:textId="77777777" w:rsidR="00210751" w:rsidRDefault="00210751" w:rsidP="00210751">
            <w:pPr>
              <w:pStyle w:val="ListParagraph"/>
              <w:numPr>
                <w:ilvl w:val="0"/>
                <w:numId w:val="11"/>
              </w:numPr>
              <w:ind w:left="714" w:hanging="357"/>
              <w:contextualSpacing/>
            </w:pPr>
            <w:r>
              <w:t xml:space="preserve">the increased risks of being signed off from working </w:t>
            </w:r>
          </w:p>
          <w:p w14:paraId="3464CDEE" w14:textId="77777777" w:rsidR="00210751" w:rsidRDefault="00210751" w:rsidP="00210751">
            <w:pPr>
              <w:pStyle w:val="ListParagraph"/>
              <w:numPr>
                <w:ilvl w:val="0"/>
                <w:numId w:val="11"/>
              </w:numPr>
              <w:ind w:left="714" w:hanging="357"/>
              <w:contextualSpacing/>
            </w:pPr>
            <w:r>
              <w:t xml:space="preserve">the risk to school attendance and educational attainment </w:t>
            </w:r>
          </w:p>
          <w:p w14:paraId="612DC0FD" w14:textId="1A3D0386" w:rsidR="00210751" w:rsidRDefault="00210751" w:rsidP="00210751">
            <w:r>
              <w:t>the i</w:t>
            </w:r>
            <w:r w:rsidRPr="0059663B">
              <w:t>mpact on emotional wellbeing and mental health</w:t>
            </w:r>
          </w:p>
        </w:tc>
        <w:tc>
          <w:tcPr>
            <w:tcW w:w="1637" w:type="dxa"/>
          </w:tcPr>
          <w:p w14:paraId="3351A1F2" w14:textId="77777777" w:rsidR="00210751" w:rsidRDefault="00210751" w:rsidP="00210751"/>
        </w:tc>
      </w:tr>
      <w:tr w:rsidR="00210751" w14:paraId="79A16F69" w14:textId="77777777" w:rsidTr="00D53F06">
        <w:trPr>
          <w:cantSplit/>
        </w:trPr>
        <w:tc>
          <w:tcPr>
            <w:tcW w:w="704" w:type="dxa"/>
          </w:tcPr>
          <w:p w14:paraId="797E255B" w14:textId="31BCD9E9" w:rsidR="00210751" w:rsidRDefault="00210751" w:rsidP="00210751">
            <w:r>
              <w:lastRenderedPageBreak/>
              <w:t>4.6</w:t>
            </w:r>
          </w:p>
        </w:tc>
        <w:tc>
          <w:tcPr>
            <w:tcW w:w="7513" w:type="dxa"/>
          </w:tcPr>
          <w:p w14:paraId="35009C42" w14:textId="77777777" w:rsidR="00210751" w:rsidRDefault="00210751" w:rsidP="00210751">
            <w:pPr>
              <w:rPr>
                <w:rFonts w:cs="Arial"/>
              </w:rPr>
            </w:pPr>
            <w:r w:rsidRPr="00D62B29">
              <w:rPr>
                <w:rFonts w:cs="Arial"/>
              </w:rPr>
              <w:t xml:space="preserve">Integrate local talking therapies and social prescribing services with services so they are available to </w:t>
            </w:r>
            <w:proofErr w:type="gramStart"/>
            <w:r w:rsidRPr="00D62B29">
              <w:rPr>
                <w:rFonts w:cs="Arial"/>
              </w:rPr>
              <w:t>patients</w:t>
            </w:r>
            <w:proofErr w:type="gramEnd"/>
            <w:r w:rsidRPr="00D62B29">
              <w:rPr>
                <w:rFonts w:cs="Arial"/>
              </w:rPr>
              <w:t xml:space="preserve"> experiencing anxiety and depression related to their wait or condition.</w:t>
            </w:r>
          </w:p>
          <w:p w14:paraId="776BFC48" w14:textId="737756EE" w:rsidR="00210751" w:rsidRDefault="00210751" w:rsidP="00210751">
            <w:r w:rsidRPr="00A152B3">
              <w:rPr>
                <w:rFonts w:cs="Arial"/>
                <w:b/>
                <w:bCs/>
              </w:rPr>
              <w:t>Relevant guidance and support</w:t>
            </w:r>
            <w:r>
              <w:rPr>
                <w:rFonts w:cs="Arial"/>
                <w:b/>
                <w:bCs/>
              </w:rPr>
              <w:t>:</w:t>
            </w:r>
            <w:r>
              <w:rPr>
                <w:rFonts w:cs="Arial"/>
              </w:rPr>
              <w:br/>
            </w:r>
            <w:r w:rsidRPr="002C3689">
              <w:rPr>
                <w:rFonts w:cs="Arial"/>
              </w:rPr>
              <w:t>Guidance:</w:t>
            </w:r>
            <w:r>
              <w:rPr>
                <w:rFonts w:cs="Arial"/>
              </w:rPr>
              <w:t xml:space="preserve"> </w:t>
            </w:r>
            <w:hyperlink r:id="rId46" w:history="1">
              <w:r w:rsidRPr="00CD2459">
                <w:rPr>
                  <w:rStyle w:val="Hyperlink"/>
                  <w:rFonts w:ascii="Arial" w:hAnsi="Arial" w:cs="Arial"/>
                  <w:lang w:eastAsia="en-US"/>
                </w:rPr>
                <w:t>NHS Talking Therapies, for anxiety and depression</w:t>
              </w:r>
            </w:hyperlink>
            <w:r>
              <w:rPr>
                <w:rFonts w:cs="Arial"/>
              </w:rPr>
              <w:t xml:space="preserve"> (NHS England)</w:t>
            </w:r>
          </w:p>
        </w:tc>
        <w:tc>
          <w:tcPr>
            <w:tcW w:w="1637" w:type="dxa"/>
          </w:tcPr>
          <w:p w14:paraId="04BA497A" w14:textId="77777777" w:rsidR="00210751" w:rsidRDefault="00210751" w:rsidP="00210751"/>
        </w:tc>
      </w:tr>
      <w:tr w:rsidR="00210751" w14:paraId="021220ED" w14:textId="77777777" w:rsidTr="00D53F06">
        <w:trPr>
          <w:cantSplit/>
        </w:trPr>
        <w:tc>
          <w:tcPr>
            <w:tcW w:w="704" w:type="dxa"/>
          </w:tcPr>
          <w:p w14:paraId="7432708F" w14:textId="444EE930" w:rsidR="00210751" w:rsidRDefault="00210751" w:rsidP="00210751">
            <w:r>
              <w:t>4.7</w:t>
            </w:r>
          </w:p>
        </w:tc>
        <w:tc>
          <w:tcPr>
            <w:tcW w:w="7513" w:type="dxa"/>
          </w:tcPr>
          <w:p w14:paraId="2254B2AD" w14:textId="77777777" w:rsidR="00210751" w:rsidRDefault="00210751" w:rsidP="00210751">
            <w:pPr>
              <w:rPr>
                <w:rFonts w:cs="Arial"/>
              </w:rPr>
            </w:pPr>
            <w:r w:rsidRPr="00505808">
              <w:rPr>
                <w:rFonts w:cs="Arial"/>
              </w:rPr>
              <w:t>Develop personalised care and support plans with patients, including clear guidance on how to escalate and who to escalate to if their condition deteriorates. Share plans with relevant partners and agencies.</w:t>
            </w:r>
          </w:p>
          <w:p w14:paraId="4E151011" w14:textId="7F934A0B" w:rsidR="00210751" w:rsidRPr="00210751" w:rsidRDefault="00210751" w:rsidP="00210751">
            <w:pPr>
              <w:rPr>
                <w:rFonts w:cs="Arial"/>
              </w:rPr>
            </w:pPr>
            <w:r w:rsidRPr="00C2586C">
              <w:rPr>
                <w:rFonts w:cs="Arial"/>
                <w:b/>
                <w:bCs/>
              </w:rPr>
              <w:t>Relevant guidance and support:</w:t>
            </w:r>
            <w:r w:rsidRPr="00C2586C">
              <w:rPr>
                <w:rFonts w:cs="Arial"/>
              </w:rPr>
              <w:t xml:space="preserve"> Guidance: </w:t>
            </w:r>
            <w:hyperlink r:id="rId47" w:history="1">
              <w:r w:rsidRPr="00C2586C">
                <w:rPr>
                  <w:rStyle w:val="Hyperlink"/>
                  <w:rFonts w:ascii="Arial" w:hAnsi="Arial" w:cs="Arial"/>
                </w:rPr>
                <w:t xml:space="preserve">Personalised </w:t>
              </w:r>
              <w:r>
                <w:rPr>
                  <w:rStyle w:val="Hyperlink"/>
                  <w:rFonts w:ascii="Arial" w:hAnsi="Arial" w:cs="Arial"/>
                </w:rPr>
                <w:t>c</w:t>
              </w:r>
              <w:r w:rsidRPr="00C2586C">
                <w:rPr>
                  <w:rStyle w:val="Hyperlink"/>
                  <w:rFonts w:ascii="Arial" w:hAnsi="Arial" w:cs="Arial"/>
                </w:rPr>
                <w:t xml:space="preserve">are and </w:t>
              </w:r>
              <w:r>
                <w:rPr>
                  <w:rStyle w:val="Hyperlink"/>
                  <w:rFonts w:ascii="Arial" w:hAnsi="Arial" w:cs="Arial"/>
                </w:rPr>
                <w:t>s</w:t>
              </w:r>
              <w:r w:rsidRPr="00C2586C">
                <w:rPr>
                  <w:rStyle w:val="Hyperlink"/>
                  <w:rFonts w:ascii="Arial" w:hAnsi="Arial" w:cs="Arial"/>
                </w:rPr>
                <w:t xml:space="preserve">upport </w:t>
              </w:r>
              <w:r>
                <w:rPr>
                  <w:rStyle w:val="Hyperlink"/>
                  <w:rFonts w:ascii="Arial" w:hAnsi="Arial" w:cs="Arial"/>
                </w:rPr>
                <w:t>p</w:t>
              </w:r>
              <w:r w:rsidRPr="00C2586C">
                <w:rPr>
                  <w:rStyle w:val="Hyperlink"/>
                  <w:rFonts w:ascii="Arial" w:hAnsi="Arial" w:cs="Arial"/>
                </w:rPr>
                <w:t>lanning</w:t>
              </w:r>
            </w:hyperlink>
            <w:r w:rsidRPr="00C2586C">
              <w:rPr>
                <w:rFonts w:cs="Arial"/>
              </w:rPr>
              <w:t xml:space="preserve"> (NHS England)</w:t>
            </w:r>
          </w:p>
        </w:tc>
        <w:tc>
          <w:tcPr>
            <w:tcW w:w="1637" w:type="dxa"/>
          </w:tcPr>
          <w:p w14:paraId="1916283B" w14:textId="77777777" w:rsidR="00210751" w:rsidRDefault="00210751" w:rsidP="00210751"/>
        </w:tc>
      </w:tr>
      <w:tr w:rsidR="00210751" w:rsidRPr="00166A63" w14:paraId="43242F70" w14:textId="77777777" w:rsidTr="00D53F06">
        <w:trPr>
          <w:cantSplit/>
          <w:tblHeader/>
        </w:trPr>
        <w:tc>
          <w:tcPr>
            <w:tcW w:w="704" w:type="dxa"/>
            <w:shd w:val="clear" w:color="auto" w:fill="0070C0"/>
          </w:tcPr>
          <w:p w14:paraId="1B8766E5" w14:textId="77777777" w:rsidR="00210751" w:rsidRPr="00166A63" w:rsidRDefault="00210751" w:rsidP="00210751">
            <w:pPr>
              <w:keepNext/>
              <w:rPr>
                <w:b/>
                <w:bCs/>
                <w:color w:val="FFFFFF" w:themeColor="text1"/>
              </w:rPr>
            </w:pPr>
          </w:p>
        </w:tc>
        <w:tc>
          <w:tcPr>
            <w:tcW w:w="7513" w:type="dxa"/>
            <w:shd w:val="clear" w:color="auto" w:fill="0070C0"/>
          </w:tcPr>
          <w:p w14:paraId="34831F7B" w14:textId="77777777" w:rsidR="00210751" w:rsidRPr="00166A63" w:rsidRDefault="00210751" w:rsidP="00210751">
            <w:pPr>
              <w:keepNext/>
              <w:rPr>
                <w:b/>
                <w:bCs/>
                <w:color w:val="FFFFFF" w:themeColor="text1"/>
              </w:rPr>
            </w:pPr>
            <w:r>
              <w:rPr>
                <w:b/>
                <w:bCs/>
                <w:color w:val="FFFFFF" w:themeColor="text1"/>
              </w:rPr>
              <w:t>Going further activity</w:t>
            </w:r>
          </w:p>
        </w:tc>
        <w:tc>
          <w:tcPr>
            <w:tcW w:w="1637" w:type="dxa"/>
            <w:shd w:val="clear" w:color="auto" w:fill="0070C0"/>
          </w:tcPr>
          <w:p w14:paraId="255B85AE" w14:textId="77777777" w:rsidR="00210751" w:rsidRPr="00166A63" w:rsidRDefault="00210751" w:rsidP="00210751">
            <w:pPr>
              <w:keepNext/>
              <w:rPr>
                <w:b/>
                <w:bCs/>
                <w:color w:val="FFFFFF" w:themeColor="text1"/>
              </w:rPr>
            </w:pPr>
          </w:p>
        </w:tc>
      </w:tr>
      <w:tr w:rsidR="00E11C10" w14:paraId="1B40EC3D" w14:textId="77777777" w:rsidTr="00D53F06">
        <w:trPr>
          <w:cantSplit/>
        </w:trPr>
        <w:tc>
          <w:tcPr>
            <w:tcW w:w="704" w:type="dxa"/>
          </w:tcPr>
          <w:p w14:paraId="0C85CE23" w14:textId="2F77E7FB" w:rsidR="00E11C10" w:rsidRDefault="00E11C10" w:rsidP="00E11C10">
            <w:r>
              <w:t>4.8</w:t>
            </w:r>
          </w:p>
        </w:tc>
        <w:tc>
          <w:tcPr>
            <w:tcW w:w="7513" w:type="dxa"/>
          </w:tcPr>
          <w:p w14:paraId="0441C460" w14:textId="260B51C4" w:rsidR="00E11C10" w:rsidRDefault="00E11C10" w:rsidP="00E11C10">
            <w:r w:rsidRPr="004201AB">
              <w:rPr>
                <w:rFonts w:cs="Arial"/>
              </w:rPr>
              <w:t>Use social prescribing pathways proactively and review them regularly to ensure patients are signposted to appropriate community-based support.</w:t>
            </w:r>
            <w:r>
              <w:rPr>
                <w:rFonts w:cs="Arial"/>
              </w:rPr>
              <w:br/>
            </w:r>
            <w:r>
              <w:rPr>
                <w:rFonts w:cs="Arial"/>
              </w:rPr>
              <w:br/>
            </w:r>
            <w:r w:rsidRPr="00A152B3">
              <w:rPr>
                <w:rFonts w:cs="Arial"/>
                <w:b/>
                <w:bCs/>
              </w:rPr>
              <w:t>Relevant guidance and support</w:t>
            </w:r>
            <w:r>
              <w:rPr>
                <w:rFonts w:cs="Arial"/>
                <w:b/>
                <w:bCs/>
              </w:rPr>
              <w:t xml:space="preserve">: </w:t>
            </w:r>
            <w:r>
              <w:t xml:space="preserve">Webpage: </w:t>
            </w:r>
            <w:hyperlink r:id="rId48" w:history="1">
              <w:r w:rsidRPr="00D834FF">
                <w:rPr>
                  <w:rStyle w:val="Hyperlink"/>
                  <w:rFonts w:ascii="Arial" w:hAnsi="Arial"/>
                </w:rPr>
                <w:t xml:space="preserve">Social </w:t>
              </w:r>
              <w:r>
                <w:rPr>
                  <w:rStyle w:val="Hyperlink"/>
                  <w:rFonts w:ascii="Arial" w:hAnsi="Arial"/>
                </w:rPr>
                <w:t>p</w:t>
              </w:r>
              <w:r w:rsidRPr="00D834FF">
                <w:rPr>
                  <w:rStyle w:val="Hyperlink"/>
                  <w:rFonts w:ascii="Arial" w:hAnsi="Arial"/>
                </w:rPr>
                <w:t>rescribing</w:t>
              </w:r>
            </w:hyperlink>
            <w:r>
              <w:t xml:space="preserve"> (NHS England)</w:t>
            </w:r>
          </w:p>
        </w:tc>
        <w:tc>
          <w:tcPr>
            <w:tcW w:w="1637" w:type="dxa"/>
          </w:tcPr>
          <w:p w14:paraId="6A174F0F" w14:textId="77777777" w:rsidR="00E11C10" w:rsidRDefault="00E11C10" w:rsidP="00E11C10"/>
        </w:tc>
      </w:tr>
      <w:tr w:rsidR="00E11C10" w14:paraId="0B391B19" w14:textId="77777777" w:rsidTr="00D53F06">
        <w:trPr>
          <w:cantSplit/>
        </w:trPr>
        <w:tc>
          <w:tcPr>
            <w:tcW w:w="704" w:type="dxa"/>
          </w:tcPr>
          <w:p w14:paraId="24B3A16D" w14:textId="1B4C8DEB" w:rsidR="00E11C10" w:rsidRDefault="00E11C10" w:rsidP="00E11C10">
            <w:r>
              <w:t>4.9</w:t>
            </w:r>
          </w:p>
        </w:tc>
        <w:tc>
          <w:tcPr>
            <w:tcW w:w="7513" w:type="dxa"/>
          </w:tcPr>
          <w:p w14:paraId="1A448E18" w14:textId="62ED2F4F" w:rsidR="00E11C10" w:rsidRDefault="00E11C10" w:rsidP="00E11C10">
            <w:r w:rsidRPr="004402DB">
              <w:rPr>
                <w:rFonts w:cs="Arial"/>
              </w:rPr>
              <w:t>Develop a provider harms policy, with clear board oversight and escalation routes.</w:t>
            </w:r>
          </w:p>
        </w:tc>
        <w:tc>
          <w:tcPr>
            <w:tcW w:w="1637" w:type="dxa"/>
          </w:tcPr>
          <w:p w14:paraId="530BEABC" w14:textId="77777777" w:rsidR="00E11C10" w:rsidRDefault="00E11C10" w:rsidP="00E11C10"/>
        </w:tc>
      </w:tr>
    </w:tbl>
    <w:p w14:paraId="720F1D5F" w14:textId="77777777" w:rsidR="006371B7" w:rsidRPr="006371B7" w:rsidRDefault="006371B7" w:rsidP="006371B7"/>
    <w:sectPr w:rsidR="006371B7" w:rsidRPr="006371B7" w:rsidSect="00651042">
      <w:headerReference w:type="first" r:id="rId49"/>
      <w:footerReference w:type="first" r:id="rId50"/>
      <w:pgSz w:w="11906" w:h="16838"/>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617F" w14:textId="77777777" w:rsidR="00304C0C" w:rsidRDefault="00304C0C" w:rsidP="000C24AF">
      <w:pPr>
        <w:spacing w:after="0"/>
      </w:pPr>
      <w:r>
        <w:separator/>
      </w:r>
    </w:p>
  </w:endnote>
  <w:endnote w:type="continuationSeparator" w:id="0">
    <w:p w14:paraId="3C9BA164" w14:textId="77777777" w:rsidR="00304C0C" w:rsidRDefault="00304C0C" w:rsidP="000C24AF">
      <w:pPr>
        <w:spacing w:after="0"/>
      </w:pPr>
      <w:r>
        <w:continuationSeparator/>
      </w:r>
    </w:p>
  </w:endnote>
  <w:endnote w:type="continuationNotice" w:id="1">
    <w:p w14:paraId="301F5483" w14:textId="77777777" w:rsidR="00304C0C" w:rsidRDefault="00304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D349" w14:textId="77777777" w:rsidR="00603A2C" w:rsidRDefault="00603A2C" w:rsidP="00603A2C">
    <w:pPr>
      <w:pStyle w:val="Footer"/>
      <w:pBdr>
        <w:top w:val="single" w:sz="4" w:space="1" w:color="005EB8"/>
      </w:pBdr>
    </w:pPr>
  </w:p>
  <w:p w14:paraId="58185D47" w14:textId="544C6541" w:rsidR="00B72132" w:rsidRPr="00AC35F8" w:rsidRDefault="00B72132">
    <w:pPr>
      <w:pStyle w:val="Footer"/>
      <w:rPr>
        <w:sz w:val="24"/>
      </w:rPr>
    </w:pPr>
    <w:r w:rsidRPr="00AC35F8">
      <w:rPr>
        <w:sz w:val="24"/>
      </w:rPr>
      <w:t xml:space="preserve">Publication reference: </w:t>
    </w:r>
    <w:r w:rsidR="00C56935">
      <w:rPr>
        <w:sz w:val="24"/>
      </w:rPr>
      <w:t>PRN02287_ii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Content>
      <w:p w14:paraId="7AA39F68" w14:textId="77777777" w:rsidR="008A3E2F" w:rsidRDefault="008A3E2F" w:rsidP="008A3E2F">
        <w:pPr>
          <w:pStyle w:val="Footer"/>
          <w:pBdr>
            <w:top w:val="single" w:sz="4" w:space="1" w:color="005EB8"/>
          </w:pBdr>
        </w:pPr>
      </w:p>
      <w:p w14:paraId="72275C0E" w14:textId="77777777" w:rsidR="00B72132" w:rsidRPr="008A3E2F" w:rsidRDefault="008A3E2F" w:rsidP="008A3E2F">
        <w:pPr>
          <w:pStyle w:val="Footer"/>
        </w:pPr>
        <w:r w:rsidRPr="00AC35F8">
          <w:rPr>
            <w:sz w:val="24"/>
          </w:rPr>
          <w:t>© NHS England 202</w:t>
        </w:r>
        <w:r w:rsidR="009F7C5E">
          <w:rPr>
            <w:sz w:val="24"/>
          </w:rPr>
          <w:t>6</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Content>
      <w:p w14:paraId="036CB086" w14:textId="77777777" w:rsidR="00603A2C" w:rsidRDefault="00603A2C" w:rsidP="00603A2C">
        <w:pPr>
          <w:pStyle w:val="Footer"/>
          <w:pBdr>
            <w:top w:val="single" w:sz="4" w:space="1" w:color="005EB8"/>
          </w:pBdr>
        </w:pPr>
      </w:p>
      <w:p w14:paraId="7BBCC471"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5B37" w14:textId="77777777" w:rsidR="00304C0C" w:rsidRDefault="00304C0C" w:rsidP="000C24AF">
      <w:pPr>
        <w:spacing w:after="0"/>
      </w:pPr>
      <w:r>
        <w:separator/>
      </w:r>
    </w:p>
  </w:footnote>
  <w:footnote w:type="continuationSeparator" w:id="0">
    <w:p w14:paraId="61D730BC" w14:textId="77777777" w:rsidR="00304C0C" w:rsidRDefault="00304C0C" w:rsidP="000C24AF">
      <w:pPr>
        <w:spacing w:after="0"/>
      </w:pPr>
      <w:r>
        <w:continuationSeparator/>
      </w:r>
    </w:p>
  </w:footnote>
  <w:footnote w:type="continuationNotice" w:id="1">
    <w:p w14:paraId="111984B1" w14:textId="77777777" w:rsidR="00304C0C" w:rsidRDefault="00304C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4FCF" w14:textId="77777777" w:rsidR="00F126B3" w:rsidRDefault="00F126B3" w:rsidP="00F126B3">
    <w:pPr>
      <w:pStyle w:val="Header"/>
      <w:pBdr>
        <w:bottom w:val="none" w:sz="0" w:space="0" w:color="auto"/>
      </w:pBdr>
    </w:pPr>
    <w:r w:rsidRPr="00DD3B24">
      <w:rPr>
        <w:noProof/>
      </w:rPr>
      <w:drawing>
        <wp:anchor distT="0" distB="0" distL="114300" distR="114300" simplePos="0" relativeHeight="251666432" behindDoc="1" locked="1" layoutInCell="1" allowOverlap="0" wp14:anchorId="0C8E1614" wp14:editId="41F1B5D6">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808122409" name="Picture 1808122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5E17A272" w14:textId="1A318F97" w:rsidR="00F126B3" w:rsidRPr="00AC35F8" w:rsidRDefault="00000000" w:rsidP="00F126B3">
    <w:pPr>
      <w:pStyle w:val="Header"/>
      <w:pBdr>
        <w:bottom w:val="single" w:sz="4" w:space="4" w:color="auto"/>
      </w:pBdr>
      <w:rPr>
        <w:sz w:val="24"/>
      </w:rPr>
    </w:pPr>
    <w:sdt>
      <w:sdtPr>
        <w:rPr>
          <w:sz w:val="24"/>
        </w:r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Content>
        <w:r w:rsidR="00C56935">
          <w:rPr>
            <w:sz w:val="24"/>
          </w:rPr>
          <w:t>Community health services waiting times action checklists</w:t>
        </w:r>
      </w:sdtContent>
    </w:sdt>
  </w:p>
  <w:p w14:paraId="4BBFDEFB" w14:textId="77777777" w:rsidR="00F25CC7" w:rsidRPr="00F126B3" w:rsidRDefault="00F25CC7" w:rsidP="008A3E2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4F2CCCAC" w14:textId="77777777" w:rsidTr="00A449E4">
      <w:trPr>
        <w:trHeight w:val="642"/>
      </w:trPr>
      <w:sdt>
        <w:sdtPr>
          <w:rPr>
            <w:color w:val="231F20" w:themeColor="background1"/>
          </w:rPr>
          <w:alias w:val="Protective Marking"/>
          <w:tag w:val="Protective Marking"/>
          <w:id w:val="-1097942897"/>
          <w:placeholder>
            <w:docPart w:val="12C7C2FA5FE943F6936A813792A0DDAD"/>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3F418234" w14:textId="2683CF4F" w:rsidR="00B72132" w:rsidRDefault="00C56935" w:rsidP="00B72132">
              <w:pPr>
                <w:pStyle w:val="Classification"/>
              </w:pPr>
              <w:r>
                <w:rPr>
                  <w:color w:val="231F20" w:themeColor="background1"/>
                </w:rPr>
                <w:t>Classification: Official</w:t>
              </w:r>
            </w:p>
          </w:tc>
        </w:sdtContent>
      </w:sdt>
    </w:tr>
  </w:tbl>
  <w:p w14:paraId="04B4BCC7"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0288" behindDoc="1" locked="0" layoutInCell="1" allowOverlap="1" wp14:anchorId="70D9B1E6" wp14:editId="6A8AB89E">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860877327" name="Picture 1860877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24BACD0D" w14:textId="77777777" w:rsidR="00B72132" w:rsidRDefault="00B72132" w:rsidP="00B72132">
    <w:pPr>
      <w:pStyle w:val="Header"/>
      <w:pBdr>
        <w:bottom w:val="none" w:sz="0" w:space="0" w:color="auto"/>
      </w:pBdr>
    </w:pPr>
  </w:p>
  <w:p w14:paraId="2D592C63" w14:textId="77777777" w:rsidR="00B72132" w:rsidRPr="001D243C" w:rsidRDefault="00B72132" w:rsidP="00B72132">
    <w:pPr>
      <w:pStyle w:val="Header"/>
      <w:pBdr>
        <w:bottom w:val="none" w:sz="0" w:space="0" w:color="auto"/>
      </w:pBdr>
    </w:pPr>
  </w:p>
  <w:p w14:paraId="5108A270"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C52" w14:textId="77777777" w:rsidR="00F126B3" w:rsidRDefault="00F126B3" w:rsidP="00F126B3">
    <w:pPr>
      <w:pStyle w:val="Header"/>
      <w:pBdr>
        <w:bottom w:val="none" w:sz="0" w:space="0" w:color="auto"/>
      </w:pBdr>
    </w:pPr>
    <w:r w:rsidRPr="00DD3B24">
      <w:rPr>
        <w:noProof/>
      </w:rPr>
      <w:drawing>
        <wp:anchor distT="0" distB="0" distL="114300" distR="114300" simplePos="0" relativeHeight="251664384" behindDoc="1" locked="1" layoutInCell="1" allowOverlap="0" wp14:anchorId="66D96D2C" wp14:editId="3E3E20C7">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7D6690C7" w14:textId="5F769319" w:rsidR="00F126B3" w:rsidRPr="009F3A1D" w:rsidRDefault="00000000" w:rsidP="00F126B3">
    <w:pPr>
      <w:pStyle w:val="Header"/>
      <w:pBdr>
        <w:bottom w:val="single" w:sz="4" w:space="4" w:color="auto"/>
      </w:pBdr>
      <w:rPr>
        <w:sz w:val="24"/>
      </w:rPr>
    </w:pPr>
    <w:sdt>
      <w:sdtPr>
        <w:alias w:val="Title"/>
        <w:tag w:val="title"/>
        <w:id w:val="-644359137"/>
        <w:placeholder>
          <w:docPart w:val="12C7C2FA5FE943F6936A813792A0DDAD"/>
        </w:placeholder>
        <w:dataBinding w:prefixMappings="xmlns:ns0='http://purl.org/dc/elements/1.1/' xmlns:ns1='http://schemas.openxmlformats.org/package/2006/metadata/core-properties' " w:xpath="/ns1:coreProperties[1]/ns0:title[1]" w:storeItemID="{6C3C8BC8-F283-45AE-878A-BAB7291924A1}"/>
        <w:text/>
      </w:sdtPr>
      <w:sdtContent>
        <w:r w:rsidR="00C56935">
          <w:t>Community health services waiting times action checklists</w:t>
        </w:r>
      </w:sdtContent>
    </w:sdt>
  </w:p>
  <w:p w14:paraId="62CD2065"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C78D7"/>
    <w:multiLevelType w:val="hybridMultilevel"/>
    <w:tmpl w:val="7E20EFCE"/>
    <w:lvl w:ilvl="0" w:tplc="498E4AE0">
      <w:start w:val="1"/>
      <w:numFmt w:val="bullet"/>
      <w:lvlText w:val=""/>
      <w:lvlJc w:val="left"/>
      <w:pPr>
        <w:ind w:left="36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41068"/>
    <w:multiLevelType w:val="hybridMultilevel"/>
    <w:tmpl w:val="C3449A5C"/>
    <w:lvl w:ilvl="0" w:tplc="FFFFFFFF">
      <w:start w:val="1"/>
      <w:numFmt w:val="bullet"/>
      <w:lvlText w:val=""/>
      <w:lvlJc w:val="left"/>
      <w:pPr>
        <w:ind w:left="72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28654D"/>
    <w:multiLevelType w:val="hybridMultilevel"/>
    <w:tmpl w:val="89DAD1D6"/>
    <w:lvl w:ilvl="0" w:tplc="FFFFFFFF">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71157"/>
    <w:multiLevelType w:val="hybridMultilevel"/>
    <w:tmpl w:val="B2EA5C30"/>
    <w:lvl w:ilvl="0" w:tplc="90D0F448">
      <w:start w:val="1"/>
      <w:numFmt w:val="bullet"/>
      <w:lvlText w:val=""/>
      <w:lvlJc w:val="left"/>
      <w:pPr>
        <w:tabs>
          <w:tab w:val="num" w:pos="357"/>
        </w:tabs>
        <w:ind w:left="36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C969E3"/>
    <w:multiLevelType w:val="multilevel"/>
    <w:tmpl w:val="ECFABD74"/>
    <w:lvl w:ilvl="0">
      <w:start w:val="1"/>
      <w:numFmt w:val="decimal"/>
      <w:pStyle w:val="Heading2-numbered"/>
      <w:suff w:val="space"/>
      <w:lvlText w:val="%1."/>
      <w:lvlJc w:val="left"/>
      <w:pPr>
        <w:ind w:left="0" w:firstLine="0"/>
      </w:pPr>
      <w:rPr>
        <w:rFonts w:hint="default"/>
      </w:rPr>
    </w:lvl>
    <w:lvl w:ilvl="1">
      <w:start w:val="1"/>
      <w:numFmt w:val="decimal"/>
      <w:pStyle w:val="Heading3-numbered"/>
      <w:lvlText w:val="%1.%2"/>
      <w:lvlJc w:val="left"/>
      <w:pPr>
        <w:ind w:left="624" w:hanging="624"/>
      </w:pPr>
      <w:rPr>
        <w:rFonts w:hint="default"/>
      </w:rPr>
    </w:lvl>
    <w:lvl w:ilvl="2">
      <w:start w:val="1"/>
      <w:numFmt w:val="decimal"/>
      <w:pStyle w:val="Heading4-numbered"/>
      <w:lvlText w:val="%1.%2.%3"/>
      <w:lvlJc w:val="left"/>
      <w:pPr>
        <w:ind w:left="794" w:hanging="794"/>
      </w:pPr>
      <w:rPr>
        <w:rFonts w:hint="default"/>
      </w:rPr>
    </w:lvl>
    <w:lvl w:ilvl="3">
      <w:start w:val="1"/>
      <w:numFmt w:val="decimal"/>
      <w:pStyle w:val="Heading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level2"/>
      <w:lvlText w:val="%5.%6."/>
      <w:lvlJc w:val="left"/>
      <w:pPr>
        <w:ind w:left="1191" w:hanging="624"/>
      </w:pPr>
      <w:rPr>
        <w:rFonts w:hint="default"/>
      </w:rPr>
    </w:lvl>
    <w:lvl w:ilvl="6">
      <w:start w:val="1"/>
      <w:numFmt w:val="decimal"/>
      <w:pStyle w:val="Bodytext-numbered-level3"/>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085B47"/>
    <w:multiLevelType w:val="hybridMultilevel"/>
    <w:tmpl w:val="2FB464F4"/>
    <w:lvl w:ilvl="0" w:tplc="FFFFFFFF">
      <w:start w:val="1"/>
      <w:numFmt w:val="bullet"/>
      <w:lvlText w:val=""/>
      <w:lvlJc w:val="left"/>
      <w:pPr>
        <w:ind w:left="340" w:hanging="340"/>
      </w:pPr>
      <w:rPr>
        <w:rFonts w:ascii="Symbol" w:hAnsi="Symbol" w:hint="default"/>
        <w:color w:val="005EB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17729E"/>
    <w:multiLevelType w:val="hybridMultilevel"/>
    <w:tmpl w:val="21FAD598"/>
    <w:lvl w:ilvl="0" w:tplc="FFFFFFFF">
      <w:start w:val="1"/>
      <w:numFmt w:val="bullet"/>
      <w:lvlText w:val=""/>
      <w:lvlJc w:val="left"/>
      <w:pPr>
        <w:ind w:left="72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F90D67"/>
    <w:multiLevelType w:val="hybridMultilevel"/>
    <w:tmpl w:val="A25AEC70"/>
    <w:lvl w:ilvl="0" w:tplc="FFFFFFFF">
      <w:start w:val="1"/>
      <w:numFmt w:val="bullet"/>
      <w:lvlText w:val=""/>
      <w:lvlJc w:val="left"/>
      <w:pPr>
        <w:ind w:left="72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9639A7"/>
    <w:multiLevelType w:val="hybridMultilevel"/>
    <w:tmpl w:val="F04AE87E"/>
    <w:lvl w:ilvl="0" w:tplc="FFFFFFFF">
      <w:start w:val="1"/>
      <w:numFmt w:val="bullet"/>
      <w:lvlText w:val=""/>
      <w:lvlJc w:val="left"/>
      <w:pPr>
        <w:ind w:left="72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7"/>
  </w:num>
  <w:num w:numId="3" w16cid:durableId="570964709">
    <w:abstractNumId w:val="5"/>
  </w:num>
  <w:num w:numId="4" w16cid:durableId="1809200318">
    <w:abstractNumId w:val="6"/>
  </w:num>
  <w:num w:numId="5" w16cid:durableId="2061708763">
    <w:abstractNumId w:val="4"/>
  </w:num>
  <w:num w:numId="6" w16cid:durableId="848376432">
    <w:abstractNumId w:val="1"/>
  </w:num>
  <w:num w:numId="7" w16cid:durableId="1204710057">
    <w:abstractNumId w:val="3"/>
  </w:num>
  <w:num w:numId="8" w16cid:durableId="2048986649">
    <w:abstractNumId w:val="8"/>
  </w:num>
  <w:num w:numId="9" w16cid:durableId="2038922421">
    <w:abstractNumId w:val="10"/>
  </w:num>
  <w:num w:numId="10" w16cid:durableId="690647603">
    <w:abstractNumId w:val="2"/>
  </w:num>
  <w:num w:numId="11" w16cid:durableId="153153140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35"/>
    <w:rsid w:val="00000197"/>
    <w:rsid w:val="000005C7"/>
    <w:rsid w:val="00003EE8"/>
    <w:rsid w:val="0000416F"/>
    <w:rsid w:val="00006985"/>
    <w:rsid w:val="000108B8"/>
    <w:rsid w:val="0001164C"/>
    <w:rsid w:val="000271F6"/>
    <w:rsid w:val="0003185C"/>
    <w:rsid w:val="00031FD0"/>
    <w:rsid w:val="00043B3C"/>
    <w:rsid w:val="000462F8"/>
    <w:rsid w:val="00055630"/>
    <w:rsid w:val="00061452"/>
    <w:rsid w:val="00061FBB"/>
    <w:rsid w:val="000733A2"/>
    <w:rsid w:val="000754D3"/>
    <w:rsid w:val="0008313C"/>
    <w:rsid w:val="000863E2"/>
    <w:rsid w:val="00087358"/>
    <w:rsid w:val="000935A1"/>
    <w:rsid w:val="00095621"/>
    <w:rsid w:val="000A266D"/>
    <w:rsid w:val="000A64E4"/>
    <w:rsid w:val="000C2447"/>
    <w:rsid w:val="000C24AF"/>
    <w:rsid w:val="000D39C3"/>
    <w:rsid w:val="000E2EBE"/>
    <w:rsid w:val="000E44EF"/>
    <w:rsid w:val="00101883"/>
    <w:rsid w:val="0010192E"/>
    <w:rsid w:val="00103F4D"/>
    <w:rsid w:val="0010592F"/>
    <w:rsid w:val="00113EEC"/>
    <w:rsid w:val="00121A3A"/>
    <w:rsid w:val="00127C11"/>
    <w:rsid w:val="00166A63"/>
    <w:rsid w:val="0017013C"/>
    <w:rsid w:val="001716E5"/>
    <w:rsid w:val="00174E90"/>
    <w:rsid w:val="0019592C"/>
    <w:rsid w:val="001C3565"/>
    <w:rsid w:val="001C6937"/>
    <w:rsid w:val="001D243C"/>
    <w:rsid w:val="001E004E"/>
    <w:rsid w:val="001E27F8"/>
    <w:rsid w:val="001F3126"/>
    <w:rsid w:val="00210751"/>
    <w:rsid w:val="0022134A"/>
    <w:rsid w:val="0022596F"/>
    <w:rsid w:val="002365A0"/>
    <w:rsid w:val="00240B6E"/>
    <w:rsid w:val="00242AE3"/>
    <w:rsid w:val="00245FE3"/>
    <w:rsid w:val="00246075"/>
    <w:rsid w:val="00251B94"/>
    <w:rsid w:val="00270DAD"/>
    <w:rsid w:val="00276E63"/>
    <w:rsid w:val="002855F7"/>
    <w:rsid w:val="00294488"/>
    <w:rsid w:val="002A3F48"/>
    <w:rsid w:val="002A45CD"/>
    <w:rsid w:val="002B24BD"/>
    <w:rsid w:val="002B3BFD"/>
    <w:rsid w:val="002C0816"/>
    <w:rsid w:val="002F45CE"/>
    <w:rsid w:val="002F7B8F"/>
    <w:rsid w:val="00304C0C"/>
    <w:rsid w:val="0033715E"/>
    <w:rsid w:val="0034439B"/>
    <w:rsid w:val="003444C7"/>
    <w:rsid w:val="0034560E"/>
    <w:rsid w:val="0035386A"/>
    <w:rsid w:val="0035464A"/>
    <w:rsid w:val="00355C51"/>
    <w:rsid w:val="003A4590"/>
    <w:rsid w:val="003A4B22"/>
    <w:rsid w:val="003B2686"/>
    <w:rsid w:val="003B6BB4"/>
    <w:rsid w:val="003D3A42"/>
    <w:rsid w:val="003E03CD"/>
    <w:rsid w:val="003E57B6"/>
    <w:rsid w:val="003F7B0C"/>
    <w:rsid w:val="00411D1D"/>
    <w:rsid w:val="00420E7F"/>
    <w:rsid w:val="00423FAF"/>
    <w:rsid w:val="00427636"/>
    <w:rsid w:val="00430131"/>
    <w:rsid w:val="00443088"/>
    <w:rsid w:val="00447E51"/>
    <w:rsid w:val="00455A3F"/>
    <w:rsid w:val="004709ED"/>
    <w:rsid w:val="00472D33"/>
    <w:rsid w:val="004779A7"/>
    <w:rsid w:val="00491977"/>
    <w:rsid w:val="00497DE0"/>
    <w:rsid w:val="004B626E"/>
    <w:rsid w:val="004C75CC"/>
    <w:rsid w:val="004D763F"/>
    <w:rsid w:val="004F0A67"/>
    <w:rsid w:val="004F1337"/>
    <w:rsid w:val="004F28CE"/>
    <w:rsid w:val="004F6303"/>
    <w:rsid w:val="005014AF"/>
    <w:rsid w:val="00512105"/>
    <w:rsid w:val="0052302B"/>
    <w:rsid w:val="0052666B"/>
    <w:rsid w:val="0052756A"/>
    <w:rsid w:val="00534180"/>
    <w:rsid w:val="0053499D"/>
    <w:rsid w:val="00544C0C"/>
    <w:rsid w:val="00551034"/>
    <w:rsid w:val="00561552"/>
    <w:rsid w:val="005634F0"/>
    <w:rsid w:val="005645E2"/>
    <w:rsid w:val="00577A42"/>
    <w:rsid w:val="0058121B"/>
    <w:rsid w:val="00584D6A"/>
    <w:rsid w:val="00590D21"/>
    <w:rsid w:val="005A3B89"/>
    <w:rsid w:val="005C068C"/>
    <w:rsid w:val="005C2644"/>
    <w:rsid w:val="005C3745"/>
    <w:rsid w:val="005D4E5A"/>
    <w:rsid w:val="005D61B4"/>
    <w:rsid w:val="005E044E"/>
    <w:rsid w:val="005F0359"/>
    <w:rsid w:val="00601DBA"/>
    <w:rsid w:val="00603A2C"/>
    <w:rsid w:val="00613251"/>
    <w:rsid w:val="00614F79"/>
    <w:rsid w:val="006153D6"/>
    <w:rsid w:val="00616632"/>
    <w:rsid w:val="00625089"/>
    <w:rsid w:val="0063502E"/>
    <w:rsid w:val="006371B7"/>
    <w:rsid w:val="00651042"/>
    <w:rsid w:val="00654EE0"/>
    <w:rsid w:val="006679DE"/>
    <w:rsid w:val="00671B7A"/>
    <w:rsid w:val="00672717"/>
    <w:rsid w:val="00675E35"/>
    <w:rsid w:val="00684633"/>
    <w:rsid w:val="00692041"/>
    <w:rsid w:val="00694FC4"/>
    <w:rsid w:val="006C7386"/>
    <w:rsid w:val="006D02E8"/>
    <w:rsid w:val="006E2FE7"/>
    <w:rsid w:val="006F37F0"/>
    <w:rsid w:val="00702B4D"/>
    <w:rsid w:val="00710E40"/>
    <w:rsid w:val="0071497F"/>
    <w:rsid w:val="00723A85"/>
    <w:rsid w:val="0073429A"/>
    <w:rsid w:val="007375BC"/>
    <w:rsid w:val="00740573"/>
    <w:rsid w:val="00753953"/>
    <w:rsid w:val="00761E45"/>
    <w:rsid w:val="00763FA3"/>
    <w:rsid w:val="007663CB"/>
    <w:rsid w:val="007838C8"/>
    <w:rsid w:val="00796E96"/>
    <w:rsid w:val="007A1D0E"/>
    <w:rsid w:val="007B62EE"/>
    <w:rsid w:val="007D1E52"/>
    <w:rsid w:val="007D2D3D"/>
    <w:rsid w:val="007E4138"/>
    <w:rsid w:val="007F5954"/>
    <w:rsid w:val="00801629"/>
    <w:rsid w:val="00811505"/>
    <w:rsid w:val="00811876"/>
    <w:rsid w:val="0081544B"/>
    <w:rsid w:val="00842D21"/>
    <w:rsid w:val="00853A57"/>
    <w:rsid w:val="00855D19"/>
    <w:rsid w:val="00856061"/>
    <w:rsid w:val="008625E8"/>
    <w:rsid w:val="00864885"/>
    <w:rsid w:val="008744B1"/>
    <w:rsid w:val="00880D4A"/>
    <w:rsid w:val="00897829"/>
    <w:rsid w:val="008A3E2F"/>
    <w:rsid w:val="008B094C"/>
    <w:rsid w:val="008C52FD"/>
    <w:rsid w:val="008C7569"/>
    <w:rsid w:val="008D2816"/>
    <w:rsid w:val="008D50ED"/>
    <w:rsid w:val="008D5572"/>
    <w:rsid w:val="008D5953"/>
    <w:rsid w:val="008E2296"/>
    <w:rsid w:val="008F6069"/>
    <w:rsid w:val="00905552"/>
    <w:rsid w:val="00917854"/>
    <w:rsid w:val="00922AD1"/>
    <w:rsid w:val="0094128E"/>
    <w:rsid w:val="00943EC5"/>
    <w:rsid w:val="00970C89"/>
    <w:rsid w:val="00987163"/>
    <w:rsid w:val="00990E1C"/>
    <w:rsid w:val="0099533F"/>
    <w:rsid w:val="009A0001"/>
    <w:rsid w:val="009B0321"/>
    <w:rsid w:val="009B47EA"/>
    <w:rsid w:val="009B6565"/>
    <w:rsid w:val="009C27F0"/>
    <w:rsid w:val="009D24D4"/>
    <w:rsid w:val="009E3DA4"/>
    <w:rsid w:val="009E5B2D"/>
    <w:rsid w:val="009F09FD"/>
    <w:rsid w:val="009F1650"/>
    <w:rsid w:val="009F1F47"/>
    <w:rsid w:val="009F4912"/>
    <w:rsid w:val="009F7412"/>
    <w:rsid w:val="009F7C5E"/>
    <w:rsid w:val="00A02EEF"/>
    <w:rsid w:val="00A03469"/>
    <w:rsid w:val="00A124B9"/>
    <w:rsid w:val="00A14E59"/>
    <w:rsid w:val="00A24407"/>
    <w:rsid w:val="00A268E2"/>
    <w:rsid w:val="00A646D7"/>
    <w:rsid w:val="00A66950"/>
    <w:rsid w:val="00A71B17"/>
    <w:rsid w:val="00A75B7E"/>
    <w:rsid w:val="00A812B3"/>
    <w:rsid w:val="00AB3248"/>
    <w:rsid w:val="00AB731C"/>
    <w:rsid w:val="00AC103C"/>
    <w:rsid w:val="00AC35F8"/>
    <w:rsid w:val="00AC7958"/>
    <w:rsid w:val="00AD13C4"/>
    <w:rsid w:val="00AE12E0"/>
    <w:rsid w:val="00AE45DB"/>
    <w:rsid w:val="00AE554A"/>
    <w:rsid w:val="00AE6B55"/>
    <w:rsid w:val="00AF7217"/>
    <w:rsid w:val="00B0246A"/>
    <w:rsid w:val="00B051B5"/>
    <w:rsid w:val="00B177AF"/>
    <w:rsid w:val="00B44DD5"/>
    <w:rsid w:val="00B57496"/>
    <w:rsid w:val="00B72132"/>
    <w:rsid w:val="00B738AB"/>
    <w:rsid w:val="00B7725C"/>
    <w:rsid w:val="00B77C41"/>
    <w:rsid w:val="00B81669"/>
    <w:rsid w:val="00B907B5"/>
    <w:rsid w:val="00B94ED2"/>
    <w:rsid w:val="00BA6DA0"/>
    <w:rsid w:val="00BC294E"/>
    <w:rsid w:val="00BC5327"/>
    <w:rsid w:val="00BC5961"/>
    <w:rsid w:val="00BC5F53"/>
    <w:rsid w:val="00BC78C6"/>
    <w:rsid w:val="00BD0732"/>
    <w:rsid w:val="00BE0046"/>
    <w:rsid w:val="00BE6447"/>
    <w:rsid w:val="00C01D97"/>
    <w:rsid w:val="00C021AB"/>
    <w:rsid w:val="00C07F6B"/>
    <w:rsid w:val="00C15176"/>
    <w:rsid w:val="00C2506B"/>
    <w:rsid w:val="00C3600D"/>
    <w:rsid w:val="00C37063"/>
    <w:rsid w:val="00C40AAB"/>
    <w:rsid w:val="00C41D45"/>
    <w:rsid w:val="00C52947"/>
    <w:rsid w:val="00C56935"/>
    <w:rsid w:val="00C669E0"/>
    <w:rsid w:val="00C67367"/>
    <w:rsid w:val="00C846FE"/>
    <w:rsid w:val="00C84B0A"/>
    <w:rsid w:val="00C85F4A"/>
    <w:rsid w:val="00C92413"/>
    <w:rsid w:val="00C94710"/>
    <w:rsid w:val="00CA0FAC"/>
    <w:rsid w:val="00CA667A"/>
    <w:rsid w:val="00CC5042"/>
    <w:rsid w:val="00CC5738"/>
    <w:rsid w:val="00CC73C0"/>
    <w:rsid w:val="00CC7B1C"/>
    <w:rsid w:val="00CD6D0C"/>
    <w:rsid w:val="00CE086C"/>
    <w:rsid w:val="00CF4C68"/>
    <w:rsid w:val="00CF7DA5"/>
    <w:rsid w:val="00D1228E"/>
    <w:rsid w:val="00D2315A"/>
    <w:rsid w:val="00D356F8"/>
    <w:rsid w:val="00D425F2"/>
    <w:rsid w:val="00D50FF0"/>
    <w:rsid w:val="00D66537"/>
    <w:rsid w:val="00D92BBC"/>
    <w:rsid w:val="00D93D0D"/>
    <w:rsid w:val="00DA5512"/>
    <w:rsid w:val="00DA589B"/>
    <w:rsid w:val="00DC7A9D"/>
    <w:rsid w:val="00DD1729"/>
    <w:rsid w:val="00DD3B24"/>
    <w:rsid w:val="00DD77F0"/>
    <w:rsid w:val="00DD7C30"/>
    <w:rsid w:val="00DE3AB8"/>
    <w:rsid w:val="00DF4DBC"/>
    <w:rsid w:val="00E07DBB"/>
    <w:rsid w:val="00E11C10"/>
    <w:rsid w:val="00E274B8"/>
    <w:rsid w:val="00E43FBD"/>
    <w:rsid w:val="00E45C31"/>
    <w:rsid w:val="00E5122E"/>
    <w:rsid w:val="00E5704B"/>
    <w:rsid w:val="00E661AF"/>
    <w:rsid w:val="00E85295"/>
    <w:rsid w:val="00EA6B75"/>
    <w:rsid w:val="00EB1195"/>
    <w:rsid w:val="00EB4C88"/>
    <w:rsid w:val="00EB6372"/>
    <w:rsid w:val="00EC37E3"/>
    <w:rsid w:val="00EC5299"/>
    <w:rsid w:val="00ED3649"/>
    <w:rsid w:val="00ED6D5A"/>
    <w:rsid w:val="00EE0481"/>
    <w:rsid w:val="00F0026B"/>
    <w:rsid w:val="00F06F3B"/>
    <w:rsid w:val="00F11E23"/>
    <w:rsid w:val="00F126B3"/>
    <w:rsid w:val="00F13D85"/>
    <w:rsid w:val="00F25CC7"/>
    <w:rsid w:val="00F42EB9"/>
    <w:rsid w:val="00F454BD"/>
    <w:rsid w:val="00F523E6"/>
    <w:rsid w:val="00F5718C"/>
    <w:rsid w:val="00F609E1"/>
    <w:rsid w:val="00F61204"/>
    <w:rsid w:val="00F64933"/>
    <w:rsid w:val="00F8486E"/>
    <w:rsid w:val="00F8709D"/>
    <w:rsid w:val="00F94E17"/>
    <w:rsid w:val="00FA30C8"/>
    <w:rsid w:val="00FA4212"/>
    <w:rsid w:val="00FB1043"/>
    <w:rsid w:val="00FB4899"/>
    <w:rsid w:val="00FB4EB0"/>
    <w:rsid w:val="00FE211E"/>
    <w:rsid w:val="00FE59C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8BA8"/>
  <w15:docId w15:val="{0B30F30C-28B0-45B5-A59A-D60923D9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C94710"/>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F0026B"/>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BD0732"/>
    <w:pPr>
      <w:keepNext/>
      <w:keepLines/>
      <w:pageBreakBefore/>
      <w:tabs>
        <w:tab w:val="left" w:pos="5963"/>
      </w:tabs>
      <w:spacing w:before="400" w:after="36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5645E2"/>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5645E2"/>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5645E2"/>
    <w:pPr>
      <w:keepNext/>
      <w:keepLines/>
      <w:spacing w:before="300" w:after="60"/>
      <w:outlineLvl w:val="4"/>
    </w:pPr>
    <w:rPr>
      <w:rFonts w:ascii="Arial" w:eastAsiaTheme="majorEastAsia" w:hAnsi="Arial"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D0732"/>
    <w:rPr>
      <w:rFonts w:ascii="Arial Bold" w:hAnsi="Arial Bold" w:cs="Arial"/>
      <w:b/>
      <w:color w:val="005EB8"/>
      <w:kern w:val="28"/>
      <w:sz w:val="36"/>
      <w:szCs w:val="24"/>
      <w14:ligatures w14:val="standardContextual"/>
    </w:rPr>
  </w:style>
  <w:style w:type="character" w:customStyle="1" w:styleId="Heading1Char">
    <w:name w:val="Heading 1 Char"/>
    <w:basedOn w:val="DefaultParagraphFont"/>
    <w:link w:val="Heading1"/>
    <w:uiPriority w:val="2"/>
    <w:semiHidden/>
    <w:rsid w:val="00F0026B"/>
    <w:rPr>
      <w:rFonts w:ascii="Arial" w:hAnsi="Arial" w:cs="Arial"/>
      <w:b/>
      <w:bCs/>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5645E2"/>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9"/>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9"/>
    <w:rsid w:val="000E44EF"/>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5645E2"/>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semiHidden/>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5645E2"/>
    <w:rPr>
      <w:rFonts w:ascii="Arial" w:eastAsiaTheme="majorEastAsia" w:hAnsi="Arial"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eading2-numbered">
    <w:name w:val="Heading 2 - numbered"/>
    <w:basedOn w:val="Heading2"/>
    <w:link w:val="Heading2-numberedChar"/>
    <w:uiPriority w:val="4"/>
    <w:qFormat/>
    <w:rsid w:val="00C15176"/>
    <w:pPr>
      <w:numPr>
        <w:numId w:val="3"/>
      </w:numPr>
    </w:pPr>
  </w:style>
  <w:style w:type="paragraph" w:customStyle="1" w:styleId="Heading3-numbered">
    <w:name w:val="Heading 3 - numbered"/>
    <w:basedOn w:val="Heading3"/>
    <w:link w:val="Heading3-numberedChar"/>
    <w:uiPriority w:val="6"/>
    <w:qFormat/>
    <w:rsid w:val="00C15176"/>
    <w:pPr>
      <w:numPr>
        <w:ilvl w:val="1"/>
        <w:numId w:val="3"/>
      </w:numPr>
    </w:pPr>
  </w:style>
  <w:style w:type="character" w:customStyle="1" w:styleId="Heading2-numberedChar">
    <w:name w:val="Heading 2 - numbered Char"/>
    <w:basedOn w:val="Heading2Char"/>
    <w:link w:val="Heading2-numbered"/>
    <w:uiPriority w:val="4"/>
    <w:rsid w:val="00BC5F53"/>
    <w:rPr>
      <w:rFonts w:ascii="Arial Bold" w:hAnsi="Arial Bold" w:cs="Arial"/>
      <w:b/>
      <w:color w:val="005EB8"/>
      <w:kern w:val="28"/>
      <w:sz w:val="32"/>
      <w:szCs w:val="24"/>
      <w14:ligatures w14:val="standardContextual"/>
    </w:rPr>
  </w:style>
  <w:style w:type="paragraph" w:customStyle="1" w:styleId="Heading4-numbered">
    <w:name w:val="Heading 4 - numbered"/>
    <w:basedOn w:val="Heading4"/>
    <w:link w:val="Heading4-numberedChar"/>
    <w:uiPriority w:val="7"/>
    <w:qFormat/>
    <w:rsid w:val="00C15176"/>
    <w:pPr>
      <w:numPr>
        <w:ilvl w:val="2"/>
        <w:numId w:val="3"/>
      </w:numPr>
    </w:pPr>
  </w:style>
  <w:style w:type="character" w:customStyle="1" w:styleId="Heading3-numberedChar">
    <w:name w:val="Heading 3 - numbered Char"/>
    <w:basedOn w:val="Heading3Char"/>
    <w:link w:val="Heading3-numbered"/>
    <w:uiPriority w:val="6"/>
    <w:rsid w:val="00BC5F53"/>
    <w:rPr>
      <w:rFonts w:ascii="Arial" w:hAnsi="Arial" w:cs="Arial"/>
      <w:b/>
      <w:color w:val="005EB8" w:themeColor="text2"/>
      <w:kern w:val="28"/>
      <w:sz w:val="28"/>
      <w:szCs w:val="24"/>
      <w14:ligatures w14:val="standardContextual"/>
    </w:rPr>
  </w:style>
  <w:style w:type="paragraph" w:customStyle="1" w:styleId="Heading5-numbered">
    <w:name w:val="Heading 5 - numbered"/>
    <w:basedOn w:val="Heading5"/>
    <w:link w:val="Heading5-numberedChar"/>
    <w:uiPriority w:val="9"/>
    <w:qFormat/>
    <w:rsid w:val="00C15176"/>
    <w:pPr>
      <w:numPr>
        <w:ilvl w:val="3"/>
        <w:numId w:val="3"/>
      </w:numPr>
    </w:pPr>
  </w:style>
  <w:style w:type="character" w:customStyle="1" w:styleId="Heading4-numberedChar">
    <w:name w:val="Heading 4 - numbered Char"/>
    <w:basedOn w:val="Heading4Char"/>
    <w:link w:val="Heading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eading5-numberedChar">
    <w:name w:val="Heading 5 - numbered Char"/>
    <w:basedOn w:val="Heading5Char"/>
    <w:link w:val="Heading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level2">
    <w:name w:val="Body text - numbered - level 2"/>
    <w:basedOn w:val="Normal"/>
    <w:link w:val="Bodytext-numbered-level2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level3">
    <w:name w:val="Body text - numbered - level 3"/>
    <w:basedOn w:val="Normal"/>
    <w:link w:val="Bodytext-numbered-level3Char"/>
    <w:uiPriority w:val="16"/>
    <w:qFormat/>
    <w:rsid w:val="00943EC5"/>
    <w:pPr>
      <w:numPr>
        <w:ilvl w:val="6"/>
        <w:numId w:val="3"/>
      </w:numPr>
      <w:spacing w:after="120"/>
    </w:pPr>
  </w:style>
  <w:style w:type="character" w:customStyle="1" w:styleId="Bodytext-numbered-level2Char">
    <w:name w:val="Body text - numbered - level 2 Char"/>
    <w:basedOn w:val="DefaultParagraphFont"/>
    <w:link w:val="Bodytext-numbered-level2"/>
    <w:uiPriority w:val="15"/>
    <w:rsid w:val="008D50ED"/>
    <w:rPr>
      <w:rFonts w:ascii="Arial" w:hAnsi="Arial"/>
      <w:color w:val="000000"/>
      <w:sz w:val="24"/>
      <w:szCs w:val="24"/>
    </w:rPr>
  </w:style>
  <w:style w:type="paragraph" w:styleId="Caption">
    <w:name w:val="caption"/>
    <w:basedOn w:val="Normal"/>
    <w:next w:val="Normal"/>
    <w:uiPriority w:val="19"/>
    <w:semiHidden/>
    <w:qFormat/>
    <w:rsid w:val="00355C51"/>
    <w:pPr>
      <w:spacing w:before="120" w:after="120" w:line="240" w:lineRule="auto"/>
    </w:pPr>
    <w:rPr>
      <w:b/>
      <w:iCs/>
      <w:color w:val="auto"/>
      <w:szCs w:val="18"/>
    </w:rPr>
  </w:style>
  <w:style w:type="character" w:customStyle="1" w:styleId="Bodytext-numbered-level3Char">
    <w:name w:val="Body text - numbered - level 3 Char"/>
    <w:basedOn w:val="DefaultParagraphFont"/>
    <w:link w:val="Bodytext-numbered-level3"/>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character" w:customStyle="1" w:styleId="normaltextrun">
    <w:name w:val="normaltextrun"/>
    <w:basedOn w:val="DefaultParagraphFont"/>
    <w:rsid w:val="00551034"/>
  </w:style>
  <w:style w:type="character" w:customStyle="1" w:styleId="eop">
    <w:name w:val="eop"/>
    <w:basedOn w:val="DefaultParagraphFont"/>
    <w:rsid w:val="0055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ice.org.uk/guidance/ng43" TargetMode="External"/><Relationship Id="rId26" Type="http://schemas.openxmlformats.org/officeDocument/2006/relationships/hyperlink" Target="https://www.nice.org.uk/Guidance/CG138" TargetMode="External"/><Relationship Id="rId39" Type="http://schemas.openxmlformats.org/officeDocument/2006/relationships/hyperlink" Target="https://www.england.nhs.uk/publication/video-consulting-with-your-nhs-guides-for-patients-staff-and-trusts/" TargetMode="External"/><Relationship Id="rId21" Type="http://schemas.openxmlformats.org/officeDocument/2006/relationships/hyperlink" Target="https://digital.nhs.uk/services/e-referral-service/document-library/developing-a-referral-management-plan" TargetMode="External"/><Relationship Id="rId34" Type="http://schemas.openxmlformats.org/officeDocument/2006/relationships/hyperlink" Target="https://www.england.nhs.uk/statistical-process-control-tool/" TargetMode="External"/><Relationship Id="rId42" Type="http://schemas.openxmlformats.org/officeDocument/2006/relationships/hyperlink" Target="https://www.england.nhs.uk/publication/shared-decision-making-summary-guide/" TargetMode="External"/><Relationship Id="rId47" Type="http://schemas.openxmlformats.org/officeDocument/2006/relationships/hyperlink" Target="https://www.england.nhs.uk/personalisedcare/pcsp/" TargetMode="Externa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uture.nhs.uk/system/login?nextURL=%2Fconnect%2Eti%2FCommunityHealthServices%2Fview%3FobjectID%3D97297925" TargetMode="External"/><Relationship Id="rId29" Type="http://schemas.openxmlformats.org/officeDocument/2006/relationships/hyperlink" Target="https://www.england.nhs.uk/personalisedcare/supported-self-management/" TargetMode="External"/><Relationship Id="rId11" Type="http://schemas.openxmlformats.org/officeDocument/2006/relationships/header" Target="header1.xml"/><Relationship Id="rId24" Type="http://schemas.openxmlformats.org/officeDocument/2006/relationships/hyperlink" Target="https://future.nhs.uk/CommunityHealthServices/view?objectID=71432560" TargetMode="External"/><Relationship Id="rId32" Type="http://schemas.openxmlformats.org/officeDocument/2006/relationships/hyperlink" Target="https://future.nhs.uk/CommunityHealthServices/view?objectID=272312389" TargetMode="External"/><Relationship Id="rId37" Type="http://schemas.openxmlformats.org/officeDocument/2006/relationships/hyperlink" Target="https://www.england.nhs.uk/elective-care/best-practice-solutions/advice-and-guidance/" TargetMode="External"/><Relationship Id="rId40" Type="http://schemas.openxmlformats.org/officeDocument/2006/relationships/hyperlink" Target="https://www.england.nhs.uk/long-read/good-communication-with-patients-waiting-for-care-core-principles/" TargetMode="External"/><Relationship Id="rId45" Type="http://schemas.openxmlformats.org/officeDocument/2006/relationships/hyperlink" Target="https://www.gov.uk/government/publications/addressing-health-inequalities-across-allied-health-professional-ahp-services-a-guide-for-ahp-system-leader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future.nhs.uk/CommunityHealthServices/view?objectID=275622373" TargetMode="External"/><Relationship Id="rId31" Type="http://schemas.openxmlformats.org/officeDocument/2006/relationships/hyperlink" Target="https://future.nhs.uk/CommunityHealthServices/view?objectID=272312677" TargetMode="External"/><Relationship Id="rId44" Type="http://schemas.openxmlformats.org/officeDocument/2006/relationships/hyperlink" Target="https://www.england.nhs.uk/about/equality/equality-hub/national-healthcare-inequalities-improvement-programme/core20plus5/core20plus5-cyp/"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igital.nhs.uk/services/e-referral-service/document-library/developing-a-referral-management-plan" TargetMode="External"/><Relationship Id="rId27" Type="http://schemas.openxmlformats.org/officeDocument/2006/relationships/hyperlink" Target="https://www.nice.org.uk/guidance/ng204" TargetMode="External"/><Relationship Id="rId30" Type="http://schemas.openxmlformats.org/officeDocument/2006/relationships/hyperlink" Target="https://future.nhs.uk/CommunityHealthServices/view?objectID=69670864" TargetMode="External"/><Relationship Id="rId35" Type="http://schemas.openxmlformats.org/officeDocument/2006/relationships/hyperlink" Target="https://www.england.nhs.uk/long-read/good-communication-with-patients-waiting-for-care-core-principles/" TargetMode="External"/><Relationship Id="rId43" Type="http://schemas.openxmlformats.org/officeDocument/2006/relationships/hyperlink" Target="https://www.england.nhs.uk/about/equality/equality-hub/national-healthcare-inequalities-improvement-programme/core20plus5/" TargetMode="External"/><Relationship Id="rId48" Type="http://schemas.openxmlformats.org/officeDocument/2006/relationships/hyperlink" Target="https://www.england.nhs.uk/personalisedcare/social-prescribing/"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future.nhs.uk/CommunityHealthServices/view?objectID=97297925" TargetMode="External"/><Relationship Id="rId25" Type="http://schemas.openxmlformats.org/officeDocument/2006/relationships/hyperlink" Target="https://www.england.nhs.uk/long-read/experience-of-care-improvement-self-assessment/" TargetMode="External"/><Relationship Id="rId33" Type="http://schemas.openxmlformats.org/officeDocument/2006/relationships/hyperlink" Target="https://www.england.nhs.uk/publication/guidance-on-the-use-of-ai-enabled-ambient-scribing-products/" TargetMode="External"/><Relationship Id="rId38" Type="http://schemas.openxmlformats.org/officeDocument/2006/relationships/hyperlink" Target="https://www.england.nhs.uk/personalisedcare/supported-self-management/" TargetMode="External"/><Relationship Id="rId46" Type="http://schemas.openxmlformats.org/officeDocument/2006/relationships/hyperlink" Target="https://www.england.nhs.uk/mental-health/adults/nhs-talking-therapies/" TargetMode="External"/><Relationship Id="rId20" Type="http://schemas.openxmlformats.org/officeDocument/2006/relationships/hyperlink" Target="https://future.nhs.uk/CommunityHealthServices/view?objectID=69617456" TargetMode="External"/><Relationship Id="rId41" Type="http://schemas.openxmlformats.org/officeDocument/2006/relationships/hyperlink" Target="https://www.england.nhs.uk/long-read/reducing-did-not-attends-dnas-in-outpati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yperlink" Target="https://future.nhs.uk/CommunityHealthServices/view?objectID=275622373" TargetMode="External"/><Relationship Id="rId28" Type="http://schemas.openxmlformats.org/officeDocument/2006/relationships/hyperlink" Target="https://www.england.nhs.uk/long-read/implementing-pifu-guidance-local-health-care-systems/" TargetMode="External"/><Relationship Id="rId36" Type="http://schemas.openxmlformats.org/officeDocument/2006/relationships/hyperlink" Target="https://www.england.nhs.uk/accessible-information-standard/" TargetMode="External"/><Relationship Id="rId4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E6TJRWQ9\OneDrive%20-%20NHS\Desktop\New%20templates\NHS%20England%20Word%20template%202026%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56BF73A5F43C3989C30F47DF829DE"/>
        <w:category>
          <w:name w:val="General"/>
          <w:gallery w:val="placeholder"/>
        </w:category>
        <w:types>
          <w:type w:val="bbPlcHdr"/>
        </w:types>
        <w:behaviors>
          <w:behavior w:val="content"/>
        </w:behaviors>
        <w:guid w:val="{4783862A-F832-43C4-B698-6EA69CD32F6A}"/>
      </w:docPartPr>
      <w:docPartBody>
        <w:p w:rsidR="00000000" w:rsidRDefault="00000000">
          <w:pPr>
            <w:pStyle w:val="01056BF73A5F43C3989C30F47DF829DE"/>
          </w:pPr>
          <w:r w:rsidRPr="00DD77F0">
            <w:t>Title of document</w:t>
          </w:r>
        </w:p>
      </w:docPartBody>
    </w:docPart>
    <w:docPart>
      <w:docPartPr>
        <w:name w:val="12C7C2FA5FE943F6936A813792A0DDAD"/>
        <w:category>
          <w:name w:val="General"/>
          <w:gallery w:val="placeholder"/>
        </w:category>
        <w:types>
          <w:type w:val="bbPlcHdr"/>
        </w:types>
        <w:behaviors>
          <w:behavior w:val="content"/>
        </w:behaviors>
        <w:guid w:val="{3878FFE2-E8AB-44AF-BD35-C3E7759E4D7B}"/>
      </w:docPartPr>
      <w:docPartBody>
        <w:p w:rsidR="00000000" w:rsidRDefault="00000000">
          <w:pPr>
            <w:pStyle w:val="12C7C2FA5FE943F6936A813792A0DDAD"/>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1B"/>
    <w:rsid w:val="000754D3"/>
    <w:rsid w:val="00167BEF"/>
    <w:rsid w:val="00456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056BF73A5F43C3989C30F47DF829DE">
    <w:name w:val="01056BF73A5F43C3989C30F47DF829DE"/>
  </w:style>
  <w:style w:type="paragraph" w:customStyle="1" w:styleId="12C7C2FA5FE943F6936A813792A0DDAD">
    <w:name w:val="12C7C2FA5FE943F6936A813792A0DDAD"/>
  </w:style>
  <w:style w:type="paragraph" w:customStyle="1" w:styleId="66C36055A9EA4079B06EF68EF4B38090">
    <w:name w:val="66C36055A9EA4079B06EF68EF4B38090"/>
    <w:rsid w:val="00456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36be12-d36c-4123-b7c6-21e1d4620f73">
      <Terms xmlns="http://schemas.microsoft.com/office/infopath/2007/PartnerControls"/>
    </lcf76f155ced4ddcb4097134ff3c332f>
    <TaxCatchAll xmlns="06420201-ca31-43f2-9f44-bb29c8bc93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5CA5E08054FD459D4EF6A9E070BBBA" ma:contentTypeVersion="15" ma:contentTypeDescription="Create a new document." ma:contentTypeScope="" ma:versionID="c5734663e05cad59d36c8781a71a9224">
  <xsd:schema xmlns:xsd="http://www.w3.org/2001/XMLSchema" xmlns:xs="http://www.w3.org/2001/XMLSchema" xmlns:p="http://schemas.microsoft.com/office/2006/metadata/properties" xmlns:ns2="06420201-ca31-43f2-9f44-bb29c8bc933b" xmlns:ns3="c036be12-d36c-4123-b7c6-21e1d4620f73" targetNamespace="http://schemas.microsoft.com/office/2006/metadata/properties" ma:root="true" ma:fieldsID="2c47b7fd257a9c06ceab016bae7963da" ns2:_="" ns3:_="">
    <xsd:import namespace="06420201-ca31-43f2-9f44-bb29c8bc933b"/>
    <xsd:import namespace="c036be12-d36c-4123-b7c6-21e1d4620f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0201-ca31-43f2-9f44-bb29c8bc933b"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6f2a9a-ac2e-4383-b72e-d58fe814b8ce}" ma:internalName="TaxCatchAll" ma:showField="CatchAllData" ma:web="06420201-ca31-43f2-9f44-bb29c8bc93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36be12-d36c-4123-b7c6-21e1d4620f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c036be12-d36c-4123-b7c6-21e1d4620f73"/>
    <ds:schemaRef ds:uri="06420201-ca31-43f2-9f44-bb29c8bc933b"/>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6708E964-D04F-4710-BA33-F8AC8536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20201-ca31-43f2-9f44-bb29c8bc933b"/>
    <ds:schemaRef ds:uri="c036be12-d36c-4123-b7c6-21e1d4620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NHS England Word template 2026 v1.0</Template>
  <TotalTime>21</TotalTime>
  <Pages>15</Pages>
  <Words>2816</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Title (heading 1)</vt:lpstr>
    </vt:vector>
  </TitlesOfParts>
  <Company>Health &amp; Social Care Information Centre</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services waiting times action checklists</dc:title>
  <dc:subject/>
  <dc:creator>WATERMAN, Thomas (NHS ENGLAND - X24)</dc:creator>
  <cp:keywords/>
  <cp:lastModifiedBy>WATERMAN, Thomas (NHS ENGLAND)</cp:lastModifiedBy>
  <cp:revision>29</cp:revision>
  <cp:lastPrinted>2016-07-14T17:27:00Z</cp:lastPrinted>
  <dcterms:created xsi:type="dcterms:W3CDTF">2026-03-30T12:18:00Z</dcterms:created>
  <dcterms:modified xsi:type="dcterms:W3CDTF">2026-03-30T12:42:00Z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0x010100065CA5E08054FD459D4EF6A9E070BBBA</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