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40" w14:textId="5D9FC8AE" w:rsidR="006747EA" w:rsidRPr="006747EA" w:rsidRDefault="006747EA" w:rsidP="00F82554">
      <w:pPr>
        <w:pStyle w:val="Title"/>
        <w:spacing w:before="2600" w:after="480" w:line="276" w:lineRule="auto"/>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C412498" w14:textId="5902A5FB" w:rsidR="006747EA" w:rsidRPr="006747EA" w:rsidRDefault="006747EA" w:rsidP="00F82554">
      <w:pPr>
        <w:pStyle w:val="Subtitle"/>
        <w:spacing w:after="600" w:line="276" w:lineRule="auto"/>
        <w:rPr>
          <w:rFonts w:cs="Arial"/>
          <w:b/>
          <w:bCs/>
          <w:color w:val="0070C0"/>
          <w:sz w:val="32"/>
          <w:szCs w:val="32"/>
        </w:rPr>
      </w:pPr>
      <w:r w:rsidRPr="006747EA">
        <w:rPr>
          <w:rFonts w:cs="Arial"/>
          <w:b/>
          <w:bCs/>
          <w:color w:val="0070C0"/>
          <w:sz w:val="32"/>
          <w:szCs w:val="32"/>
        </w:rPr>
        <w:t>Review of a proposed contract award</w:t>
      </w:r>
    </w:p>
    <w:p w14:paraId="3A25A300" w14:textId="56F6A2F1" w:rsidR="006747EA" w:rsidRPr="006747EA" w:rsidRDefault="0054449E" w:rsidP="00F82554">
      <w:pPr>
        <w:pStyle w:val="Subtitle"/>
        <w:spacing w:after="1680" w:line="276" w:lineRule="auto"/>
        <w:rPr>
          <w:rFonts w:cs="Arial"/>
          <w:b/>
          <w:bCs/>
          <w:color w:val="0070C0"/>
          <w:sz w:val="32"/>
          <w:szCs w:val="32"/>
        </w:rPr>
      </w:pPr>
      <w:r>
        <w:rPr>
          <w:rFonts w:cs="Arial"/>
          <w:b/>
          <w:bCs/>
          <w:color w:val="0070C0"/>
          <w:sz w:val="32"/>
          <w:szCs w:val="32"/>
        </w:rPr>
        <w:t xml:space="preserve">Urgent </w:t>
      </w:r>
      <w:r w:rsidR="001F40EC">
        <w:rPr>
          <w:rFonts w:cs="Arial"/>
          <w:b/>
          <w:bCs/>
          <w:color w:val="0070C0"/>
          <w:sz w:val="32"/>
          <w:szCs w:val="32"/>
        </w:rPr>
        <w:t xml:space="preserve">Treatment Centre Clinical Service Provision </w:t>
      </w:r>
      <w:r w:rsidR="00CF1900">
        <w:rPr>
          <w:rFonts w:cs="Arial"/>
          <w:b/>
          <w:bCs/>
          <w:color w:val="0070C0"/>
          <w:sz w:val="32"/>
          <w:szCs w:val="32"/>
        </w:rPr>
        <w:t>in Hampshire</w:t>
      </w:r>
    </w:p>
    <w:p w14:paraId="1A289B71" w14:textId="02F7B413" w:rsidR="006747EA" w:rsidRPr="006747EA" w:rsidRDefault="006747EA" w:rsidP="00F82554">
      <w:pPr>
        <w:pStyle w:val="Subtitle"/>
        <w:spacing w:line="276" w:lineRule="auto"/>
        <w:rPr>
          <w:rFonts w:cs="Arial"/>
          <w:b/>
          <w:bCs/>
          <w:color w:val="0070C0"/>
          <w:szCs w:val="24"/>
        </w:rPr>
      </w:pPr>
      <w:r w:rsidRPr="006747EA">
        <w:rPr>
          <w:rFonts w:cs="Arial"/>
          <w:b/>
          <w:bCs/>
          <w:color w:val="0070C0"/>
          <w:szCs w:val="24"/>
        </w:rPr>
        <w:t xml:space="preserve">Case Reference: </w:t>
      </w:r>
      <w:r w:rsidR="00A2736B">
        <w:rPr>
          <w:rFonts w:cs="Arial"/>
          <w:b/>
          <w:bCs/>
          <w:color w:val="0070C0"/>
          <w:szCs w:val="24"/>
        </w:rPr>
        <w:t>CR0046-26</w:t>
      </w:r>
    </w:p>
    <w:p w14:paraId="22E0017D" w14:textId="4D73231A" w:rsidR="006747EA" w:rsidRPr="00180C50" w:rsidRDefault="00541C9A" w:rsidP="00F82554">
      <w:pPr>
        <w:pStyle w:val="Subtitle"/>
        <w:spacing w:line="276" w:lineRule="auto"/>
        <w:rPr>
          <w:rFonts w:cs="Arial"/>
          <w:b/>
          <w:bCs/>
          <w:color w:val="0070C0"/>
          <w:szCs w:val="24"/>
        </w:rPr>
      </w:pPr>
      <w:r>
        <w:rPr>
          <w:rFonts w:cs="Arial"/>
          <w:b/>
          <w:bCs/>
          <w:color w:val="0070C0"/>
          <w:szCs w:val="24"/>
        </w:rPr>
        <w:t>1 April</w:t>
      </w:r>
      <w:r w:rsidR="006747EA" w:rsidRPr="00180C50">
        <w:rPr>
          <w:rFonts w:cs="Arial"/>
          <w:b/>
          <w:bCs/>
          <w:color w:val="0070C0"/>
          <w:szCs w:val="24"/>
        </w:rPr>
        <w:t xml:space="preserve"> </w:t>
      </w:r>
      <w:r w:rsidR="00400236" w:rsidRPr="00180C50">
        <w:rPr>
          <w:rFonts w:cs="Arial"/>
          <w:b/>
          <w:bCs/>
          <w:color w:val="0070C0"/>
          <w:szCs w:val="24"/>
        </w:rPr>
        <w:t>202</w:t>
      </w:r>
      <w:r w:rsidR="00180C50">
        <w:rPr>
          <w:rFonts w:cs="Arial"/>
          <w:b/>
          <w:bCs/>
          <w:color w:val="0070C0"/>
          <w:szCs w:val="24"/>
        </w:rPr>
        <w:t>6</w:t>
      </w:r>
    </w:p>
    <w:p w14:paraId="3F741E4E" w14:textId="77777777" w:rsidR="006747EA" w:rsidRDefault="006747EA" w:rsidP="00F82554">
      <w:pPr>
        <w:spacing w:line="276" w:lineRule="auto"/>
        <w:rPr>
          <w:rFonts w:eastAsiaTheme="majorEastAsia" w:cs="Arial"/>
          <w:b/>
          <w:bCs/>
          <w:color w:val="0070C0"/>
          <w:spacing w:val="15"/>
          <w:sz w:val="28"/>
          <w:szCs w:val="24"/>
          <w:highlight w:val="yellow"/>
        </w:rPr>
      </w:pPr>
      <w:r>
        <w:rPr>
          <w:rFonts w:cs="Arial"/>
          <w:b/>
          <w:bCs/>
          <w:color w:val="0070C0"/>
          <w:szCs w:val="24"/>
          <w:highlight w:val="yellow"/>
        </w:rPr>
        <w:br w:type="page"/>
      </w:r>
    </w:p>
    <w:sdt>
      <w:sdtPr>
        <w:rPr>
          <w:b/>
          <w:bCs/>
          <w:sz w:val="32"/>
          <w:szCs w:val="32"/>
        </w:rPr>
        <w:id w:val="-601573918"/>
        <w:docPartObj>
          <w:docPartGallery w:val="Table of Contents"/>
          <w:docPartUnique/>
        </w:docPartObj>
      </w:sdtPr>
      <w:sdtEndPr>
        <w:rPr>
          <w:b w:val="0"/>
          <w:sz w:val="22"/>
          <w:szCs w:val="22"/>
        </w:rPr>
      </w:sdtEndPr>
      <w:sdtContent>
        <w:p w14:paraId="377A6F20" w14:textId="6691450B" w:rsidR="005B530D" w:rsidRPr="00901E4A" w:rsidRDefault="005B530D" w:rsidP="00901E4A">
          <w:pPr>
            <w:rPr>
              <w:b/>
              <w:bCs/>
              <w:sz w:val="32"/>
              <w:szCs w:val="32"/>
            </w:rPr>
          </w:pPr>
          <w:r w:rsidRPr="00901E4A">
            <w:rPr>
              <w:b/>
              <w:bCs/>
              <w:sz w:val="32"/>
              <w:szCs w:val="32"/>
            </w:rPr>
            <w:t>Contents</w:t>
          </w:r>
        </w:p>
        <w:p w14:paraId="47B14C45" w14:textId="714C44F9" w:rsidR="00541C9A" w:rsidRDefault="005B530D">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25930398" w:history="1">
            <w:r w:rsidR="00541C9A" w:rsidRPr="004B3A55">
              <w:rPr>
                <w:rStyle w:val="Hyperlink"/>
                <w:noProof/>
              </w:rPr>
              <w:t>1.</w:t>
            </w:r>
            <w:r w:rsidR="00541C9A">
              <w:rPr>
                <w:rFonts w:asciiTheme="minorHAnsi" w:eastAsiaTheme="minorEastAsia" w:hAnsiTheme="minorHAnsi"/>
                <w:noProof/>
                <w:sz w:val="24"/>
                <w:szCs w:val="24"/>
                <w:lang w:eastAsia="en-GB"/>
              </w:rPr>
              <w:tab/>
            </w:r>
            <w:r w:rsidR="00541C9A" w:rsidRPr="004B3A55">
              <w:rPr>
                <w:rStyle w:val="Hyperlink"/>
                <w:noProof/>
              </w:rPr>
              <w:t>Executive Summary</w:t>
            </w:r>
            <w:r w:rsidR="00541C9A">
              <w:rPr>
                <w:noProof/>
                <w:webHidden/>
              </w:rPr>
              <w:tab/>
            </w:r>
            <w:r w:rsidR="00541C9A">
              <w:rPr>
                <w:noProof/>
                <w:webHidden/>
              </w:rPr>
              <w:fldChar w:fldCharType="begin"/>
            </w:r>
            <w:r w:rsidR="00541C9A">
              <w:rPr>
                <w:noProof/>
                <w:webHidden/>
              </w:rPr>
              <w:instrText xml:space="preserve"> PAGEREF _Toc225930398 \h </w:instrText>
            </w:r>
            <w:r w:rsidR="00541C9A">
              <w:rPr>
                <w:noProof/>
                <w:webHidden/>
              </w:rPr>
            </w:r>
            <w:r w:rsidR="00541C9A">
              <w:rPr>
                <w:noProof/>
                <w:webHidden/>
              </w:rPr>
              <w:fldChar w:fldCharType="separate"/>
            </w:r>
            <w:r w:rsidR="009623F6">
              <w:rPr>
                <w:noProof/>
                <w:webHidden/>
              </w:rPr>
              <w:t>3</w:t>
            </w:r>
            <w:r w:rsidR="00541C9A">
              <w:rPr>
                <w:noProof/>
                <w:webHidden/>
              </w:rPr>
              <w:fldChar w:fldCharType="end"/>
            </w:r>
          </w:hyperlink>
        </w:p>
        <w:p w14:paraId="77C7BDFE" w14:textId="2CC987EF"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399" w:history="1">
            <w:r w:rsidRPr="004B3A55">
              <w:rPr>
                <w:rStyle w:val="Hyperlink"/>
                <w:noProof/>
              </w:rPr>
              <w:t>2.</w:t>
            </w:r>
            <w:r>
              <w:rPr>
                <w:rFonts w:asciiTheme="minorHAnsi" w:eastAsiaTheme="minorEastAsia" w:hAnsiTheme="minorHAnsi"/>
                <w:noProof/>
                <w:sz w:val="24"/>
                <w:szCs w:val="24"/>
                <w:lang w:eastAsia="en-GB"/>
              </w:rPr>
              <w:tab/>
            </w:r>
            <w:r w:rsidRPr="004B3A55">
              <w:rPr>
                <w:rStyle w:val="Hyperlink"/>
                <w:noProof/>
              </w:rPr>
              <w:t>Introduction</w:t>
            </w:r>
            <w:r>
              <w:rPr>
                <w:noProof/>
                <w:webHidden/>
              </w:rPr>
              <w:tab/>
            </w:r>
            <w:r>
              <w:rPr>
                <w:noProof/>
                <w:webHidden/>
              </w:rPr>
              <w:fldChar w:fldCharType="begin"/>
            </w:r>
            <w:r>
              <w:rPr>
                <w:noProof/>
                <w:webHidden/>
              </w:rPr>
              <w:instrText xml:space="preserve"> PAGEREF _Toc225930399 \h </w:instrText>
            </w:r>
            <w:r>
              <w:rPr>
                <w:noProof/>
                <w:webHidden/>
              </w:rPr>
            </w:r>
            <w:r>
              <w:rPr>
                <w:noProof/>
                <w:webHidden/>
              </w:rPr>
              <w:fldChar w:fldCharType="separate"/>
            </w:r>
            <w:r w:rsidR="009623F6">
              <w:rPr>
                <w:noProof/>
                <w:webHidden/>
              </w:rPr>
              <w:t>6</w:t>
            </w:r>
            <w:r>
              <w:rPr>
                <w:noProof/>
                <w:webHidden/>
              </w:rPr>
              <w:fldChar w:fldCharType="end"/>
            </w:r>
          </w:hyperlink>
        </w:p>
        <w:p w14:paraId="44D0ABB0" w14:textId="5F0A828B"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0" w:history="1">
            <w:r w:rsidRPr="004B3A55">
              <w:rPr>
                <w:rStyle w:val="Hyperlink"/>
                <w:noProof/>
              </w:rPr>
              <w:t>3.</w:t>
            </w:r>
            <w:r>
              <w:rPr>
                <w:rFonts w:asciiTheme="minorHAnsi" w:eastAsiaTheme="minorEastAsia" w:hAnsiTheme="minorHAnsi"/>
                <w:noProof/>
                <w:sz w:val="24"/>
                <w:szCs w:val="24"/>
                <w:lang w:eastAsia="en-GB"/>
              </w:rPr>
              <w:tab/>
            </w:r>
            <w:r w:rsidRPr="004B3A55">
              <w:rPr>
                <w:rStyle w:val="Hyperlink"/>
                <w:noProof/>
              </w:rPr>
              <w:t>Role of the Panel</w:t>
            </w:r>
            <w:r>
              <w:rPr>
                <w:noProof/>
                <w:webHidden/>
              </w:rPr>
              <w:tab/>
            </w:r>
            <w:r>
              <w:rPr>
                <w:noProof/>
                <w:webHidden/>
              </w:rPr>
              <w:fldChar w:fldCharType="begin"/>
            </w:r>
            <w:r>
              <w:rPr>
                <w:noProof/>
                <w:webHidden/>
              </w:rPr>
              <w:instrText xml:space="preserve"> PAGEREF _Toc225930400 \h </w:instrText>
            </w:r>
            <w:r>
              <w:rPr>
                <w:noProof/>
                <w:webHidden/>
              </w:rPr>
            </w:r>
            <w:r>
              <w:rPr>
                <w:noProof/>
                <w:webHidden/>
              </w:rPr>
              <w:fldChar w:fldCharType="separate"/>
            </w:r>
            <w:r w:rsidR="009623F6">
              <w:rPr>
                <w:noProof/>
                <w:webHidden/>
              </w:rPr>
              <w:t>6</w:t>
            </w:r>
            <w:r>
              <w:rPr>
                <w:noProof/>
                <w:webHidden/>
              </w:rPr>
              <w:fldChar w:fldCharType="end"/>
            </w:r>
          </w:hyperlink>
        </w:p>
        <w:p w14:paraId="145766DE" w14:textId="5772053F"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1" w:history="1">
            <w:r w:rsidRPr="004B3A55">
              <w:rPr>
                <w:rStyle w:val="Hyperlink"/>
                <w:noProof/>
              </w:rPr>
              <w:t>4.</w:t>
            </w:r>
            <w:r>
              <w:rPr>
                <w:rFonts w:asciiTheme="minorHAnsi" w:eastAsiaTheme="minorEastAsia" w:hAnsiTheme="minorHAnsi"/>
                <w:noProof/>
                <w:sz w:val="24"/>
                <w:szCs w:val="24"/>
                <w:lang w:eastAsia="en-GB"/>
              </w:rPr>
              <w:tab/>
            </w:r>
            <w:r w:rsidRPr="004B3A55">
              <w:rPr>
                <w:rStyle w:val="Hyperlink"/>
                <w:noProof/>
              </w:rPr>
              <w:t>Background to this review</w:t>
            </w:r>
            <w:r>
              <w:rPr>
                <w:noProof/>
                <w:webHidden/>
              </w:rPr>
              <w:tab/>
            </w:r>
            <w:r>
              <w:rPr>
                <w:noProof/>
                <w:webHidden/>
              </w:rPr>
              <w:fldChar w:fldCharType="begin"/>
            </w:r>
            <w:r>
              <w:rPr>
                <w:noProof/>
                <w:webHidden/>
              </w:rPr>
              <w:instrText xml:space="preserve"> PAGEREF _Toc225930401 \h </w:instrText>
            </w:r>
            <w:r>
              <w:rPr>
                <w:noProof/>
                <w:webHidden/>
              </w:rPr>
            </w:r>
            <w:r>
              <w:rPr>
                <w:noProof/>
                <w:webHidden/>
              </w:rPr>
              <w:fldChar w:fldCharType="separate"/>
            </w:r>
            <w:r w:rsidR="009623F6">
              <w:rPr>
                <w:noProof/>
                <w:webHidden/>
              </w:rPr>
              <w:t>7</w:t>
            </w:r>
            <w:r>
              <w:rPr>
                <w:noProof/>
                <w:webHidden/>
              </w:rPr>
              <w:fldChar w:fldCharType="end"/>
            </w:r>
          </w:hyperlink>
        </w:p>
        <w:p w14:paraId="781203A6" w14:textId="545A4A63"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2" w:history="1">
            <w:r w:rsidRPr="004B3A55">
              <w:rPr>
                <w:rStyle w:val="Hyperlink"/>
                <w:noProof/>
              </w:rPr>
              <w:t>5.</w:t>
            </w:r>
            <w:r>
              <w:rPr>
                <w:rFonts w:asciiTheme="minorHAnsi" w:eastAsiaTheme="minorEastAsia" w:hAnsiTheme="minorHAnsi"/>
                <w:noProof/>
                <w:sz w:val="24"/>
                <w:szCs w:val="24"/>
                <w:lang w:eastAsia="en-GB"/>
              </w:rPr>
              <w:tab/>
            </w:r>
            <w:r w:rsidRPr="004B3A55">
              <w:rPr>
                <w:rStyle w:val="Hyperlink"/>
                <w:noProof/>
              </w:rPr>
              <w:t>Representations by NHUC</w:t>
            </w:r>
            <w:r>
              <w:rPr>
                <w:noProof/>
                <w:webHidden/>
              </w:rPr>
              <w:tab/>
            </w:r>
            <w:r>
              <w:rPr>
                <w:noProof/>
                <w:webHidden/>
              </w:rPr>
              <w:fldChar w:fldCharType="begin"/>
            </w:r>
            <w:r>
              <w:rPr>
                <w:noProof/>
                <w:webHidden/>
              </w:rPr>
              <w:instrText xml:space="preserve"> PAGEREF _Toc225930402 \h </w:instrText>
            </w:r>
            <w:r>
              <w:rPr>
                <w:noProof/>
                <w:webHidden/>
              </w:rPr>
            </w:r>
            <w:r>
              <w:rPr>
                <w:noProof/>
                <w:webHidden/>
              </w:rPr>
              <w:fldChar w:fldCharType="separate"/>
            </w:r>
            <w:r w:rsidR="009623F6">
              <w:rPr>
                <w:noProof/>
                <w:webHidden/>
              </w:rPr>
              <w:t>9</w:t>
            </w:r>
            <w:r>
              <w:rPr>
                <w:noProof/>
                <w:webHidden/>
              </w:rPr>
              <w:fldChar w:fldCharType="end"/>
            </w:r>
          </w:hyperlink>
        </w:p>
        <w:p w14:paraId="6622EF90" w14:textId="28C60881"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3" w:history="1">
            <w:r w:rsidRPr="004B3A55">
              <w:rPr>
                <w:rStyle w:val="Hyperlink"/>
                <w:noProof/>
              </w:rPr>
              <w:t>6.</w:t>
            </w:r>
            <w:r>
              <w:rPr>
                <w:rFonts w:asciiTheme="minorHAnsi" w:eastAsiaTheme="minorEastAsia" w:hAnsiTheme="minorHAnsi"/>
                <w:noProof/>
                <w:sz w:val="24"/>
                <w:szCs w:val="24"/>
                <w:lang w:eastAsia="en-GB"/>
              </w:rPr>
              <w:tab/>
            </w:r>
            <w:r w:rsidRPr="004B3A55">
              <w:rPr>
                <w:rStyle w:val="Hyperlink"/>
                <w:noProof/>
              </w:rPr>
              <w:t>PSR regulations relevant to this review</w:t>
            </w:r>
            <w:r>
              <w:rPr>
                <w:noProof/>
                <w:webHidden/>
              </w:rPr>
              <w:tab/>
            </w:r>
            <w:r>
              <w:rPr>
                <w:noProof/>
                <w:webHidden/>
              </w:rPr>
              <w:fldChar w:fldCharType="begin"/>
            </w:r>
            <w:r>
              <w:rPr>
                <w:noProof/>
                <w:webHidden/>
              </w:rPr>
              <w:instrText xml:space="preserve"> PAGEREF _Toc225930403 \h </w:instrText>
            </w:r>
            <w:r>
              <w:rPr>
                <w:noProof/>
                <w:webHidden/>
              </w:rPr>
            </w:r>
            <w:r>
              <w:rPr>
                <w:noProof/>
                <w:webHidden/>
              </w:rPr>
              <w:fldChar w:fldCharType="separate"/>
            </w:r>
            <w:r w:rsidR="009623F6">
              <w:rPr>
                <w:noProof/>
                <w:webHidden/>
              </w:rPr>
              <w:t>10</w:t>
            </w:r>
            <w:r>
              <w:rPr>
                <w:noProof/>
                <w:webHidden/>
              </w:rPr>
              <w:fldChar w:fldCharType="end"/>
            </w:r>
          </w:hyperlink>
        </w:p>
        <w:p w14:paraId="654D55AE" w14:textId="67006363"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4" w:history="1">
            <w:r w:rsidRPr="004B3A55">
              <w:rPr>
                <w:rStyle w:val="Hyperlink"/>
                <w:noProof/>
              </w:rPr>
              <w:t>7.</w:t>
            </w:r>
            <w:r>
              <w:rPr>
                <w:rFonts w:asciiTheme="minorHAnsi" w:eastAsiaTheme="minorEastAsia" w:hAnsiTheme="minorHAnsi"/>
                <w:noProof/>
                <w:sz w:val="24"/>
                <w:szCs w:val="24"/>
                <w:lang w:eastAsia="en-GB"/>
              </w:rPr>
              <w:tab/>
            </w:r>
            <w:r w:rsidRPr="004B3A55">
              <w:rPr>
                <w:rStyle w:val="Hyperlink"/>
                <w:noProof/>
              </w:rPr>
              <w:t>Panel Assessment</w:t>
            </w:r>
            <w:r>
              <w:rPr>
                <w:noProof/>
                <w:webHidden/>
              </w:rPr>
              <w:tab/>
            </w:r>
            <w:r>
              <w:rPr>
                <w:noProof/>
                <w:webHidden/>
              </w:rPr>
              <w:fldChar w:fldCharType="begin"/>
            </w:r>
            <w:r>
              <w:rPr>
                <w:noProof/>
                <w:webHidden/>
              </w:rPr>
              <w:instrText xml:space="preserve"> PAGEREF _Toc225930404 \h </w:instrText>
            </w:r>
            <w:r>
              <w:rPr>
                <w:noProof/>
                <w:webHidden/>
              </w:rPr>
            </w:r>
            <w:r>
              <w:rPr>
                <w:noProof/>
                <w:webHidden/>
              </w:rPr>
              <w:fldChar w:fldCharType="separate"/>
            </w:r>
            <w:r w:rsidR="009623F6">
              <w:rPr>
                <w:noProof/>
                <w:webHidden/>
              </w:rPr>
              <w:t>11</w:t>
            </w:r>
            <w:r>
              <w:rPr>
                <w:noProof/>
                <w:webHidden/>
              </w:rPr>
              <w:fldChar w:fldCharType="end"/>
            </w:r>
          </w:hyperlink>
        </w:p>
        <w:p w14:paraId="62DCE367" w14:textId="181A01AC" w:rsidR="00541C9A" w:rsidRDefault="00541C9A">
          <w:pPr>
            <w:pStyle w:val="TOC2"/>
            <w:tabs>
              <w:tab w:val="right" w:leader="dot" w:pos="9016"/>
            </w:tabs>
            <w:rPr>
              <w:rFonts w:asciiTheme="minorHAnsi" w:eastAsiaTheme="minorEastAsia" w:hAnsiTheme="minorHAnsi"/>
              <w:noProof/>
              <w:sz w:val="24"/>
              <w:szCs w:val="24"/>
              <w:lang w:eastAsia="en-GB"/>
            </w:rPr>
          </w:pPr>
          <w:hyperlink w:anchor="_Toc225930405" w:history="1">
            <w:r w:rsidRPr="004B3A55">
              <w:rPr>
                <w:rStyle w:val="Hyperlink"/>
                <w:noProof/>
              </w:rPr>
              <w:t>7.1 HHFT’s decision to use the MSP process</w:t>
            </w:r>
            <w:r>
              <w:rPr>
                <w:noProof/>
                <w:webHidden/>
              </w:rPr>
              <w:tab/>
            </w:r>
            <w:r>
              <w:rPr>
                <w:noProof/>
                <w:webHidden/>
              </w:rPr>
              <w:fldChar w:fldCharType="begin"/>
            </w:r>
            <w:r>
              <w:rPr>
                <w:noProof/>
                <w:webHidden/>
              </w:rPr>
              <w:instrText xml:space="preserve"> PAGEREF _Toc225930405 \h </w:instrText>
            </w:r>
            <w:r>
              <w:rPr>
                <w:noProof/>
                <w:webHidden/>
              </w:rPr>
            </w:r>
            <w:r>
              <w:rPr>
                <w:noProof/>
                <w:webHidden/>
              </w:rPr>
              <w:fldChar w:fldCharType="separate"/>
            </w:r>
            <w:r w:rsidR="009623F6">
              <w:rPr>
                <w:noProof/>
                <w:webHidden/>
              </w:rPr>
              <w:t>12</w:t>
            </w:r>
            <w:r>
              <w:rPr>
                <w:noProof/>
                <w:webHidden/>
              </w:rPr>
              <w:fldChar w:fldCharType="end"/>
            </w:r>
          </w:hyperlink>
        </w:p>
        <w:p w14:paraId="4F0CD589" w14:textId="0C7A4AD8" w:rsidR="00541C9A" w:rsidRDefault="00541C9A">
          <w:pPr>
            <w:pStyle w:val="TOC2"/>
            <w:tabs>
              <w:tab w:val="right" w:leader="dot" w:pos="9016"/>
            </w:tabs>
            <w:rPr>
              <w:rFonts w:asciiTheme="minorHAnsi" w:eastAsiaTheme="minorEastAsia" w:hAnsiTheme="minorHAnsi"/>
              <w:noProof/>
              <w:sz w:val="24"/>
              <w:szCs w:val="24"/>
              <w:lang w:eastAsia="en-GB"/>
            </w:rPr>
          </w:pPr>
          <w:hyperlink w:anchor="_Toc225930406" w:history="1">
            <w:r w:rsidRPr="004B3A55">
              <w:rPr>
                <w:rStyle w:val="Hyperlink"/>
                <w:noProof/>
              </w:rPr>
              <w:t>7.2 HHFT’s conduct of the MSP process</w:t>
            </w:r>
            <w:r>
              <w:rPr>
                <w:noProof/>
                <w:webHidden/>
              </w:rPr>
              <w:tab/>
            </w:r>
            <w:r>
              <w:rPr>
                <w:noProof/>
                <w:webHidden/>
              </w:rPr>
              <w:fldChar w:fldCharType="begin"/>
            </w:r>
            <w:r>
              <w:rPr>
                <w:noProof/>
                <w:webHidden/>
              </w:rPr>
              <w:instrText xml:space="preserve"> PAGEREF _Toc225930406 \h </w:instrText>
            </w:r>
            <w:r>
              <w:rPr>
                <w:noProof/>
                <w:webHidden/>
              </w:rPr>
            </w:r>
            <w:r>
              <w:rPr>
                <w:noProof/>
                <w:webHidden/>
              </w:rPr>
              <w:fldChar w:fldCharType="separate"/>
            </w:r>
            <w:r w:rsidR="009623F6">
              <w:rPr>
                <w:noProof/>
                <w:webHidden/>
              </w:rPr>
              <w:t>16</w:t>
            </w:r>
            <w:r>
              <w:rPr>
                <w:noProof/>
                <w:webHidden/>
              </w:rPr>
              <w:fldChar w:fldCharType="end"/>
            </w:r>
          </w:hyperlink>
        </w:p>
        <w:p w14:paraId="3A68D0EC" w14:textId="76AAF1D9" w:rsidR="00541C9A" w:rsidRDefault="00541C9A">
          <w:pPr>
            <w:pStyle w:val="TOC2"/>
            <w:tabs>
              <w:tab w:val="right" w:leader="dot" w:pos="9016"/>
            </w:tabs>
            <w:rPr>
              <w:rFonts w:asciiTheme="minorHAnsi" w:eastAsiaTheme="minorEastAsia" w:hAnsiTheme="minorHAnsi"/>
              <w:noProof/>
              <w:sz w:val="24"/>
              <w:szCs w:val="24"/>
              <w:lang w:eastAsia="en-GB"/>
            </w:rPr>
          </w:pPr>
          <w:hyperlink w:anchor="_Toc225930407" w:history="1">
            <w:r w:rsidRPr="004B3A55">
              <w:rPr>
                <w:rStyle w:val="Hyperlink"/>
                <w:noProof/>
              </w:rPr>
              <w:t>7.3 HHFT’s response to NHUC’s representations</w:t>
            </w:r>
            <w:r>
              <w:rPr>
                <w:noProof/>
                <w:webHidden/>
              </w:rPr>
              <w:tab/>
            </w:r>
            <w:r>
              <w:rPr>
                <w:noProof/>
                <w:webHidden/>
              </w:rPr>
              <w:fldChar w:fldCharType="begin"/>
            </w:r>
            <w:r>
              <w:rPr>
                <w:noProof/>
                <w:webHidden/>
              </w:rPr>
              <w:instrText xml:space="preserve"> PAGEREF _Toc225930407 \h </w:instrText>
            </w:r>
            <w:r>
              <w:rPr>
                <w:noProof/>
                <w:webHidden/>
              </w:rPr>
            </w:r>
            <w:r>
              <w:rPr>
                <w:noProof/>
                <w:webHidden/>
              </w:rPr>
              <w:fldChar w:fldCharType="separate"/>
            </w:r>
            <w:r w:rsidR="009623F6">
              <w:rPr>
                <w:noProof/>
                <w:webHidden/>
              </w:rPr>
              <w:t>25</w:t>
            </w:r>
            <w:r>
              <w:rPr>
                <w:noProof/>
                <w:webHidden/>
              </w:rPr>
              <w:fldChar w:fldCharType="end"/>
            </w:r>
          </w:hyperlink>
        </w:p>
        <w:p w14:paraId="6223B3A4" w14:textId="6BE41027" w:rsidR="00541C9A" w:rsidRDefault="00541C9A">
          <w:pPr>
            <w:pStyle w:val="TOC1"/>
            <w:tabs>
              <w:tab w:val="left" w:pos="480"/>
              <w:tab w:val="right" w:leader="dot" w:pos="9016"/>
            </w:tabs>
            <w:rPr>
              <w:rFonts w:asciiTheme="minorHAnsi" w:eastAsiaTheme="minorEastAsia" w:hAnsiTheme="minorHAnsi"/>
              <w:noProof/>
              <w:sz w:val="24"/>
              <w:szCs w:val="24"/>
              <w:lang w:eastAsia="en-GB"/>
            </w:rPr>
          </w:pPr>
          <w:hyperlink w:anchor="_Toc225930408" w:history="1">
            <w:r w:rsidRPr="004B3A55">
              <w:rPr>
                <w:rStyle w:val="Hyperlink"/>
                <w:noProof/>
              </w:rPr>
              <w:t>8.</w:t>
            </w:r>
            <w:r>
              <w:rPr>
                <w:rFonts w:asciiTheme="minorHAnsi" w:eastAsiaTheme="minorEastAsia" w:hAnsiTheme="minorHAnsi"/>
                <w:noProof/>
                <w:sz w:val="24"/>
                <w:szCs w:val="24"/>
                <w:lang w:eastAsia="en-GB"/>
              </w:rPr>
              <w:tab/>
            </w:r>
            <w:r w:rsidRPr="004B3A55">
              <w:rPr>
                <w:rStyle w:val="Hyperlink"/>
                <w:noProof/>
              </w:rPr>
              <w:t>Panel Advice</w:t>
            </w:r>
            <w:r>
              <w:rPr>
                <w:noProof/>
                <w:webHidden/>
              </w:rPr>
              <w:tab/>
            </w:r>
            <w:r>
              <w:rPr>
                <w:noProof/>
                <w:webHidden/>
              </w:rPr>
              <w:fldChar w:fldCharType="begin"/>
            </w:r>
            <w:r>
              <w:rPr>
                <w:noProof/>
                <w:webHidden/>
              </w:rPr>
              <w:instrText xml:space="preserve"> PAGEREF _Toc225930408 \h </w:instrText>
            </w:r>
            <w:r>
              <w:rPr>
                <w:noProof/>
                <w:webHidden/>
              </w:rPr>
            </w:r>
            <w:r>
              <w:rPr>
                <w:noProof/>
                <w:webHidden/>
              </w:rPr>
              <w:fldChar w:fldCharType="separate"/>
            </w:r>
            <w:r w:rsidR="009623F6">
              <w:rPr>
                <w:noProof/>
                <w:webHidden/>
              </w:rPr>
              <w:t>27</w:t>
            </w:r>
            <w:r>
              <w:rPr>
                <w:noProof/>
                <w:webHidden/>
              </w:rPr>
              <w:fldChar w:fldCharType="end"/>
            </w:r>
          </w:hyperlink>
        </w:p>
        <w:p w14:paraId="0EAF867A" w14:textId="42F8356E" w:rsidR="00541C9A" w:rsidRDefault="00541C9A">
          <w:pPr>
            <w:pStyle w:val="TOC1"/>
            <w:tabs>
              <w:tab w:val="right" w:leader="dot" w:pos="9016"/>
            </w:tabs>
            <w:rPr>
              <w:rFonts w:asciiTheme="minorHAnsi" w:eastAsiaTheme="minorEastAsia" w:hAnsiTheme="minorHAnsi"/>
              <w:noProof/>
              <w:sz w:val="24"/>
              <w:szCs w:val="24"/>
              <w:lang w:eastAsia="en-GB"/>
            </w:rPr>
          </w:pPr>
          <w:hyperlink w:anchor="_Toc225930409" w:history="1">
            <w:r w:rsidRPr="004B3A55">
              <w:rPr>
                <w:rStyle w:val="Hyperlink"/>
                <w:noProof/>
              </w:rPr>
              <w:t>Appendix 1: Panel review of HHFT’s response to NHUC’s information requests</w:t>
            </w:r>
            <w:r>
              <w:rPr>
                <w:noProof/>
                <w:webHidden/>
              </w:rPr>
              <w:tab/>
            </w:r>
            <w:r>
              <w:rPr>
                <w:noProof/>
                <w:webHidden/>
              </w:rPr>
              <w:fldChar w:fldCharType="begin"/>
            </w:r>
            <w:r>
              <w:rPr>
                <w:noProof/>
                <w:webHidden/>
              </w:rPr>
              <w:instrText xml:space="preserve"> PAGEREF _Toc225930409 \h </w:instrText>
            </w:r>
            <w:r>
              <w:rPr>
                <w:noProof/>
                <w:webHidden/>
              </w:rPr>
            </w:r>
            <w:r>
              <w:rPr>
                <w:noProof/>
                <w:webHidden/>
              </w:rPr>
              <w:fldChar w:fldCharType="separate"/>
            </w:r>
            <w:r w:rsidR="009623F6">
              <w:rPr>
                <w:noProof/>
                <w:webHidden/>
              </w:rPr>
              <w:t>30</w:t>
            </w:r>
            <w:r>
              <w:rPr>
                <w:noProof/>
                <w:webHidden/>
              </w:rPr>
              <w:fldChar w:fldCharType="end"/>
            </w:r>
          </w:hyperlink>
        </w:p>
        <w:p w14:paraId="6F05FCE2" w14:textId="7EC6BF5F" w:rsidR="005B530D" w:rsidRDefault="005B530D" w:rsidP="00F82554">
          <w:pPr>
            <w:spacing w:line="276" w:lineRule="auto"/>
          </w:pPr>
          <w:r>
            <w:rPr>
              <w:b/>
              <w:bCs/>
            </w:rPr>
            <w:fldChar w:fldCharType="end"/>
          </w:r>
        </w:p>
      </w:sdtContent>
    </w:sdt>
    <w:p w14:paraId="08CB59AE" w14:textId="72FD3851" w:rsidR="00E74C7C" w:rsidRDefault="00E74C7C" w:rsidP="00F82554">
      <w:pPr>
        <w:spacing w:line="276" w:lineRule="auto"/>
        <w:rPr>
          <w:rFonts w:eastAsiaTheme="majorEastAsia" w:cs="Arial"/>
          <w:b/>
          <w:bCs/>
          <w:color w:val="0070C0"/>
          <w:spacing w:val="15"/>
          <w:sz w:val="28"/>
          <w:szCs w:val="24"/>
        </w:rPr>
      </w:pPr>
      <w:r>
        <w:rPr>
          <w:rFonts w:cs="Arial"/>
          <w:b/>
          <w:bCs/>
          <w:color w:val="0070C0"/>
          <w:szCs w:val="24"/>
        </w:rPr>
        <w:br w:type="page"/>
      </w:r>
    </w:p>
    <w:p w14:paraId="7766794D" w14:textId="789F19C4" w:rsidR="007B56C4" w:rsidRPr="00DB70FE" w:rsidRDefault="00E74C7C" w:rsidP="0001234D">
      <w:pPr>
        <w:pStyle w:val="Heading1"/>
        <w:ind w:left="567" w:hanging="567"/>
      </w:pPr>
      <w:bookmarkStart w:id="0" w:name="_Toc225930398"/>
      <w:r w:rsidRPr="00DB70FE">
        <w:lastRenderedPageBreak/>
        <w:t>Executive Summary</w:t>
      </w:r>
      <w:bookmarkEnd w:id="0"/>
    </w:p>
    <w:p w14:paraId="7D3B1BC5" w14:textId="68EF0972" w:rsidR="004723E3" w:rsidRDefault="004723E3" w:rsidP="004723E3">
      <w:pPr>
        <w:pStyle w:val="ListParagraph"/>
      </w:pPr>
      <w:r>
        <w:t xml:space="preserve">On 20 January 2026, North Hampshire Urgent Care Limited (NHUC) asked the Panel to advise on the provider selection process conducted by Hampshire Hospitals NHS Foundation Trust (HHFT) for its Urgent Treatment Centre Clinical Service Provision (UTC service) at </w:t>
      </w:r>
      <w:r w:rsidRPr="00D26940">
        <w:t>Basingstoke and North Hampshire Hospital</w:t>
      </w:r>
      <w:r>
        <w:t xml:space="preserve"> (Basingstoke Hospital) and at </w:t>
      </w:r>
      <w:r w:rsidRPr="00D26940">
        <w:t>Royal Hampshire County Hospital</w:t>
      </w:r>
      <w:r>
        <w:t xml:space="preserve"> (Royal Hampshire Hospital) in Winchester.</w:t>
      </w:r>
    </w:p>
    <w:p w14:paraId="5FA5525F" w14:textId="64BB0DE7" w:rsidR="004723E3" w:rsidRPr="004832D6" w:rsidRDefault="004723E3" w:rsidP="004723E3">
      <w:pPr>
        <w:pStyle w:val="ListParagraph"/>
      </w:pPr>
      <w:r w:rsidRPr="004832D6">
        <w:t>The Panel accepted NHUC’s request on 21 January 2026 in accordance with its case acceptance criteria.</w:t>
      </w:r>
    </w:p>
    <w:p w14:paraId="48363B58" w14:textId="1F6B9A3E" w:rsidR="00A042C4" w:rsidRDefault="00A042C4" w:rsidP="00A042C4">
      <w:pPr>
        <w:pStyle w:val="ListParagraph"/>
      </w:pPr>
      <w:r w:rsidRPr="00D26940">
        <w:t xml:space="preserve">HHFT </w:t>
      </w:r>
      <w:r>
        <w:t>is</w:t>
      </w:r>
      <w:r w:rsidRPr="00D26940">
        <w:t xml:space="preserve"> seeking to </w:t>
      </w:r>
      <w:r>
        <w:t xml:space="preserve">award a contract for a UTC service at Basingstoke Hospital and, potentially, </w:t>
      </w:r>
      <w:r w:rsidRPr="00D26940">
        <w:t>Royal Hampshire Hospital</w:t>
      </w:r>
      <w:r>
        <w:t>. The UTC service at Basingstoke Hospital was established in November 2024, while the UTC service at Royal Hampshire Hospital will be a new service.</w:t>
      </w:r>
    </w:p>
    <w:p w14:paraId="1179761E" w14:textId="7120246F" w:rsidR="00A042C4" w:rsidRDefault="00A042C4" w:rsidP="00A042C4">
      <w:pPr>
        <w:pStyle w:val="ListParagraph"/>
      </w:pPr>
      <w:r>
        <w:t>NHUC is the incumbent provider of the UTC service at Basingstoke Hospital, having operated the service since its establishment. With NHUC’s contract for the UTC service at Basingstoke Hospital coming to an end on 31 March 2026, HHFT published a notice on 26 September 2025 setting out its intention to follow the Most Suitable Provider (MSP) process to award a new contract and inviting potential providers to express interest.</w:t>
      </w:r>
    </w:p>
    <w:p w14:paraId="6C47C449" w14:textId="36AF8665" w:rsidR="00A042C4" w:rsidRDefault="00A042C4" w:rsidP="00A042C4">
      <w:pPr>
        <w:pStyle w:val="ListParagraph"/>
      </w:pPr>
      <w:r>
        <w:t>Eleven providers expressed interest following HHFT’s notice and, on 4 November 2025, HHFT shared a “Provider Assessment Pack” with these providers. P</w:t>
      </w:r>
      <w:r w:rsidRPr="008C1759">
        <w:t xml:space="preserve">roviders were </w:t>
      </w:r>
      <w:r>
        <w:t>asked</w:t>
      </w:r>
      <w:r w:rsidRPr="008C1759">
        <w:t xml:space="preserve"> </w:t>
      </w:r>
      <w:r>
        <w:t>to respond to questions under the five key criteria set out in Regulation 5 of the PSR regulations.</w:t>
      </w:r>
      <w:r w:rsidRPr="002318F2">
        <w:t xml:space="preserve"> </w:t>
      </w:r>
      <w:r>
        <w:t>Providers were also invited to set out variant proposals for an alternative model of care.</w:t>
      </w:r>
    </w:p>
    <w:p w14:paraId="18421C08" w14:textId="1B733C94" w:rsidR="00A042C4" w:rsidRDefault="00A042C4" w:rsidP="00A042C4">
      <w:pPr>
        <w:pStyle w:val="ListParagraph"/>
      </w:pPr>
      <w:r>
        <w:t>The Provider Assessment Pack identified two lots</w:t>
      </w:r>
      <w:r w:rsidRPr="00D26940">
        <w:t xml:space="preserve">, </w:t>
      </w:r>
      <w:r>
        <w:t xml:space="preserve">where Lot 1 was for </w:t>
      </w:r>
      <w:r w:rsidRPr="00D26940">
        <w:t xml:space="preserve">the UTC </w:t>
      </w:r>
      <w:r>
        <w:t>at</w:t>
      </w:r>
      <w:r w:rsidRPr="00D26940">
        <w:t xml:space="preserve"> Basingstoke </w:t>
      </w:r>
      <w:r>
        <w:t xml:space="preserve">Hospital </w:t>
      </w:r>
      <w:r w:rsidRPr="00D26940">
        <w:t xml:space="preserve">and </w:t>
      </w:r>
      <w:r>
        <w:t xml:space="preserve">Lot 2 was for the yet to be established </w:t>
      </w:r>
      <w:r w:rsidRPr="00D26940">
        <w:t xml:space="preserve">UTC </w:t>
      </w:r>
      <w:r>
        <w:t>at Royal Hampshire Hospital</w:t>
      </w:r>
      <w:r w:rsidRPr="00D26940">
        <w:t>.</w:t>
      </w:r>
      <w:r>
        <w:t xml:space="preserve"> The contract for Lot 1, which was intended to commence on 1 April 2026, has a three-year duration with the option of a two-year extension and a total estimated value of £5 million (excluding VAT). The contract for Lot 2 is expected to have the same duration as the Lot 1 contract, albeit with an anticipated start date in Autumn 2026, and a total value of £4.5 million (excluding VAT).</w:t>
      </w:r>
    </w:p>
    <w:p w14:paraId="3B3A2DF5" w14:textId="77777777" w:rsidR="00A042C4" w:rsidRPr="008C1759" w:rsidRDefault="00A042C4" w:rsidP="00A042C4">
      <w:pPr>
        <w:pStyle w:val="ListParagraph"/>
      </w:pPr>
      <w:r w:rsidRPr="00E30435">
        <w:t>T</w:t>
      </w:r>
      <w:r w:rsidRPr="008C1759">
        <w:t xml:space="preserve">he </w:t>
      </w:r>
      <w:r>
        <w:t xml:space="preserve">initial </w:t>
      </w:r>
      <w:r w:rsidRPr="008C1759">
        <w:t xml:space="preserve">deadline for responses </w:t>
      </w:r>
      <w:r>
        <w:t xml:space="preserve">of </w:t>
      </w:r>
      <w:r w:rsidRPr="002F2609">
        <w:t>14</w:t>
      </w:r>
      <w:r>
        <w:t xml:space="preserve"> November 2025 </w:t>
      </w:r>
      <w:r w:rsidRPr="008C1759">
        <w:t>was extended</w:t>
      </w:r>
      <w:r>
        <w:t xml:space="preserve"> twice with six providers, including NHUC, submitting proposals by the final deadline of</w:t>
      </w:r>
      <w:r w:rsidRPr="008C1759">
        <w:t xml:space="preserve"> 5</w:t>
      </w:r>
      <w:r>
        <w:t> </w:t>
      </w:r>
      <w:r w:rsidRPr="008C1759">
        <w:t>December 2025</w:t>
      </w:r>
      <w:r>
        <w:t>.</w:t>
      </w:r>
    </w:p>
    <w:p w14:paraId="74AF59A8" w14:textId="06C4F75A" w:rsidR="00A042C4" w:rsidRDefault="00A042C4" w:rsidP="00A042C4">
      <w:pPr>
        <w:pStyle w:val="ListParagraph"/>
      </w:pPr>
      <w:r>
        <w:t xml:space="preserve">On 29 December 2025, HHFT wrote to </w:t>
      </w:r>
      <w:proofErr w:type="spellStart"/>
      <w:r>
        <w:t>Atrumed</w:t>
      </w:r>
      <w:proofErr w:type="spellEnd"/>
      <w:r>
        <w:t xml:space="preserve"> saying that it was the preferred provider for Lots 1 and 2. That same day, </w:t>
      </w:r>
      <w:r w:rsidRPr="00F52D0B">
        <w:t>HHFT published an intention to award notice</w:t>
      </w:r>
      <w:r>
        <w:t>, which suggested that HHFT only intended to award a contract for Lot 1.</w:t>
      </w:r>
    </w:p>
    <w:p w14:paraId="060F6D8F" w14:textId="77777777" w:rsidR="00A042C4" w:rsidRDefault="00A042C4" w:rsidP="00A042C4">
      <w:pPr>
        <w:pStyle w:val="ListParagraph"/>
      </w:pPr>
      <w:r>
        <w:t xml:space="preserve">On 8 January 2026, before the end of the standstill period, NHUC raised concerns with HHFT about the provider selection process and requested information about the process. HHFT responded to NHUC’s representations and information requests on 15 January and at the same time communicated its further decision to continue with the contract award to </w:t>
      </w:r>
      <w:proofErr w:type="spellStart"/>
      <w:r>
        <w:t>Atrumed</w:t>
      </w:r>
      <w:proofErr w:type="spellEnd"/>
      <w:r>
        <w:t>.</w:t>
      </w:r>
    </w:p>
    <w:p w14:paraId="7E1367FD" w14:textId="3B40F417" w:rsidR="00A042C4" w:rsidRDefault="00E052C7" w:rsidP="00A042C4">
      <w:pPr>
        <w:pStyle w:val="ListParagraph"/>
        <w:contextualSpacing/>
      </w:pPr>
      <w:r>
        <w:lastRenderedPageBreak/>
        <w:t>T</w:t>
      </w:r>
      <w:r w:rsidR="00A042C4">
        <w:t>he Panel’s assessment of whether HHFT</w:t>
      </w:r>
      <w:r w:rsidR="0029335D" w:rsidRPr="0029335D">
        <w:t xml:space="preserve"> </w:t>
      </w:r>
      <w:r w:rsidR="0029335D">
        <w:t>breached the PSR regulations</w:t>
      </w:r>
      <w:r w:rsidR="00852253">
        <w:t xml:space="preserve"> when </w:t>
      </w:r>
      <w:r w:rsidR="00A042C4">
        <w:t xml:space="preserve">conducting the provider selection process for its UTC service </w:t>
      </w:r>
      <w:r>
        <w:t>reviews</w:t>
      </w:r>
      <w:r w:rsidR="00A042C4">
        <w:t>:</w:t>
      </w:r>
    </w:p>
    <w:p w14:paraId="49895ABB" w14:textId="5CE0ECB2" w:rsidR="00A042C4" w:rsidRDefault="00A042C4" w:rsidP="00A042C4">
      <w:pPr>
        <w:pStyle w:val="ListParagraph"/>
        <w:numPr>
          <w:ilvl w:val="0"/>
          <w:numId w:val="9"/>
        </w:numPr>
        <w:ind w:left="1134"/>
        <w:contextualSpacing/>
      </w:pPr>
      <w:r>
        <w:t xml:space="preserve">first, </w:t>
      </w:r>
      <w:r w:rsidR="0087032B">
        <w:t>HHFT’s</w:t>
      </w:r>
      <w:r>
        <w:t xml:space="preserve"> decision to use the MSP process;</w:t>
      </w:r>
    </w:p>
    <w:p w14:paraId="356AA1A9" w14:textId="64062FC5" w:rsidR="00A042C4" w:rsidRDefault="00A042C4" w:rsidP="00A042C4">
      <w:pPr>
        <w:pStyle w:val="ListParagraph"/>
        <w:numPr>
          <w:ilvl w:val="0"/>
          <w:numId w:val="9"/>
        </w:numPr>
        <w:ind w:left="1134"/>
        <w:contextualSpacing/>
      </w:pPr>
      <w:r>
        <w:t xml:space="preserve">second, </w:t>
      </w:r>
      <w:r w:rsidR="0087032B">
        <w:t>HHFT’s</w:t>
      </w:r>
      <w:r>
        <w:t xml:space="preserve"> conduct of the MSP process; and</w:t>
      </w:r>
    </w:p>
    <w:p w14:paraId="56C88F2F" w14:textId="75A82880" w:rsidR="00A042C4" w:rsidRDefault="00A042C4" w:rsidP="00A042C4">
      <w:pPr>
        <w:pStyle w:val="ListParagraph"/>
        <w:numPr>
          <w:ilvl w:val="0"/>
          <w:numId w:val="9"/>
        </w:numPr>
        <w:ind w:left="1134" w:hanging="357"/>
      </w:pPr>
      <w:r>
        <w:t xml:space="preserve">finally, </w:t>
      </w:r>
      <w:r w:rsidR="0087032B">
        <w:t xml:space="preserve">HHFT’s </w:t>
      </w:r>
      <w:r>
        <w:t>respon</w:t>
      </w:r>
      <w:r w:rsidR="0087032B">
        <w:t xml:space="preserve">se </w:t>
      </w:r>
      <w:r>
        <w:t>to NHUC’s representations.</w:t>
      </w:r>
    </w:p>
    <w:p w14:paraId="66C94F4D" w14:textId="708FCB18" w:rsidR="00A042C4" w:rsidRDefault="0087032B" w:rsidP="00A042C4">
      <w:pPr>
        <w:pStyle w:val="ListParagraph"/>
      </w:pPr>
      <w:r>
        <w:t>T</w:t>
      </w:r>
      <w:r w:rsidR="00A042C4" w:rsidRPr="008A234C">
        <w:t>he Panel’s findings are as follows:</w:t>
      </w:r>
    </w:p>
    <w:p w14:paraId="53F428CB" w14:textId="77777777" w:rsidR="00A042C4" w:rsidRPr="009F5235" w:rsidRDefault="00A042C4" w:rsidP="00A042C4">
      <w:pPr>
        <w:pStyle w:val="ListParagraph"/>
        <w:numPr>
          <w:ilvl w:val="0"/>
          <w:numId w:val="10"/>
        </w:numPr>
        <w:ind w:left="1134"/>
      </w:pPr>
      <w:r w:rsidRPr="009F5235">
        <w:t xml:space="preserve">First, </w:t>
      </w:r>
      <w:r>
        <w:t xml:space="preserve">the Panel finds that HHFT, in using the MSP process, breached the PSR regulations, and in particular Regulation 6(6)(c), which requires the commissioner to be of </w:t>
      </w:r>
      <w:r w:rsidRPr="001113E0">
        <w:t>the view, taking into account likely providers and all relevant information available at the time, that it is likely to be able to identify the most suitable provider</w:t>
      </w:r>
      <w:r w:rsidRPr="00361115">
        <w:t>.</w:t>
      </w:r>
    </w:p>
    <w:p w14:paraId="58CDDC32" w14:textId="348CA631" w:rsidR="00A042C4" w:rsidRPr="009F5235" w:rsidRDefault="00A042C4" w:rsidP="00A042C4">
      <w:pPr>
        <w:pStyle w:val="ListParagraph"/>
        <w:numPr>
          <w:ilvl w:val="0"/>
          <w:numId w:val="10"/>
        </w:numPr>
        <w:ind w:left="1134"/>
      </w:pPr>
      <w:r w:rsidRPr="009F5235">
        <w:t xml:space="preserve">Second, </w:t>
      </w:r>
      <w:r>
        <w:t xml:space="preserve">the Panel finds that HHFT, in failing to keep records regarding its decision to use the MSP process or </w:t>
      </w:r>
      <w:r w:rsidR="00BC4ABF">
        <w:t>to continue using the MSP process following expressions of interest, breached the PSR regulations, and in particular Regulation 24(g) which requires commissioners to keep a record of the reasons for decisions made under the PSR regulations</w:t>
      </w:r>
      <w:r w:rsidRPr="00361115">
        <w:t>.</w:t>
      </w:r>
    </w:p>
    <w:p w14:paraId="6C854BF1" w14:textId="7938D938" w:rsidR="00A042C4" w:rsidRPr="00361115" w:rsidRDefault="00A042C4" w:rsidP="00A042C4">
      <w:pPr>
        <w:pStyle w:val="ListParagraph"/>
        <w:numPr>
          <w:ilvl w:val="0"/>
          <w:numId w:val="10"/>
        </w:numPr>
        <w:ind w:left="1134"/>
      </w:pPr>
      <w:r w:rsidRPr="009F5235">
        <w:t xml:space="preserve">Third, </w:t>
      </w:r>
      <w:r>
        <w:t xml:space="preserve">the Panel finds that HHFT, in carrying out the MSP process, breached the PSR regulations, and in particular Regulations 10(1)(b) and 10(6) which requires commissioners to assess potential providers without a </w:t>
      </w:r>
      <w:proofErr w:type="gramStart"/>
      <w:r>
        <w:t>competition</w:t>
      </w:r>
      <w:proofErr w:type="gramEnd"/>
      <w:r>
        <w:t xml:space="preserve"> or an assessment of providers’ offers</w:t>
      </w:r>
      <w:r w:rsidRPr="00361115">
        <w:t>.</w:t>
      </w:r>
    </w:p>
    <w:p w14:paraId="50BF5E53" w14:textId="77777777" w:rsidR="00A042C4" w:rsidRDefault="00A042C4" w:rsidP="00A042C4">
      <w:pPr>
        <w:pStyle w:val="ListParagraph"/>
        <w:numPr>
          <w:ilvl w:val="0"/>
          <w:numId w:val="10"/>
        </w:numPr>
        <w:ind w:left="1134"/>
      </w:pPr>
      <w:r>
        <w:t>Fourth, the Panel finds that HHFT, in selecting a provider for the Basingstoke Hospital UTC based on proposals that were prepared on the basis of a single operator being selected for the UTC services at Basingstoke Hospital and Royal Hampshire Hospitals, breached the PSR regulations, and in particular Regulation 4(1)(b) which requires commissioners to act transparently and fairly.</w:t>
      </w:r>
    </w:p>
    <w:p w14:paraId="58928711" w14:textId="0E5C7F76" w:rsidR="00A042C4" w:rsidRDefault="00A042C4" w:rsidP="00A042C4">
      <w:pPr>
        <w:pStyle w:val="ListParagraph"/>
        <w:numPr>
          <w:ilvl w:val="0"/>
          <w:numId w:val="10"/>
        </w:numPr>
        <w:ind w:left="1134"/>
      </w:pPr>
      <w:r>
        <w:t>Fifth, the Panel finds that HHFT, in failing to determine the basic selection criteria and assess providers against these criteria, breached the PSR regulations, and in particular Regulations 10(4), 10(6), 19(1) and 19(3), which require the formulation and application of basic selection criteria before any contract is awarded.</w:t>
      </w:r>
    </w:p>
    <w:p w14:paraId="08548D1E" w14:textId="77777777" w:rsidR="00A042C4" w:rsidRDefault="00A042C4" w:rsidP="00A042C4">
      <w:pPr>
        <w:pStyle w:val="ListParagraph"/>
        <w:numPr>
          <w:ilvl w:val="0"/>
          <w:numId w:val="10"/>
        </w:numPr>
        <w:ind w:left="1134"/>
      </w:pPr>
      <w:r>
        <w:t>Sixth, the Panel finds that HHFT, in failing to keep records concerning the basic selection criteria, breached the PSR regulations, and in particular Regulation 24(e) which requires commissioners, when using the MSP process, to keep a record of “the way in which … the basic selection criteria were assessed when making decisions”.</w:t>
      </w:r>
    </w:p>
    <w:p w14:paraId="2EB667A1" w14:textId="77777777" w:rsidR="00A042C4" w:rsidRDefault="00A042C4" w:rsidP="00A042C4">
      <w:pPr>
        <w:pStyle w:val="ListParagraph"/>
        <w:numPr>
          <w:ilvl w:val="0"/>
          <w:numId w:val="10"/>
        </w:numPr>
        <w:ind w:left="1134"/>
      </w:pPr>
      <w:r>
        <w:t xml:space="preserve">Seventh, </w:t>
      </w:r>
      <w:r w:rsidRPr="004C0356">
        <w:t>the Panel finds that HHFT, in failing</w:t>
      </w:r>
      <w:r>
        <w:t xml:space="preserve"> to share its evaluation methodology with providers, breached the PSR regulations, and in particular Regulation 4(1)(b) which requires commissioners to act transparently, fairly and proportionately.</w:t>
      </w:r>
    </w:p>
    <w:p w14:paraId="26B25A04" w14:textId="77777777" w:rsidR="00A042C4" w:rsidRPr="009F5235" w:rsidRDefault="00A042C4" w:rsidP="00A042C4">
      <w:pPr>
        <w:pStyle w:val="ListParagraph"/>
        <w:numPr>
          <w:ilvl w:val="0"/>
          <w:numId w:val="10"/>
        </w:numPr>
        <w:ind w:left="1134"/>
      </w:pPr>
      <w:r>
        <w:t xml:space="preserve">Eighth, the Panel finds that HHFT, in failing to provide a complete response to NHUC’s requests for information during the representations review process, breached the PSR regulations, and in particular Regulation 12(4)(b) which </w:t>
      </w:r>
      <w:r>
        <w:lastRenderedPageBreak/>
        <w:t xml:space="preserve">requires commissioners to </w:t>
      </w:r>
      <w:r w:rsidRPr="00F3724D">
        <w:t xml:space="preserve">provide promptly any information requested by an aggrieved provider where the </w:t>
      </w:r>
      <w:r>
        <w:t xml:space="preserve">commissioner </w:t>
      </w:r>
      <w:r w:rsidRPr="00F3724D">
        <w:t xml:space="preserve">has a duty to record that information under </w:t>
      </w:r>
      <w:r>
        <w:t>R</w:t>
      </w:r>
      <w:r w:rsidRPr="00F3724D">
        <w:t>egulation 24</w:t>
      </w:r>
      <w:r>
        <w:t>.</w:t>
      </w:r>
    </w:p>
    <w:p w14:paraId="23340CB8" w14:textId="77777777" w:rsidR="00A042C4" w:rsidRPr="009F5235" w:rsidRDefault="00A042C4" w:rsidP="00A042C4">
      <w:pPr>
        <w:pStyle w:val="ListParagraph"/>
        <w:numPr>
          <w:ilvl w:val="0"/>
          <w:numId w:val="10"/>
        </w:numPr>
        <w:ind w:left="1134"/>
      </w:pPr>
      <w:r w:rsidRPr="009F5235">
        <w:t xml:space="preserve">Finally, </w:t>
      </w:r>
      <w:r w:rsidRPr="00CA6C42">
        <w:t xml:space="preserve">the Panel finds that HHFT, in responding to NHUC’s information requests </w:t>
      </w:r>
      <w:r>
        <w:t>at the same time as communicating its further decision on the provider selection process</w:t>
      </w:r>
      <w:r w:rsidRPr="00CA6C42">
        <w:t>, breached the PSR regulations, and in particular Regulation 12(4)(b)</w:t>
      </w:r>
      <w:r>
        <w:t xml:space="preserve">, which requires the commissioner to provide promptly requested information, and </w:t>
      </w:r>
      <w:r w:rsidRPr="00CA6C42">
        <w:t>Regulation 12(4)(a)</w:t>
      </w:r>
      <w:r>
        <w:t>,</w:t>
      </w:r>
      <w:r w:rsidRPr="00CA6C42">
        <w:t xml:space="preserve"> which requires commissioners to “ensure each provider who made representations is afforded such further opportunity to explain or clarify the representations”.</w:t>
      </w:r>
    </w:p>
    <w:p w14:paraId="1ED8AA57" w14:textId="07E9AFA8" w:rsidR="00A042C4" w:rsidRPr="009F5235" w:rsidRDefault="00E47A0E" w:rsidP="00A042C4">
      <w:pPr>
        <w:pStyle w:val="ListParagraph"/>
        <w:contextualSpacing/>
      </w:pPr>
      <w:r>
        <w:t>T</w:t>
      </w:r>
      <w:r w:rsidR="00A042C4" w:rsidRPr="009F5235">
        <w:t>hree options are open to the Panel</w:t>
      </w:r>
      <w:r>
        <w:t xml:space="preserve"> when it finds </w:t>
      </w:r>
      <w:r w:rsidR="0078484E">
        <w:t xml:space="preserve">one or more </w:t>
      </w:r>
      <w:r>
        <w:t>breach</w:t>
      </w:r>
      <w:r w:rsidR="0078484E">
        <w:t>es</w:t>
      </w:r>
      <w:r>
        <w:t xml:space="preserve"> of the PSR regulations</w:t>
      </w:r>
      <w:r w:rsidR="00A042C4" w:rsidRPr="009F5235">
        <w:t>. The Panel may advise that:</w:t>
      </w:r>
    </w:p>
    <w:p w14:paraId="790B879F" w14:textId="77777777" w:rsidR="00A042C4" w:rsidRPr="009F5235" w:rsidRDefault="00A042C4" w:rsidP="00A042C4">
      <w:pPr>
        <w:pStyle w:val="ListParagraph"/>
        <w:numPr>
          <w:ilvl w:val="0"/>
          <w:numId w:val="11"/>
        </w:numPr>
        <w:ind w:left="1134"/>
        <w:contextualSpacing/>
      </w:pPr>
      <w:r>
        <w:t>t</w:t>
      </w:r>
      <w:r w:rsidRPr="009F5235">
        <w:t xml:space="preserve">he breaches had no material effect on HHFT’s selection of a </w:t>
      </w:r>
      <w:proofErr w:type="gramStart"/>
      <w:r w:rsidRPr="009F5235">
        <w:t>provider</w:t>
      </w:r>
      <w:proofErr w:type="gramEnd"/>
      <w:r w:rsidRPr="009F5235">
        <w:t xml:space="preserve"> and it should proceed with awarding the contract as originally </w:t>
      </w:r>
      <w:proofErr w:type="gramStart"/>
      <w:r w:rsidRPr="009F5235">
        <w:t>intended;</w:t>
      </w:r>
      <w:proofErr w:type="gramEnd"/>
    </w:p>
    <w:p w14:paraId="4A5ECB8F" w14:textId="77777777" w:rsidR="00A042C4" w:rsidRPr="009F5235" w:rsidRDefault="00A042C4" w:rsidP="00A042C4">
      <w:pPr>
        <w:pStyle w:val="ListParagraph"/>
        <w:numPr>
          <w:ilvl w:val="0"/>
          <w:numId w:val="11"/>
        </w:numPr>
        <w:ind w:left="1134"/>
        <w:contextualSpacing/>
      </w:pPr>
      <w:r w:rsidRPr="009F5235">
        <w:t>HHFT should return to an earlier step in the provider selection process to rectify the issues identified by the Panel; or</w:t>
      </w:r>
    </w:p>
    <w:p w14:paraId="31B3FCE6" w14:textId="77777777" w:rsidR="00A042C4" w:rsidRPr="009F5235" w:rsidRDefault="00A042C4" w:rsidP="00A042C4">
      <w:pPr>
        <w:pStyle w:val="ListParagraph"/>
        <w:numPr>
          <w:ilvl w:val="0"/>
          <w:numId w:val="11"/>
        </w:numPr>
        <w:ind w:left="1134"/>
      </w:pPr>
      <w:r w:rsidRPr="009F5235">
        <w:t>HHFT should abandon the current provider selection process.</w:t>
      </w:r>
    </w:p>
    <w:p w14:paraId="60F9D620" w14:textId="77777777" w:rsidR="00A042C4" w:rsidRDefault="00A042C4" w:rsidP="00A042C4">
      <w:pPr>
        <w:pStyle w:val="ListParagraph"/>
        <w:spacing w:after="120"/>
      </w:pPr>
      <w:r>
        <w:t>HHFT told the Panel that any shortcomings in its process were not material in terms of the end outcome, saying:</w:t>
      </w:r>
    </w:p>
    <w:p w14:paraId="6B9869E8" w14:textId="066F9AD3" w:rsidR="00A042C4" w:rsidRPr="009F5235" w:rsidRDefault="00A042C4" w:rsidP="00A042C4">
      <w:pPr>
        <w:pStyle w:val="ListParagraph"/>
        <w:numPr>
          <w:ilvl w:val="0"/>
          <w:numId w:val="0"/>
        </w:numPr>
        <w:spacing w:after="120" w:line="259" w:lineRule="auto"/>
        <w:ind w:left="851"/>
        <w:rPr>
          <w:sz w:val="21"/>
          <w:szCs w:val="21"/>
        </w:rPr>
      </w:pPr>
      <w:r w:rsidRPr="009F5235">
        <w:rPr>
          <w:sz w:val="21"/>
          <w:szCs w:val="21"/>
        </w:rPr>
        <w:t xml:space="preserve">“it is clear that from what we have done, we’ve selected a provider who was the most suitable provider </w:t>
      </w:r>
      <w:r>
        <w:rPr>
          <w:sz w:val="21"/>
          <w:szCs w:val="21"/>
        </w:rPr>
        <w:t xml:space="preserve">… </w:t>
      </w:r>
      <w:r w:rsidRPr="009F5235">
        <w:rPr>
          <w:sz w:val="21"/>
          <w:szCs w:val="21"/>
        </w:rPr>
        <w:t xml:space="preserve">given the process that we followed. It was a logical choice to offer the contract to </w:t>
      </w:r>
      <w:proofErr w:type="spellStart"/>
      <w:r w:rsidRPr="009F5235">
        <w:rPr>
          <w:sz w:val="21"/>
          <w:szCs w:val="21"/>
        </w:rPr>
        <w:t>Atrumed</w:t>
      </w:r>
      <w:proofErr w:type="spellEnd"/>
      <w:r w:rsidRPr="009F5235">
        <w:rPr>
          <w:sz w:val="21"/>
          <w:szCs w:val="21"/>
        </w:rPr>
        <w:t>. I would hope that is reflected in what [the Panel] has seen … but this was a process about trying to find the best provider for our service. We entered into it as openly as we could</w:t>
      </w:r>
      <w:r>
        <w:rPr>
          <w:sz w:val="21"/>
          <w:szCs w:val="21"/>
        </w:rPr>
        <w:t xml:space="preserve"> ..</w:t>
      </w:r>
      <w:r w:rsidRPr="009F5235">
        <w:rPr>
          <w:sz w:val="21"/>
          <w:szCs w:val="21"/>
        </w:rPr>
        <w:t>. I believe we still got to the outcome that we would always have achieved”</w:t>
      </w:r>
      <w:r>
        <w:rPr>
          <w:sz w:val="21"/>
          <w:szCs w:val="21"/>
        </w:rPr>
        <w:t>.</w:t>
      </w:r>
    </w:p>
    <w:p w14:paraId="5123D2C8" w14:textId="2CF9F7FE" w:rsidR="00A042C4" w:rsidRDefault="00A042C4" w:rsidP="00A042C4">
      <w:pPr>
        <w:pStyle w:val="ListParagraph"/>
      </w:pPr>
      <w:r w:rsidRPr="009F5235">
        <w:t>The Panel’s view</w:t>
      </w:r>
      <w:r>
        <w:t xml:space="preserve">, however, is that the number </w:t>
      </w:r>
      <w:r w:rsidR="005B1F92">
        <w:t xml:space="preserve">and significance </w:t>
      </w:r>
      <w:r>
        <w:t xml:space="preserve">of </w:t>
      </w:r>
      <w:r w:rsidR="00D61ECE">
        <w:t xml:space="preserve">the </w:t>
      </w:r>
      <w:r>
        <w:t>breaches of the PSR regulations</w:t>
      </w:r>
      <w:r w:rsidR="00CE74EB">
        <w:t xml:space="preserve"> in terms of their potential effect on </w:t>
      </w:r>
      <w:r w:rsidR="00630741">
        <w:t>the outcome of the provider selection process</w:t>
      </w:r>
      <w:r>
        <w:t xml:space="preserve"> means that </w:t>
      </w:r>
      <w:r w:rsidR="0086792A">
        <w:t xml:space="preserve">there </w:t>
      </w:r>
      <w:r>
        <w:t xml:space="preserve">cannot </w:t>
      </w:r>
      <w:r w:rsidR="0086792A">
        <w:t xml:space="preserve">be </w:t>
      </w:r>
      <w:r>
        <w:t>any confidence that HHFT would have selected the same provider had it conducted a provider selection process in accordance with the PSR regulations. That is, the Panel’s view is that HHFT’s breaches of the PSR regulations are highly material</w:t>
      </w:r>
      <w:r w:rsidRPr="009F5235">
        <w:t>.</w:t>
      </w:r>
    </w:p>
    <w:p w14:paraId="665A12E7" w14:textId="77777777" w:rsidR="00A042C4" w:rsidRDefault="00A042C4" w:rsidP="00A042C4">
      <w:pPr>
        <w:pStyle w:val="ListParagraph"/>
      </w:pPr>
      <w:r>
        <w:t>The Panel is further of the view that the nature of the breaches of the PSR regulations (e.g. the breaches concerning the selection of the MSP process and HHFT’s failure to identify and apply basic selection criteria) mean that it is not possible to rectify these breaches by returning to an earlier step in the current provider selection process.</w:t>
      </w:r>
    </w:p>
    <w:p w14:paraId="2894165D" w14:textId="77777777" w:rsidR="00A042C4" w:rsidRDefault="00A042C4" w:rsidP="00A042C4">
      <w:pPr>
        <w:pStyle w:val="ListParagraph"/>
      </w:pPr>
      <w:r>
        <w:t xml:space="preserve">As a result, the Panel’s advice is that HHFT </w:t>
      </w:r>
      <w:r w:rsidRPr="009F5235">
        <w:t>should abandon the current provider selection process.</w:t>
      </w:r>
    </w:p>
    <w:p w14:paraId="227BBE99" w14:textId="62B4743A" w:rsidR="00531C67" w:rsidRPr="009C72A1" w:rsidRDefault="00531C67" w:rsidP="00BD0BD8">
      <w:pPr>
        <w:pStyle w:val="Heading1"/>
        <w:numPr>
          <w:ilvl w:val="0"/>
          <w:numId w:val="6"/>
        </w:numPr>
        <w:ind w:left="567" w:hanging="567"/>
      </w:pPr>
      <w:bookmarkStart w:id="1" w:name="_Toc225930399"/>
      <w:r w:rsidRPr="009C72A1">
        <w:lastRenderedPageBreak/>
        <w:t>Introduction</w:t>
      </w:r>
      <w:bookmarkEnd w:id="1"/>
    </w:p>
    <w:p w14:paraId="6925104F" w14:textId="260DD379" w:rsidR="00D479ED" w:rsidRDefault="00D479ED" w:rsidP="00605FEE">
      <w:pPr>
        <w:pStyle w:val="ListParagraph"/>
      </w:pPr>
      <w:r>
        <w:t xml:space="preserve">On </w:t>
      </w:r>
      <w:r w:rsidR="0003634D">
        <w:t>20 January 2026</w:t>
      </w:r>
      <w:r>
        <w:t xml:space="preserve">, </w:t>
      </w:r>
      <w:r w:rsidR="005169D7">
        <w:t>North Hampshire Urgent Care Limited (NHUC)</w:t>
      </w:r>
      <w:r>
        <w:rPr>
          <w:rStyle w:val="FootnoteReference"/>
        </w:rPr>
        <w:footnoteReference w:id="1"/>
      </w:r>
      <w:r>
        <w:t xml:space="preserve"> asked the Panel to advise on the </w:t>
      </w:r>
      <w:r w:rsidR="00715CE4">
        <w:t xml:space="preserve">provider selection process conducted </w:t>
      </w:r>
      <w:r>
        <w:t xml:space="preserve">by </w:t>
      </w:r>
      <w:r w:rsidR="0094203C">
        <w:t>Hampshire Hospitals NHS Foundation Trust (HHFT)</w:t>
      </w:r>
      <w:r w:rsidR="00305614">
        <w:rPr>
          <w:rStyle w:val="FootnoteReference"/>
        </w:rPr>
        <w:footnoteReference w:id="2"/>
      </w:r>
      <w:r w:rsidR="0094203C">
        <w:t xml:space="preserve"> </w:t>
      </w:r>
      <w:r>
        <w:t xml:space="preserve">for its </w:t>
      </w:r>
      <w:r w:rsidR="0094203C">
        <w:t>Urgent Treatment Centre</w:t>
      </w:r>
      <w:r w:rsidR="00466000">
        <w:t xml:space="preserve"> </w:t>
      </w:r>
      <w:r w:rsidR="0094203C">
        <w:t>Clinical Service Provision</w:t>
      </w:r>
      <w:r w:rsidR="0050763F">
        <w:t xml:space="preserve"> (UTC</w:t>
      </w:r>
      <w:r w:rsidR="006D1747">
        <w:t xml:space="preserve"> service</w:t>
      </w:r>
      <w:r w:rsidR="0050763F">
        <w:t>)</w:t>
      </w:r>
      <w:r w:rsidR="00D95CBF">
        <w:t xml:space="preserve"> at </w:t>
      </w:r>
      <w:r w:rsidR="00D95CBF" w:rsidRPr="00D26940">
        <w:t>Basingstoke and North Hampshire Hospital</w:t>
      </w:r>
      <w:r w:rsidR="00D95CBF">
        <w:t xml:space="preserve"> </w:t>
      </w:r>
      <w:r w:rsidR="006A0788">
        <w:t>(Basingstok</w:t>
      </w:r>
      <w:r w:rsidR="00EB5B0D">
        <w:t xml:space="preserve">e Hospital) </w:t>
      </w:r>
      <w:r w:rsidR="00D95CBF">
        <w:t xml:space="preserve">and </w:t>
      </w:r>
      <w:r w:rsidR="00D73D07">
        <w:t xml:space="preserve">at </w:t>
      </w:r>
      <w:r w:rsidR="00D95CBF" w:rsidRPr="00D26940">
        <w:t>Royal Hampshire County Hospital</w:t>
      </w:r>
      <w:r w:rsidR="00EB5B0D">
        <w:t xml:space="preserve"> (Royal Hampshire Hospital)</w:t>
      </w:r>
      <w:r w:rsidR="00E9098D">
        <w:t xml:space="preserve"> in Winchester</w:t>
      </w:r>
      <w:r w:rsidR="0098576F">
        <w:t>.</w:t>
      </w:r>
    </w:p>
    <w:p w14:paraId="48B1CED5" w14:textId="0C3ACC52" w:rsidR="00BB6BC6" w:rsidRPr="004832D6" w:rsidRDefault="00BB6BC6" w:rsidP="00605FEE">
      <w:pPr>
        <w:pStyle w:val="ListParagraph"/>
      </w:pPr>
      <w:r w:rsidRPr="004832D6">
        <w:t xml:space="preserve">The Panel accepted </w:t>
      </w:r>
      <w:r w:rsidR="00483C62" w:rsidRPr="004832D6">
        <w:t>NHUC</w:t>
      </w:r>
      <w:r w:rsidRPr="004832D6">
        <w:t xml:space="preserve">’s request on </w:t>
      </w:r>
      <w:r w:rsidR="00483C62" w:rsidRPr="004832D6">
        <w:t>21 January 2026</w:t>
      </w:r>
      <w:r w:rsidRPr="004832D6">
        <w:t xml:space="preserve"> in accordance with its case acceptance criteria. These criteria set out both eligibility requirements and the prioritisation criteria the Panel appl</w:t>
      </w:r>
      <w:r w:rsidR="00864726">
        <w:t>ies</w:t>
      </w:r>
      <w:r w:rsidRPr="004832D6">
        <w:t xml:space="preserve"> when it is approaching full caseload capacity</w:t>
      </w:r>
      <w:r w:rsidR="00280B4D" w:rsidRPr="004832D6">
        <w:t>.</w:t>
      </w:r>
      <w:r w:rsidR="00280B4D" w:rsidRPr="004832D6">
        <w:rPr>
          <w:rStyle w:val="FootnoteReference"/>
        </w:rPr>
        <w:footnoteReference w:id="3"/>
      </w:r>
      <w:r w:rsidR="00280B4D" w:rsidRPr="004832D6">
        <w:t xml:space="preserve"> </w:t>
      </w:r>
      <w:r w:rsidR="00D80F30" w:rsidRPr="004832D6">
        <w:t>NHUC</w:t>
      </w:r>
      <w:r w:rsidR="00280B4D" w:rsidRPr="004832D6">
        <w:t>’s request met the eligibility requirements, and as the Panel</w:t>
      </w:r>
      <w:r w:rsidR="003475C7">
        <w:t>’s caseload was easing due to imminent case completions</w:t>
      </w:r>
      <w:r w:rsidR="00280B4D" w:rsidRPr="004832D6">
        <w:t>, there was no need to apply the prioritisation criteria.</w:t>
      </w:r>
    </w:p>
    <w:p w14:paraId="15D7BB5B" w14:textId="519DA6F1" w:rsidR="003A673B" w:rsidRDefault="003A673B" w:rsidP="005B5A14">
      <w:pPr>
        <w:pStyle w:val="ListParagraph"/>
        <w:contextualSpacing/>
      </w:pPr>
      <w:r>
        <w:t>The Panel’s Chair appointed three members to a Case Panel for this review, namely:</w:t>
      </w:r>
    </w:p>
    <w:p w14:paraId="123586E4" w14:textId="53178D0C" w:rsidR="003A673B" w:rsidRDefault="003A673B" w:rsidP="00BD0BD8">
      <w:pPr>
        <w:pStyle w:val="ListParagraph"/>
        <w:numPr>
          <w:ilvl w:val="0"/>
          <w:numId w:val="4"/>
        </w:numPr>
        <w:ind w:left="1429" w:hanging="357"/>
        <w:contextualSpacing/>
      </w:pPr>
      <w:r>
        <w:t>Andrew Taylor, Panel Chair;</w:t>
      </w:r>
    </w:p>
    <w:p w14:paraId="6F8A7A3B" w14:textId="0087CD27" w:rsidR="003A673B" w:rsidRDefault="00F97648" w:rsidP="00BD0BD8">
      <w:pPr>
        <w:pStyle w:val="ListParagraph"/>
        <w:numPr>
          <w:ilvl w:val="0"/>
          <w:numId w:val="4"/>
        </w:numPr>
        <w:ind w:left="1429" w:hanging="357"/>
        <w:contextualSpacing/>
      </w:pPr>
      <w:r>
        <w:t>Carole Begent</w:t>
      </w:r>
      <w:r w:rsidR="008E4F6C">
        <w:t>, Case Panel Member; and</w:t>
      </w:r>
    </w:p>
    <w:p w14:paraId="1BB3958B" w14:textId="693FD76D" w:rsidR="008E4F6C" w:rsidRDefault="00F97648" w:rsidP="00BD0BD8">
      <w:pPr>
        <w:pStyle w:val="ListParagraph"/>
        <w:numPr>
          <w:ilvl w:val="0"/>
          <w:numId w:val="4"/>
        </w:numPr>
        <w:ind w:left="1429" w:hanging="357"/>
      </w:pPr>
      <w:r>
        <w:t>Sally Collier</w:t>
      </w:r>
      <w:r w:rsidR="008E4F6C">
        <w:t>, Case Panel Member.</w:t>
      </w:r>
      <w:r w:rsidR="008E4F6C">
        <w:rPr>
          <w:rStyle w:val="FootnoteReference"/>
        </w:rPr>
        <w:footnoteReference w:id="4"/>
      </w:r>
    </w:p>
    <w:p w14:paraId="644F2385" w14:textId="6F27EFB9" w:rsidR="008E4F6C" w:rsidRDefault="00EB3A9D" w:rsidP="005B5A14">
      <w:pPr>
        <w:pStyle w:val="ListParagraph"/>
      </w:pPr>
      <w:r>
        <w:t>The Case Panel’s review has been carried out in accordance with the Panel’s Standard Operating Procedures.</w:t>
      </w:r>
      <w:r>
        <w:rPr>
          <w:rStyle w:val="FootnoteReference"/>
        </w:rPr>
        <w:footnoteReference w:id="5"/>
      </w:r>
    </w:p>
    <w:p w14:paraId="22AA43DA" w14:textId="3C78CB5F" w:rsidR="00EB3A9D" w:rsidRDefault="00EB3A9D" w:rsidP="005B5A14">
      <w:pPr>
        <w:pStyle w:val="ListParagraph"/>
        <w:contextualSpacing/>
      </w:pPr>
      <w:r>
        <w:t xml:space="preserve">This report provides the Panel’s assessment and advice to </w:t>
      </w:r>
      <w:r w:rsidR="000C585C">
        <w:t>HHFT</w:t>
      </w:r>
      <w:r>
        <w:t xml:space="preserve"> and is set out as follows:</w:t>
      </w:r>
    </w:p>
    <w:p w14:paraId="3AAF9648" w14:textId="3D93E0FE" w:rsidR="00EB3A9D" w:rsidRDefault="00780FB4" w:rsidP="00BD0BD8">
      <w:pPr>
        <w:pStyle w:val="ListParagraph"/>
        <w:numPr>
          <w:ilvl w:val="0"/>
          <w:numId w:val="5"/>
        </w:numPr>
        <w:contextualSpacing/>
      </w:pPr>
      <w:r>
        <w:t>Section 3 briefly describes the role of the Panel;</w:t>
      </w:r>
    </w:p>
    <w:p w14:paraId="30768FD4" w14:textId="12CEC2AF" w:rsidR="00780FB4" w:rsidRDefault="00780FB4" w:rsidP="00BD0BD8">
      <w:pPr>
        <w:pStyle w:val="ListParagraph"/>
        <w:numPr>
          <w:ilvl w:val="0"/>
          <w:numId w:val="5"/>
        </w:numPr>
        <w:contextualSpacing/>
      </w:pPr>
      <w:r>
        <w:t>Section 4 sets out the background to the Panel’s review, including the events leading up to, and including, the provider selection process;</w:t>
      </w:r>
    </w:p>
    <w:p w14:paraId="6AAE6454" w14:textId="4207D08A" w:rsidR="00780FB4" w:rsidRDefault="00780FB4" w:rsidP="00BD0BD8">
      <w:pPr>
        <w:pStyle w:val="ListParagraph"/>
        <w:numPr>
          <w:ilvl w:val="0"/>
          <w:numId w:val="5"/>
        </w:numPr>
        <w:contextualSpacing/>
      </w:pPr>
      <w:r>
        <w:t xml:space="preserve">Section 5 sets out the concerns raised by </w:t>
      </w:r>
      <w:r w:rsidR="00FE2A13">
        <w:t>NHUC</w:t>
      </w:r>
      <w:r>
        <w:t>;</w:t>
      </w:r>
    </w:p>
    <w:p w14:paraId="3B8F3C98" w14:textId="64AE0D49" w:rsidR="00780FB4" w:rsidRDefault="00780FB4" w:rsidP="00BD0BD8">
      <w:pPr>
        <w:pStyle w:val="ListParagraph"/>
        <w:numPr>
          <w:ilvl w:val="0"/>
          <w:numId w:val="5"/>
        </w:numPr>
        <w:contextualSpacing/>
      </w:pPr>
      <w:r>
        <w:t>Section 6 summarises the PSR regulations relevant to this review;</w:t>
      </w:r>
    </w:p>
    <w:p w14:paraId="3D718A43" w14:textId="28733E92" w:rsidR="00780FB4" w:rsidRDefault="00780FB4" w:rsidP="00BD0BD8">
      <w:pPr>
        <w:pStyle w:val="ListParagraph"/>
        <w:numPr>
          <w:ilvl w:val="0"/>
          <w:numId w:val="5"/>
        </w:numPr>
        <w:contextualSpacing/>
      </w:pPr>
      <w:r>
        <w:t>Section 7 sets out the Panel’s assessment of the issues</w:t>
      </w:r>
      <w:r w:rsidR="00F85E6F">
        <w:t>; and</w:t>
      </w:r>
    </w:p>
    <w:p w14:paraId="343A30FC" w14:textId="24CBAE15" w:rsidR="00F85E6F" w:rsidRDefault="00F85E6F" w:rsidP="00BD0BD8">
      <w:pPr>
        <w:pStyle w:val="ListParagraph"/>
        <w:numPr>
          <w:ilvl w:val="0"/>
          <w:numId w:val="5"/>
        </w:numPr>
      </w:pPr>
      <w:r>
        <w:t xml:space="preserve">Section 8 sets out the Panel’s advice to </w:t>
      </w:r>
      <w:r w:rsidR="00FE2A13">
        <w:t>HHFT</w:t>
      </w:r>
      <w:r w:rsidR="00463EEE">
        <w:t>.</w:t>
      </w:r>
      <w:r>
        <w:rPr>
          <w:rStyle w:val="FootnoteReference"/>
        </w:rPr>
        <w:footnoteReference w:id="6"/>
      </w:r>
    </w:p>
    <w:p w14:paraId="6528B4D6" w14:textId="2FBFDA16" w:rsidR="00F85E6F" w:rsidRDefault="00F85E6F" w:rsidP="005B5A14">
      <w:pPr>
        <w:pStyle w:val="ListParagraph"/>
      </w:pPr>
      <w:r>
        <w:t xml:space="preserve">The Panel thanks </w:t>
      </w:r>
      <w:r w:rsidR="00FE2A13">
        <w:t>HHFT</w:t>
      </w:r>
      <w:r>
        <w:t xml:space="preserve"> and </w:t>
      </w:r>
      <w:r w:rsidR="00FE2A13">
        <w:t>NHUC</w:t>
      </w:r>
      <w:r>
        <w:t xml:space="preserve"> for their assistance and cooperation during this review.</w:t>
      </w:r>
    </w:p>
    <w:p w14:paraId="5534081C" w14:textId="12FD16F2" w:rsidR="00E722F9" w:rsidRDefault="00E722F9" w:rsidP="0001234D">
      <w:pPr>
        <w:pStyle w:val="Heading1"/>
        <w:ind w:left="567" w:hanging="567"/>
      </w:pPr>
      <w:bookmarkStart w:id="2" w:name="_Toc225930400"/>
      <w:r w:rsidRPr="00E722F9">
        <w:t>Role of the Panel</w:t>
      </w:r>
      <w:bookmarkEnd w:id="2"/>
    </w:p>
    <w:p w14:paraId="42A89983" w14:textId="07034894" w:rsidR="00E722F9" w:rsidRDefault="00800C69" w:rsidP="00605FEE">
      <w:pPr>
        <w:pStyle w:val="ListParagraph"/>
      </w:pPr>
      <w:r>
        <w:t>The</w:t>
      </w:r>
      <w:r w:rsidR="00B57135">
        <w:t xml:space="preserve"> Provider Selection Regime (PSR) </w:t>
      </w:r>
      <w:r>
        <w:t>for NHS and local authority commissioning of health care services</w:t>
      </w:r>
      <w:r w:rsidR="00B07A1F">
        <w:t xml:space="preserve"> came into force on 1 January 2024 with the adoption of the PSR </w:t>
      </w:r>
      <w:r w:rsidR="00B07A1F">
        <w:lastRenderedPageBreak/>
        <w:t>regulations.</w:t>
      </w:r>
      <w:r w:rsidR="00B07A1F">
        <w:rPr>
          <w:rStyle w:val="FootnoteReference"/>
        </w:rPr>
        <w:footnoteReference w:id="7"/>
      </w:r>
      <w:r>
        <w:t xml:space="preserve"> </w:t>
      </w:r>
      <w:r w:rsidR="00B07A1F">
        <w:t xml:space="preserve">The PSR provides relevant authorities (i.e. commissioners) with </w:t>
      </w:r>
      <w:r w:rsidR="00F07723">
        <w:t>greater flexibility in the</w:t>
      </w:r>
      <w:r w:rsidR="000A3AF9">
        <w:t>ir</w:t>
      </w:r>
      <w:r w:rsidR="00F07723">
        <w:t xml:space="preserve"> selection of </w:t>
      </w:r>
      <w:r w:rsidR="000A3AF9">
        <w:t>health care services providers.</w:t>
      </w:r>
      <w:r w:rsidR="00F07723">
        <w:rPr>
          <w:rStyle w:val="FootnoteReference"/>
        </w:rPr>
        <w:footnoteReference w:id="8"/>
      </w:r>
    </w:p>
    <w:p w14:paraId="4C59FB0A" w14:textId="5A7A93CB" w:rsidR="00F07723" w:rsidRDefault="00F07723" w:rsidP="00605FEE">
      <w:pPr>
        <w:pStyle w:val="ListParagraph"/>
      </w:pPr>
      <w:r>
        <w:t>The Panel’s role is to act as an independent review body where a provider has concerns about a commissioner’s provider selection decision. Panel reviews only take place following a commissioner’s review of its original decision.</w:t>
      </w:r>
    </w:p>
    <w:p w14:paraId="1F280246" w14:textId="0CDB1121" w:rsidR="00F07723" w:rsidRDefault="00FB7CE3" w:rsidP="00605FEE">
      <w:pPr>
        <w:pStyle w:val="ListParagraph"/>
      </w:pPr>
      <w:r>
        <w:t>For each review, the Panel’s assessment and advice is supplied to the commissioner and the provider that has requested the Pane</w:t>
      </w:r>
      <w:r w:rsidR="003977F0">
        <w:t>l’s review. It is also published on the Panel’s webpages. The commissioner is then responsible for reviewing its decision in light of the Panel’s advice.</w:t>
      </w:r>
    </w:p>
    <w:p w14:paraId="05C77A3B" w14:textId="3CA27226" w:rsidR="00DD6084" w:rsidRPr="00DD6084" w:rsidRDefault="008A09C6" w:rsidP="00D011A8">
      <w:pPr>
        <w:pStyle w:val="Heading1"/>
        <w:ind w:left="567" w:hanging="567"/>
      </w:pPr>
      <w:bookmarkStart w:id="3" w:name="_Toc225930401"/>
      <w:r>
        <w:t>Background to this review</w:t>
      </w:r>
      <w:bookmarkEnd w:id="3"/>
    </w:p>
    <w:p w14:paraId="64E67B50" w14:textId="08011168" w:rsidR="009846C3" w:rsidRDefault="00D70A1D" w:rsidP="00B9564B">
      <w:pPr>
        <w:pStyle w:val="ListParagraph"/>
      </w:pPr>
      <w:r w:rsidRPr="00D26940">
        <w:t xml:space="preserve">HHFT </w:t>
      </w:r>
      <w:r w:rsidR="00535732">
        <w:t>is</w:t>
      </w:r>
      <w:r w:rsidRPr="00D26940">
        <w:t xml:space="preserve"> seeking to </w:t>
      </w:r>
      <w:r w:rsidR="00C41276">
        <w:t xml:space="preserve">award </w:t>
      </w:r>
      <w:r w:rsidR="00920321">
        <w:t>a</w:t>
      </w:r>
      <w:r w:rsidR="00D801A8">
        <w:t xml:space="preserve"> </w:t>
      </w:r>
      <w:r w:rsidR="00C41276">
        <w:t xml:space="preserve">contract for </w:t>
      </w:r>
      <w:r w:rsidR="00497EF3">
        <w:t xml:space="preserve">a </w:t>
      </w:r>
      <w:r w:rsidR="00C41276">
        <w:t>UTC service at</w:t>
      </w:r>
      <w:r w:rsidR="00196B77">
        <w:t xml:space="preserve"> Basing</w:t>
      </w:r>
      <w:r w:rsidR="002E6712">
        <w:t>s</w:t>
      </w:r>
      <w:r w:rsidR="00196B77">
        <w:t>toke</w:t>
      </w:r>
      <w:r w:rsidR="00C8634E">
        <w:t xml:space="preserve"> Hospital</w:t>
      </w:r>
      <w:r w:rsidR="009A73BD">
        <w:t xml:space="preserve"> and</w:t>
      </w:r>
      <w:r w:rsidR="00F65694">
        <w:t>, potentially,</w:t>
      </w:r>
      <w:r w:rsidR="009547D3">
        <w:t xml:space="preserve"> </w:t>
      </w:r>
      <w:r w:rsidR="009A73BD" w:rsidRPr="00D26940">
        <w:t>Royal Hampshire Hospital</w:t>
      </w:r>
      <w:r w:rsidR="00DE0034">
        <w:t>.</w:t>
      </w:r>
      <w:r w:rsidR="00920E9D">
        <w:t xml:space="preserve"> </w:t>
      </w:r>
      <w:r w:rsidR="009846C3">
        <w:t xml:space="preserve">The UTC service at Basingstoke Hospital was established in November 2024, while the UTC service at </w:t>
      </w:r>
      <w:r w:rsidR="0079102F">
        <w:t xml:space="preserve">Royal </w:t>
      </w:r>
      <w:r w:rsidR="009846C3">
        <w:t>Hampshire Hospital will be a new service.</w:t>
      </w:r>
    </w:p>
    <w:p w14:paraId="3AFCF1F1" w14:textId="623E4860" w:rsidR="006B62A7" w:rsidRPr="00D26940" w:rsidRDefault="00920E9D" w:rsidP="00B9564B">
      <w:pPr>
        <w:pStyle w:val="ListParagraph"/>
      </w:pPr>
      <w:bookmarkStart w:id="4" w:name="_Ref224110592"/>
      <w:r>
        <w:t xml:space="preserve">NHUC </w:t>
      </w:r>
      <w:r w:rsidR="00DE0190">
        <w:t xml:space="preserve">is the incumbent provider of </w:t>
      </w:r>
      <w:r w:rsidR="008A302C">
        <w:t>the illne</w:t>
      </w:r>
      <w:r w:rsidR="005D4EDE">
        <w:t xml:space="preserve">ss pathway </w:t>
      </w:r>
      <w:r w:rsidR="00B42B63">
        <w:t xml:space="preserve">within </w:t>
      </w:r>
      <w:r>
        <w:t xml:space="preserve">the UTC service </w:t>
      </w:r>
      <w:r w:rsidR="00E261F2">
        <w:t xml:space="preserve">at </w:t>
      </w:r>
      <w:r w:rsidR="00DE0034">
        <w:t xml:space="preserve">Basingstoke </w:t>
      </w:r>
      <w:r w:rsidR="00E261F2">
        <w:t>Hospital</w:t>
      </w:r>
      <w:r w:rsidR="0071205B">
        <w:t xml:space="preserve">, having </w:t>
      </w:r>
      <w:r w:rsidR="00A9513F">
        <w:t xml:space="preserve">operated </w:t>
      </w:r>
      <w:r w:rsidR="00DA0536">
        <w:t xml:space="preserve">the service </w:t>
      </w:r>
      <w:r w:rsidR="00A9513F">
        <w:t>since its establishment</w:t>
      </w:r>
      <w:r w:rsidR="00DA0536">
        <w:t>.</w:t>
      </w:r>
      <w:r w:rsidR="00F356E0">
        <w:t xml:space="preserve"> </w:t>
      </w:r>
      <w:r w:rsidR="004C091B">
        <w:t>HHFT and NHUC told the Panel that the</w:t>
      </w:r>
      <w:r w:rsidR="00721B00">
        <w:t xml:space="preserve">re was a good </w:t>
      </w:r>
      <w:r w:rsidR="004C091B">
        <w:t>relationship at a clinical level</w:t>
      </w:r>
      <w:r w:rsidR="00DA5C18">
        <w:t xml:space="preserve"> between the two organisations</w:t>
      </w:r>
      <w:r w:rsidR="004C091B">
        <w:t xml:space="preserve">. </w:t>
      </w:r>
      <w:bookmarkEnd w:id="4"/>
      <w:r w:rsidR="00C220F3">
        <w:t xml:space="preserve">HHFT also told the Panel that there had been some tensions </w:t>
      </w:r>
      <w:r w:rsidR="007D4C54">
        <w:t xml:space="preserve">concerning </w:t>
      </w:r>
      <w:r w:rsidR="00827272">
        <w:t xml:space="preserve">NHUC’s </w:t>
      </w:r>
      <w:r w:rsidR="00750D8F">
        <w:t xml:space="preserve">contractual </w:t>
      </w:r>
      <w:r w:rsidR="00827272">
        <w:t>performance</w:t>
      </w:r>
      <w:r w:rsidR="00F13282">
        <w:t>.</w:t>
      </w:r>
    </w:p>
    <w:p w14:paraId="51E199A8" w14:textId="0F5CDE9B" w:rsidR="001442AC" w:rsidRDefault="00145ED1" w:rsidP="00605FEE">
      <w:pPr>
        <w:pStyle w:val="ListParagraph"/>
      </w:pPr>
      <w:bookmarkStart w:id="5" w:name="_Ref224204772"/>
      <w:bookmarkStart w:id="6" w:name="_Ref223079316"/>
      <w:r>
        <w:t>With NHUC’s contract for the UTC service at Basingstoke Hospital coming to an end</w:t>
      </w:r>
      <w:r w:rsidR="00480E96">
        <w:t xml:space="preserve"> on 31 March 2026</w:t>
      </w:r>
      <w:r w:rsidR="001E2C0F">
        <w:t>, HHFT published</w:t>
      </w:r>
      <w:r w:rsidR="00B440EB">
        <w:t xml:space="preserve"> a notice</w:t>
      </w:r>
      <w:r>
        <w:t xml:space="preserve"> on 26 September 2025</w:t>
      </w:r>
      <w:r w:rsidR="00B440EB">
        <w:t xml:space="preserve"> setting out </w:t>
      </w:r>
      <w:r w:rsidR="00130341">
        <w:t>i</w:t>
      </w:r>
      <w:r w:rsidR="001E2C0F">
        <w:t>ts intention to follow the Most Suitable Provider (MSP) process</w:t>
      </w:r>
      <w:r w:rsidR="00130341">
        <w:t xml:space="preserve"> to award </w:t>
      </w:r>
      <w:r w:rsidR="00025E11">
        <w:t xml:space="preserve">a </w:t>
      </w:r>
      <w:r w:rsidR="00D638E4">
        <w:t xml:space="preserve">new </w:t>
      </w:r>
      <w:r w:rsidR="00130341">
        <w:t>contract</w:t>
      </w:r>
      <w:r w:rsidR="00025E11">
        <w:t xml:space="preserve"> </w:t>
      </w:r>
      <w:r w:rsidR="003C48BB">
        <w:t>and</w:t>
      </w:r>
      <w:r w:rsidR="00025E11">
        <w:t xml:space="preserve"> </w:t>
      </w:r>
      <w:r w:rsidR="00D56E4C">
        <w:t>invit</w:t>
      </w:r>
      <w:r w:rsidR="001316D7">
        <w:t xml:space="preserve">ing potential providers </w:t>
      </w:r>
      <w:r w:rsidR="00D56E4C">
        <w:t>to express interest</w:t>
      </w:r>
      <w:r w:rsidR="001316D7">
        <w:t>.</w:t>
      </w:r>
    </w:p>
    <w:p w14:paraId="0321905A" w14:textId="259D038D" w:rsidR="00DD0400" w:rsidRDefault="00FA2BB8" w:rsidP="00605FEE">
      <w:pPr>
        <w:pStyle w:val="ListParagraph"/>
      </w:pPr>
      <w:r w:rsidRPr="00FA2BB8">
        <w:t xml:space="preserve">The notice also </w:t>
      </w:r>
      <w:proofErr w:type="gramStart"/>
      <w:r w:rsidR="008B34C2">
        <w:t>made reference</w:t>
      </w:r>
      <w:proofErr w:type="gramEnd"/>
      <w:r w:rsidR="008B34C2">
        <w:t xml:space="preserve"> to </w:t>
      </w:r>
      <w:r w:rsidR="000E3EB8">
        <w:t xml:space="preserve">the potential for providers to diverge from the </w:t>
      </w:r>
      <w:r w:rsidR="004F5171">
        <w:t xml:space="preserve">stated </w:t>
      </w:r>
      <w:r w:rsidR="000E3EB8">
        <w:t>requirement</w:t>
      </w:r>
      <w:r w:rsidR="002859FC">
        <w:t>s</w:t>
      </w:r>
      <w:r w:rsidRPr="00FA2BB8">
        <w:t xml:space="preserve">, </w:t>
      </w:r>
      <w:r w:rsidR="004F5171">
        <w:t>advising</w:t>
      </w:r>
      <w:r w:rsidR="000679FA">
        <w:t xml:space="preserve"> </w:t>
      </w:r>
      <w:r w:rsidRPr="00FA2BB8">
        <w:t xml:space="preserve">that “Providers expressing interest are also invited to discuss what we are calling </w:t>
      </w:r>
      <w:r w:rsidR="00617A07">
        <w:t>‘</w:t>
      </w:r>
      <w:r w:rsidRPr="00FA2BB8">
        <w:t>an alternative model of care</w:t>
      </w:r>
      <w:r w:rsidR="00617A07">
        <w:t>’</w:t>
      </w:r>
      <w:r w:rsidRPr="00FA2BB8">
        <w:t xml:space="preserve"> that might provide the Trust with additional financial and operational efficiencies”</w:t>
      </w:r>
      <w:r w:rsidR="000679FA">
        <w:t xml:space="preserve">. The notice also stated </w:t>
      </w:r>
      <w:r w:rsidR="009D56DF">
        <w:t>that</w:t>
      </w:r>
      <w:r w:rsidR="007265FD">
        <w:t>, for information</w:t>
      </w:r>
      <w:r w:rsidR="004F105A">
        <w:t>,</w:t>
      </w:r>
      <w:r w:rsidR="009D56DF">
        <w:t xml:space="preserve"> HHFT was </w:t>
      </w:r>
      <w:r w:rsidR="007E0C3F">
        <w:t xml:space="preserve">constructing a UTC at </w:t>
      </w:r>
      <w:r w:rsidR="006053F1">
        <w:t xml:space="preserve">Royal </w:t>
      </w:r>
      <w:r w:rsidR="007E0C3F">
        <w:t>Hampshire Hospital</w:t>
      </w:r>
      <w:r w:rsidR="00884A21">
        <w:t xml:space="preserve"> and </w:t>
      </w:r>
      <w:r w:rsidR="004F105A">
        <w:t xml:space="preserve">“will </w:t>
      </w:r>
      <w:r w:rsidR="003F2E9D">
        <w:t xml:space="preserve">be seeking variant proposals from interested providers that </w:t>
      </w:r>
      <w:r w:rsidR="00DF0A69">
        <w:t xml:space="preserve">extend to </w:t>
      </w:r>
      <w:r w:rsidR="001D405D">
        <w:t>include</w:t>
      </w:r>
      <w:r w:rsidR="003F2E9D">
        <w:t xml:space="preserve"> </w:t>
      </w:r>
      <w:r w:rsidR="00DF0A69">
        <w:t>potential services into this facility also”</w:t>
      </w:r>
      <w:r w:rsidR="003F2E9D">
        <w:t>.</w:t>
      </w:r>
      <w:bookmarkEnd w:id="5"/>
      <w:r w:rsidR="00DE5479">
        <w:rPr>
          <w:rStyle w:val="FootnoteReference"/>
        </w:rPr>
        <w:footnoteReference w:id="9"/>
      </w:r>
    </w:p>
    <w:p w14:paraId="5AC47A17" w14:textId="6F173354" w:rsidR="00FA0A38" w:rsidRDefault="00B72F56" w:rsidP="00297655">
      <w:pPr>
        <w:pStyle w:val="ListParagraph"/>
      </w:pPr>
      <w:bookmarkStart w:id="7" w:name="_Ref223448183"/>
      <w:bookmarkStart w:id="8" w:name="_Ref223950650"/>
      <w:r>
        <w:t>Eleven</w:t>
      </w:r>
      <w:r w:rsidR="004A3F6B">
        <w:t xml:space="preserve"> providers expressed interest </w:t>
      </w:r>
      <w:r w:rsidR="00F566B6">
        <w:t xml:space="preserve">following </w:t>
      </w:r>
      <w:r w:rsidR="004A3F6B">
        <w:t>HHFT’s notice</w:t>
      </w:r>
      <w:r w:rsidR="00D54D90">
        <w:t xml:space="preserve"> and</w:t>
      </w:r>
      <w:r w:rsidR="008768CD">
        <w:t>,</w:t>
      </w:r>
      <w:r w:rsidR="00D54D90">
        <w:t xml:space="preserve"> on 4 November 2025</w:t>
      </w:r>
      <w:r w:rsidR="008768CD">
        <w:t xml:space="preserve">, </w:t>
      </w:r>
      <w:r w:rsidR="00FD4B8E">
        <w:t xml:space="preserve">HHFT shared </w:t>
      </w:r>
      <w:r w:rsidR="007C0A7D">
        <w:t>a “Provider Assessment Pack” with these providers</w:t>
      </w:r>
      <w:r w:rsidR="004B0DBA">
        <w:t xml:space="preserve">. </w:t>
      </w:r>
      <w:bookmarkStart w:id="9" w:name="_Ref223448158"/>
      <w:r w:rsidR="00FA0A38">
        <w:t>P</w:t>
      </w:r>
      <w:r w:rsidR="00FA0A38" w:rsidRPr="008C1759">
        <w:t xml:space="preserve">roviders were </w:t>
      </w:r>
      <w:r w:rsidR="00FA0A38">
        <w:t>asked</w:t>
      </w:r>
      <w:r w:rsidR="00FA0A38" w:rsidRPr="008C1759">
        <w:t xml:space="preserve"> </w:t>
      </w:r>
      <w:r w:rsidR="00FA0A38">
        <w:t xml:space="preserve">to respond to questions under the five key criteria set out in Regulation 5 </w:t>
      </w:r>
      <w:r w:rsidR="00FA0A38">
        <w:lastRenderedPageBreak/>
        <w:t>of the PSR regulations.</w:t>
      </w:r>
      <w:r w:rsidR="00FA0A38">
        <w:rPr>
          <w:rStyle w:val="FootnoteReference"/>
        </w:rPr>
        <w:footnoteReference w:id="10"/>
      </w:r>
      <w:bookmarkEnd w:id="9"/>
      <w:r w:rsidR="002318F2" w:rsidRPr="002318F2">
        <w:t xml:space="preserve"> </w:t>
      </w:r>
      <w:r w:rsidR="002318F2">
        <w:t xml:space="preserve">Providers were also invited to </w:t>
      </w:r>
      <w:r w:rsidR="00EF3E57">
        <w:t>set out</w:t>
      </w:r>
      <w:r w:rsidR="002318F2">
        <w:t xml:space="preserve"> variant proposals </w:t>
      </w:r>
      <w:r w:rsidR="00EF3E57">
        <w:t xml:space="preserve">for </w:t>
      </w:r>
      <w:r w:rsidR="002318F2">
        <w:t>an alternative model of care.</w:t>
      </w:r>
      <w:r w:rsidR="00633A78">
        <w:rPr>
          <w:rStyle w:val="FootnoteReference"/>
        </w:rPr>
        <w:footnoteReference w:id="11"/>
      </w:r>
    </w:p>
    <w:p w14:paraId="74BF669F" w14:textId="5B7BAB30" w:rsidR="002A1EE8" w:rsidRDefault="00820966" w:rsidP="00297655">
      <w:pPr>
        <w:pStyle w:val="ListParagraph"/>
      </w:pPr>
      <w:r>
        <w:t xml:space="preserve">The Provider Assessment Pack </w:t>
      </w:r>
      <w:r w:rsidR="0005268F">
        <w:t>identified</w:t>
      </w:r>
      <w:r>
        <w:t xml:space="preserve"> t</w:t>
      </w:r>
      <w:r w:rsidR="00880E30">
        <w:t>wo lots</w:t>
      </w:r>
      <w:r w:rsidR="00745AF4" w:rsidRPr="00D26940">
        <w:t xml:space="preserve">, </w:t>
      </w:r>
      <w:r w:rsidR="009B6040">
        <w:t xml:space="preserve">where Lot 1 </w:t>
      </w:r>
      <w:r w:rsidR="00D02FD5">
        <w:t>was</w:t>
      </w:r>
      <w:r w:rsidR="009B6040">
        <w:t xml:space="preserve"> for </w:t>
      </w:r>
      <w:r w:rsidR="00FC6DA2" w:rsidRPr="00D26940">
        <w:t xml:space="preserve">the UTC </w:t>
      </w:r>
      <w:r w:rsidR="00850B96">
        <w:t>at</w:t>
      </w:r>
      <w:r w:rsidR="00FC6DA2" w:rsidRPr="00D26940">
        <w:t xml:space="preserve"> Basingstoke </w:t>
      </w:r>
      <w:r w:rsidR="00850B96">
        <w:t xml:space="preserve">Hospital </w:t>
      </w:r>
      <w:r w:rsidR="0079238C" w:rsidRPr="00D26940">
        <w:t xml:space="preserve">and </w:t>
      </w:r>
      <w:r w:rsidR="004D7AD6">
        <w:t xml:space="preserve">Lot 2 </w:t>
      </w:r>
      <w:r w:rsidR="00D02FD5">
        <w:t>was</w:t>
      </w:r>
      <w:r w:rsidR="004D7AD6">
        <w:t xml:space="preserve"> for the yet to be established </w:t>
      </w:r>
      <w:r w:rsidR="00160C4E" w:rsidRPr="00D26940">
        <w:t xml:space="preserve">UTC </w:t>
      </w:r>
      <w:r w:rsidR="004D7AD6">
        <w:t xml:space="preserve">at </w:t>
      </w:r>
      <w:r w:rsidR="00B36004">
        <w:t xml:space="preserve">Royal </w:t>
      </w:r>
      <w:r w:rsidR="00367E77">
        <w:t>Hampshire Hospital</w:t>
      </w:r>
      <w:r w:rsidR="00160C4E" w:rsidRPr="00D26940">
        <w:t>.</w:t>
      </w:r>
      <w:bookmarkEnd w:id="7"/>
      <w:r w:rsidR="00E34EBA">
        <w:t xml:space="preserve"> </w:t>
      </w:r>
      <w:bookmarkEnd w:id="8"/>
      <w:r w:rsidR="00633850">
        <w:t>T</w:t>
      </w:r>
      <w:r w:rsidR="009E3075">
        <w:t>he contract for Lot 1, which was intended to commence on 1</w:t>
      </w:r>
      <w:r w:rsidR="0054543E">
        <w:t> </w:t>
      </w:r>
      <w:r w:rsidR="009E3075">
        <w:t>April 2026, has a three-year duration with the option of a two-year extension and a total estimated value of £5 million (excluding VAT). The contract for Lot 2 is expected to have the same duration as the Lot 1 contract, albeit with an anticipated start date in Autumn 2026, and a total value of £4.5 million (excluding VAT).</w:t>
      </w:r>
      <w:r w:rsidR="009A1AA0">
        <w:rPr>
          <w:rStyle w:val="FootnoteReference"/>
        </w:rPr>
        <w:footnoteReference w:id="12"/>
      </w:r>
    </w:p>
    <w:p w14:paraId="5F35197C" w14:textId="179BE406" w:rsidR="002F02E1" w:rsidRPr="008C1759" w:rsidRDefault="001A3AB4" w:rsidP="00605FEE">
      <w:pPr>
        <w:pStyle w:val="ListParagraph"/>
      </w:pPr>
      <w:bookmarkStart w:id="10" w:name="_Ref222147510"/>
      <w:bookmarkStart w:id="11" w:name="_Ref223448163"/>
      <w:bookmarkEnd w:id="6"/>
      <w:r w:rsidRPr="00E30435">
        <w:t>T</w:t>
      </w:r>
      <w:r w:rsidRPr="008C1759">
        <w:t xml:space="preserve">he </w:t>
      </w:r>
      <w:r w:rsidR="008A4D0F">
        <w:t xml:space="preserve">initial </w:t>
      </w:r>
      <w:r w:rsidRPr="008C1759">
        <w:t xml:space="preserve">deadline for </w:t>
      </w:r>
      <w:r w:rsidR="00CD29F4" w:rsidRPr="008C1759">
        <w:t xml:space="preserve">responses </w:t>
      </w:r>
      <w:r w:rsidR="005C49FA">
        <w:t xml:space="preserve">of </w:t>
      </w:r>
      <w:r w:rsidR="002E59D6" w:rsidRPr="002F2609">
        <w:t>1</w:t>
      </w:r>
      <w:r w:rsidR="002F2609" w:rsidRPr="002F2609">
        <w:t>4</w:t>
      </w:r>
      <w:r w:rsidR="002E59D6">
        <w:t xml:space="preserve"> November 2025</w:t>
      </w:r>
      <w:r w:rsidR="00A22638">
        <w:t xml:space="preserve"> </w:t>
      </w:r>
      <w:r w:rsidR="00CD29F4" w:rsidRPr="008C1759">
        <w:t>was extended</w:t>
      </w:r>
      <w:r w:rsidR="00A22638">
        <w:t xml:space="preserve"> twice </w:t>
      </w:r>
      <w:r w:rsidR="00D30CF3">
        <w:t xml:space="preserve">with </w:t>
      </w:r>
      <w:r w:rsidR="002F323E">
        <w:t xml:space="preserve">six providers, including NHUC, submitting </w:t>
      </w:r>
      <w:r w:rsidR="00D30CF3">
        <w:t xml:space="preserve">proposals </w:t>
      </w:r>
      <w:r w:rsidR="00A22638">
        <w:t>by the final deadline of</w:t>
      </w:r>
      <w:r w:rsidR="00CD29F4" w:rsidRPr="008C1759">
        <w:t xml:space="preserve"> 5</w:t>
      </w:r>
      <w:r w:rsidR="00D30CF3">
        <w:t> </w:t>
      </w:r>
      <w:r w:rsidR="00CD29F4" w:rsidRPr="008C1759">
        <w:t>December 2025</w:t>
      </w:r>
      <w:r w:rsidR="00CE132D">
        <w:t>.</w:t>
      </w:r>
      <w:bookmarkEnd w:id="10"/>
      <w:bookmarkEnd w:id="11"/>
    </w:p>
    <w:p w14:paraId="71B0C46A" w14:textId="65B6AE1A" w:rsidR="003656C7" w:rsidRDefault="0054543E" w:rsidP="00C564A8">
      <w:pPr>
        <w:pStyle w:val="ListParagraph"/>
      </w:pPr>
      <w:bookmarkStart w:id="12" w:name="_Ref223087556"/>
      <w:r>
        <w:t>A</w:t>
      </w:r>
      <w:r w:rsidR="00675D9D">
        <w:t xml:space="preserve">n </w:t>
      </w:r>
      <w:r w:rsidR="00C51CCC">
        <w:t>a</w:t>
      </w:r>
      <w:r w:rsidR="00675D9D">
        <w:t xml:space="preserve">ssessment </w:t>
      </w:r>
      <w:r w:rsidR="00C51CCC">
        <w:t>p</w:t>
      </w:r>
      <w:r w:rsidR="00675D9D">
        <w:t>anel</w:t>
      </w:r>
      <w:r w:rsidR="00D64EE3">
        <w:t>,</w:t>
      </w:r>
      <w:r w:rsidR="00675D9D">
        <w:t xml:space="preserve"> </w:t>
      </w:r>
      <w:r w:rsidR="00D64EE3">
        <w:t xml:space="preserve">made up </w:t>
      </w:r>
      <w:r w:rsidR="00D02451">
        <w:t xml:space="preserve">of five </w:t>
      </w:r>
      <w:r w:rsidR="00D64EE3">
        <w:t xml:space="preserve">HHFT staff </w:t>
      </w:r>
      <w:r w:rsidR="00D02451">
        <w:t>members</w:t>
      </w:r>
      <w:r w:rsidR="00D64EE3">
        <w:t>,</w:t>
      </w:r>
      <w:r w:rsidR="00D02451">
        <w:t xml:space="preserve"> </w:t>
      </w:r>
      <w:r w:rsidR="008467E8">
        <w:t>evaluate</w:t>
      </w:r>
      <w:r>
        <w:t>d</w:t>
      </w:r>
      <w:r w:rsidR="00675D9D">
        <w:t xml:space="preserve"> providers’ proposals</w:t>
      </w:r>
      <w:r w:rsidR="00562544">
        <w:t>, supported by</w:t>
      </w:r>
      <w:r w:rsidR="00562544" w:rsidRPr="00562544">
        <w:rPr>
          <w:rFonts w:cstheme="minorBidi"/>
        </w:rPr>
        <w:t xml:space="preserve"> </w:t>
      </w:r>
      <w:r w:rsidR="00562544" w:rsidRPr="00562544">
        <w:t>Wessex NHS Procurement Limited</w:t>
      </w:r>
      <w:r w:rsidR="00562544">
        <w:t xml:space="preserve"> (WPL)</w:t>
      </w:r>
      <w:r w:rsidR="009462A2">
        <w:t>.</w:t>
      </w:r>
      <w:r w:rsidR="00562544" w:rsidRPr="00562544">
        <w:rPr>
          <w:vertAlign w:val="superscript"/>
        </w:rPr>
        <w:footnoteReference w:id="13"/>
      </w:r>
    </w:p>
    <w:p w14:paraId="127ABBD7" w14:textId="431F921C" w:rsidR="002D7809" w:rsidRPr="00677FCA" w:rsidRDefault="0004766E" w:rsidP="3A6C1D2E">
      <w:pPr>
        <w:pStyle w:val="ListParagraph"/>
        <w:contextualSpacing/>
      </w:pPr>
      <w:r>
        <w:t xml:space="preserve">After reading the proposals, the </w:t>
      </w:r>
      <w:r w:rsidR="00182A92">
        <w:t xml:space="preserve">assessment panel </w:t>
      </w:r>
      <w:r>
        <w:t xml:space="preserve">held </w:t>
      </w:r>
      <w:r w:rsidR="005F29E0">
        <w:t xml:space="preserve">half hour engagement sessions with </w:t>
      </w:r>
      <w:r w:rsidR="003452CA">
        <w:t xml:space="preserve">each of </w:t>
      </w:r>
      <w:r w:rsidR="005F29E0">
        <w:t xml:space="preserve">the six providers </w:t>
      </w:r>
      <w:r w:rsidR="003452CA">
        <w:t xml:space="preserve">between 16 and </w:t>
      </w:r>
      <w:r w:rsidR="00DF02D2">
        <w:t>18</w:t>
      </w:r>
      <w:r w:rsidR="00BA72DA">
        <w:t> </w:t>
      </w:r>
      <w:r w:rsidR="00DF02D2">
        <w:t>December 2025</w:t>
      </w:r>
      <w:r w:rsidR="00102F75">
        <w:t>.</w:t>
      </w:r>
      <w:r>
        <w:t xml:space="preserve"> </w:t>
      </w:r>
      <w:r w:rsidR="003F5065">
        <w:t xml:space="preserve">HHFT told the Panel that </w:t>
      </w:r>
      <w:r w:rsidR="00915AE3">
        <w:t xml:space="preserve">the </w:t>
      </w:r>
      <w:r w:rsidR="00E925AE">
        <w:t>purpose of these sessions was</w:t>
      </w:r>
      <w:r w:rsidR="00C21027">
        <w:t xml:space="preserve"> </w:t>
      </w:r>
      <w:r w:rsidR="007F7CDF">
        <w:t>to:</w:t>
      </w:r>
      <w:bookmarkEnd w:id="12"/>
    </w:p>
    <w:p w14:paraId="44284FCD" w14:textId="01C959AD" w:rsidR="005400E0" w:rsidRPr="007E5641" w:rsidRDefault="009D3DF1" w:rsidP="00BD0BD8">
      <w:pPr>
        <w:pStyle w:val="ListParagraph"/>
        <w:numPr>
          <w:ilvl w:val="0"/>
          <w:numId w:val="12"/>
        </w:numPr>
        <w:contextualSpacing/>
      </w:pPr>
      <w:r w:rsidRPr="007E5641">
        <w:t>“</w:t>
      </w:r>
      <w:r w:rsidR="006A28F2" w:rsidRPr="007E5641">
        <w:t>Enable WPL to confirm to providers the intended assessment of the 5 key criteria under the PSR and allow providers to seek any clarifications around this</w:t>
      </w:r>
      <w:r w:rsidRPr="007E5641">
        <w:t>;</w:t>
      </w:r>
    </w:p>
    <w:p w14:paraId="3F9DFA02" w14:textId="26827B57" w:rsidR="005400E0" w:rsidRPr="007E5641" w:rsidRDefault="00862268" w:rsidP="00BD0BD8">
      <w:pPr>
        <w:pStyle w:val="ListParagraph"/>
        <w:numPr>
          <w:ilvl w:val="0"/>
          <w:numId w:val="12"/>
        </w:numPr>
        <w:contextualSpacing/>
      </w:pPr>
      <w:r>
        <w:t>“</w:t>
      </w:r>
      <w:r w:rsidR="00D12EAC" w:rsidRPr="007E5641">
        <w:t>Enable the assessment panel to obtain clarification against the provider assessment proposals already returned</w:t>
      </w:r>
      <w:r w:rsidR="009D3DF1" w:rsidRPr="007E5641">
        <w:t>;</w:t>
      </w:r>
    </w:p>
    <w:p w14:paraId="0786EC92" w14:textId="3F2E0BA6" w:rsidR="003E1AA4" w:rsidRPr="007E5641" w:rsidRDefault="00862268" w:rsidP="00BD0BD8">
      <w:pPr>
        <w:pStyle w:val="ListParagraph"/>
        <w:numPr>
          <w:ilvl w:val="0"/>
          <w:numId w:val="12"/>
        </w:numPr>
        <w:contextualSpacing/>
      </w:pPr>
      <w:r>
        <w:t>“</w:t>
      </w:r>
      <w:r w:rsidR="00D12EAC" w:rsidRPr="007E5641">
        <w:t>Enable the assessment panel to better understand the providers approach around continuous service improvement and integration</w:t>
      </w:r>
      <w:r w:rsidR="009D3DF1" w:rsidRPr="007E5641">
        <w:t>;</w:t>
      </w:r>
    </w:p>
    <w:p w14:paraId="51B8F7AE" w14:textId="359B8DF4" w:rsidR="00D12EAC" w:rsidRPr="007E5641" w:rsidRDefault="00862268" w:rsidP="00BD0BD8">
      <w:pPr>
        <w:pStyle w:val="ListParagraph"/>
        <w:numPr>
          <w:ilvl w:val="0"/>
          <w:numId w:val="12"/>
        </w:numPr>
      </w:pPr>
      <w:r>
        <w:t>“</w:t>
      </w:r>
      <w:r w:rsidR="00D12EAC" w:rsidRPr="007E5641">
        <w:t>Enable providers to demonstrate on a clinical level their understanding/experience of the challenges in operating UTC services within the NHS Unscheduled Care environment.”</w:t>
      </w:r>
      <w:r w:rsidR="00677FCA" w:rsidRPr="007E5641">
        <w:rPr>
          <w:rStyle w:val="FootnoteReference"/>
          <w:sz w:val="21"/>
          <w:szCs w:val="21"/>
        </w:rPr>
        <w:footnoteReference w:id="14"/>
      </w:r>
    </w:p>
    <w:p w14:paraId="356B049A" w14:textId="40D8E45B" w:rsidR="00031E27" w:rsidRDefault="00844B67" w:rsidP="001D26F6">
      <w:pPr>
        <w:pStyle w:val="ListParagraph"/>
      </w:pPr>
      <w:r>
        <w:t>Following the engagement sessions, proposals were individually evaluated and scored</w:t>
      </w:r>
      <w:r w:rsidR="00BB2CA2">
        <w:t xml:space="preserve"> </w:t>
      </w:r>
      <w:r w:rsidR="00CE0043">
        <w:t xml:space="preserve">by </w:t>
      </w:r>
      <w:r w:rsidR="00D15FE8">
        <w:t xml:space="preserve">members of </w:t>
      </w:r>
      <w:r w:rsidR="008C1A53">
        <w:t>the</w:t>
      </w:r>
      <w:r w:rsidR="00C51CCC">
        <w:t xml:space="preserve"> a</w:t>
      </w:r>
      <w:r w:rsidR="00EF1A80" w:rsidRPr="00F52D0B">
        <w:t xml:space="preserve">ssessment </w:t>
      </w:r>
      <w:r w:rsidR="00C51CCC">
        <w:t>p</w:t>
      </w:r>
      <w:r w:rsidR="00EF1A80" w:rsidRPr="00F52D0B">
        <w:t>anel</w:t>
      </w:r>
      <w:r w:rsidR="00BB2CA2">
        <w:t>. M</w:t>
      </w:r>
      <w:r w:rsidR="00DB4E29">
        <w:t xml:space="preserve">oderation sessions were </w:t>
      </w:r>
      <w:r w:rsidR="00BB2CA2">
        <w:t xml:space="preserve">then </w:t>
      </w:r>
      <w:r w:rsidR="00DB4E29">
        <w:t xml:space="preserve">held to </w:t>
      </w:r>
      <w:r w:rsidR="00C94C91">
        <w:t xml:space="preserve">decide </w:t>
      </w:r>
      <w:r w:rsidR="003D7369">
        <w:t>final moderated scores</w:t>
      </w:r>
      <w:r w:rsidR="00C75DDA">
        <w:t xml:space="preserve"> for each proposal</w:t>
      </w:r>
      <w:r w:rsidR="00623CCC">
        <w:t>.</w:t>
      </w:r>
      <w:r w:rsidR="0037242D">
        <w:t xml:space="preserve"> </w:t>
      </w:r>
      <w:r w:rsidR="00FF7CF8">
        <w:t xml:space="preserve">The proposal submitted by </w:t>
      </w:r>
      <w:proofErr w:type="spellStart"/>
      <w:r w:rsidR="0037242D">
        <w:t>Atrumed</w:t>
      </w:r>
      <w:proofErr w:type="spellEnd"/>
      <w:r w:rsidR="0037242D">
        <w:t xml:space="preserve"> </w:t>
      </w:r>
      <w:r w:rsidR="007B5C30">
        <w:t>Healthcare</w:t>
      </w:r>
      <w:r w:rsidR="00FF7CF8">
        <w:t xml:space="preserve"> (</w:t>
      </w:r>
      <w:proofErr w:type="spellStart"/>
      <w:r w:rsidR="00FF7CF8">
        <w:t>Atrumed</w:t>
      </w:r>
      <w:proofErr w:type="spellEnd"/>
      <w:r w:rsidR="00FF7CF8">
        <w:t>)</w:t>
      </w:r>
      <w:r w:rsidR="00FF7CF8" w:rsidRPr="008C1759">
        <w:rPr>
          <w:rStyle w:val="FootnoteReference"/>
        </w:rPr>
        <w:footnoteReference w:id="15"/>
      </w:r>
      <w:r w:rsidR="007B5C30">
        <w:t xml:space="preserve"> </w:t>
      </w:r>
      <w:r w:rsidR="0037242D">
        <w:t xml:space="preserve">was ranked </w:t>
      </w:r>
      <w:r w:rsidR="00C151D1">
        <w:t>first</w:t>
      </w:r>
      <w:r w:rsidR="007B5C30">
        <w:t>, while NHUC’s proposal was ranked</w:t>
      </w:r>
      <w:r w:rsidR="00405419">
        <w:t xml:space="preserve"> </w:t>
      </w:r>
      <w:r w:rsidR="00340937">
        <w:t>fifth</w:t>
      </w:r>
      <w:r w:rsidR="007B5C30">
        <w:t>.</w:t>
      </w:r>
    </w:p>
    <w:p w14:paraId="6ADDCF09" w14:textId="6946F744" w:rsidR="00FC4DDA" w:rsidRDefault="00F018D0" w:rsidP="00F018D0">
      <w:pPr>
        <w:pStyle w:val="ListParagraph"/>
      </w:pPr>
      <w:r>
        <w:t xml:space="preserve">On 29 December 2025, HHFT wrote to </w:t>
      </w:r>
      <w:proofErr w:type="spellStart"/>
      <w:r>
        <w:t>Atrumed</w:t>
      </w:r>
      <w:proofErr w:type="spellEnd"/>
      <w:r>
        <w:t xml:space="preserve"> saying that it was the preferred provider for Lots 1 and 2.</w:t>
      </w:r>
      <w:r w:rsidR="00DB0092">
        <w:rPr>
          <w:rStyle w:val="FootnoteReference"/>
        </w:rPr>
        <w:footnoteReference w:id="16"/>
      </w:r>
      <w:r>
        <w:t xml:space="preserve"> That same day, </w:t>
      </w:r>
      <w:r w:rsidR="00DA7392" w:rsidRPr="00F52D0B">
        <w:t>HHFT</w:t>
      </w:r>
      <w:r w:rsidR="003E56A7" w:rsidRPr="00F52D0B">
        <w:t xml:space="preserve"> published an intention to award </w:t>
      </w:r>
      <w:r w:rsidR="003E56A7" w:rsidRPr="00F52D0B">
        <w:lastRenderedPageBreak/>
        <w:t>notice</w:t>
      </w:r>
      <w:r w:rsidR="00FC4DDA">
        <w:t>, which suggest</w:t>
      </w:r>
      <w:r w:rsidR="00FC201C">
        <w:t>ed</w:t>
      </w:r>
      <w:r w:rsidR="00FC4DDA">
        <w:t xml:space="preserve"> that </w:t>
      </w:r>
      <w:r w:rsidR="00FB7F8E">
        <w:t>HHFT only intended to award a contract for Lot 1.</w:t>
      </w:r>
      <w:r w:rsidR="00B27352">
        <w:rPr>
          <w:rStyle w:val="FootnoteReference"/>
        </w:rPr>
        <w:footnoteReference w:id="17"/>
      </w:r>
      <w:r w:rsidR="00BB4D63">
        <w:t xml:space="preserve"> (This issue is explored further in Section 7.2</w:t>
      </w:r>
      <w:r w:rsidR="00591970">
        <w:t>.2.)</w:t>
      </w:r>
    </w:p>
    <w:p w14:paraId="76171AF3" w14:textId="4A3A8D30" w:rsidR="002356B5" w:rsidRDefault="00FE2BD1" w:rsidP="00605FEE">
      <w:pPr>
        <w:pStyle w:val="ListParagraph"/>
      </w:pPr>
      <w:r>
        <w:t xml:space="preserve">On 8 January 2026, </w:t>
      </w:r>
      <w:r w:rsidR="00F52D0B">
        <w:t xml:space="preserve">before the end of the standstill period, NHUC raised concerns with HHFT </w:t>
      </w:r>
      <w:r w:rsidR="006D53A8">
        <w:t xml:space="preserve">about the provider selection process </w:t>
      </w:r>
      <w:r w:rsidR="00F52D0B">
        <w:t>and requested information</w:t>
      </w:r>
      <w:r w:rsidR="0044253A">
        <w:t xml:space="preserve"> </w:t>
      </w:r>
      <w:r w:rsidR="00B15730">
        <w:t xml:space="preserve">about </w:t>
      </w:r>
      <w:r w:rsidR="0044253A">
        <w:t>the process.</w:t>
      </w:r>
      <w:r w:rsidR="00787472">
        <w:t xml:space="preserve"> HHFT</w:t>
      </w:r>
      <w:r w:rsidR="00D472B2">
        <w:t xml:space="preserve"> responded</w:t>
      </w:r>
      <w:r w:rsidR="00787472">
        <w:t xml:space="preserve"> to NHUC</w:t>
      </w:r>
      <w:r w:rsidR="00D472B2">
        <w:t>’s representations and information requests on 15</w:t>
      </w:r>
      <w:r w:rsidR="006D53A8">
        <w:t> </w:t>
      </w:r>
      <w:r w:rsidR="00D472B2">
        <w:t xml:space="preserve">January and </w:t>
      </w:r>
      <w:r w:rsidR="004F2E63">
        <w:t xml:space="preserve">at the same time </w:t>
      </w:r>
      <w:r w:rsidR="00D472B2">
        <w:t xml:space="preserve">communicated </w:t>
      </w:r>
      <w:r w:rsidR="00187F73">
        <w:t>it</w:t>
      </w:r>
      <w:r w:rsidR="008D06FE">
        <w:t>s</w:t>
      </w:r>
      <w:r w:rsidR="00187F73">
        <w:t xml:space="preserve"> further decision to continue with the contract award to </w:t>
      </w:r>
      <w:proofErr w:type="spellStart"/>
      <w:r w:rsidR="00187F73">
        <w:t>Atrumed</w:t>
      </w:r>
      <w:proofErr w:type="spellEnd"/>
      <w:r w:rsidR="00187F73">
        <w:t>.</w:t>
      </w:r>
    </w:p>
    <w:p w14:paraId="2B8F47A0" w14:textId="258ECADB" w:rsidR="001664F9" w:rsidRPr="00FE2BD1" w:rsidRDefault="00985B16" w:rsidP="00605FEE">
      <w:pPr>
        <w:pStyle w:val="ListParagraph"/>
      </w:pPr>
      <w:r>
        <w:t>O</w:t>
      </w:r>
      <w:r w:rsidR="001664F9">
        <w:t>n 20 January 2026</w:t>
      </w:r>
      <w:r>
        <w:t>, NHUC asked the Panel to</w:t>
      </w:r>
      <w:r w:rsidR="001664F9">
        <w:t xml:space="preserve"> review HHFT’s </w:t>
      </w:r>
      <w:r w:rsidR="00CF63A2">
        <w:t>provider selection process. The Panel accepted NHUC’s request on 21 January. On being made aware of the Panel’s case acceptance decision, HHFT confirmed that it would hold the standstill period open for the duration of the Panel’s review.</w:t>
      </w:r>
    </w:p>
    <w:p w14:paraId="40999B88" w14:textId="3C4D9585" w:rsidR="006C58CF" w:rsidRDefault="00743393" w:rsidP="005E3256">
      <w:pPr>
        <w:pStyle w:val="Heading1"/>
        <w:ind w:left="567" w:hanging="567"/>
      </w:pPr>
      <w:bookmarkStart w:id="13" w:name="_Toc225930402"/>
      <w:r>
        <w:t xml:space="preserve">Representations by </w:t>
      </w:r>
      <w:r w:rsidR="00C6100A">
        <w:t>NHUC</w:t>
      </w:r>
      <w:bookmarkEnd w:id="13"/>
    </w:p>
    <w:p w14:paraId="7A4127CD" w14:textId="2394A2BB" w:rsidR="00743393" w:rsidRDefault="004027DC" w:rsidP="005E3256">
      <w:pPr>
        <w:pStyle w:val="ListParagraph"/>
        <w:spacing w:after="120"/>
      </w:pPr>
      <w:bookmarkStart w:id="14" w:name="_Ref222145202"/>
      <w:r>
        <w:t>NHUC</w:t>
      </w:r>
      <w:r w:rsidR="00743393">
        <w:t>’s concerns</w:t>
      </w:r>
      <w:r>
        <w:t xml:space="preserve">, </w:t>
      </w:r>
      <w:r w:rsidR="00743393">
        <w:t>as</w:t>
      </w:r>
      <w:r w:rsidR="004851EC">
        <w:t xml:space="preserve"> set out in </w:t>
      </w:r>
      <w:r w:rsidR="005A0B0C">
        <w:t>i</w:t>
      </w:r>
      <w:r w:rsidR="00743393">
        <w:t>ts representations to the Panel,</w:t>
      </w:r>
      <w:r w:rsidR="004851EC">
        <w:t xml:space="preserve"> </w:t>
      </w:r>
      <w:r w:rsidR="00743393">
        <w:t>were as follows:</w:t>
      </w:r>
      <w:bookmarkEnd w:id="14"/>
    </w:p>
    <w:p w14:paraId="3C20F0B2" w14:textId="1ECD12C0" w:rsidR="0026255C" w:rsidRPr="00B32B4F" w:rsidRDefault="00FB61F3" w:rsidP="005E3256">
      <w:pPr>
        <w:spacing w:after="120" w:line="259" w:lineRule="auto"/>
        <w:ind w:left="851"/>
        <w:rPr>
          <w:sz w:val="21"/>
          <w:szCs w:val="21"/>
        </w:rPr>
      </w:pPr>
      <w:r w:rsidRPr="00B32B4F">
        <w:rPr>
          <w:sz w:val="21"/>
          <w:szCs w:val="21"/>
        </w:rPr>
        <w:t>“</w:t>
      </w:r>
      <w:r w:rsidR="00640176" w:rsidRPr="00B32B4F">
        <w:rPr>
          <w:sz w:val="21"/>
          <w:szCs w:val="21"/>
        </w:rPr>
        <w:t>we consider that the relevant authority has run a competitive process under the auspices of the most suitable provider process. For example, the process run by the relevant authority invited providers to submit variant bids, something which is incompatible with the most suitable provider process</w:t>
      </w:r>
      <w:r w:rsidR="00203A6F">
        <w:rPr>
          <w:sz w:val="21"/>
          <w:szCs w:val="21"/>
        </w:rPr>
        <w:t xml:space="preserve"> …</w:t>
      </w:r>
    </w:p>
    <w:p w14:paraId="708A4295" w14:textId="77777777" w:rsidR="00CF42BE" w:rsidRPr="00374646" w:rsidRDefault="0021319C" w:rsidP="005E3256">
      <w:pPr>
        <w:spacing w:after="120" w:line="259" w:lineRule="auto"/>
        <w:ind w:left="851"/>
        <w:rPr>
          <w:sz w:val="21"/>
          <w:szCs w:val="21"/>
        </w:rPr>
      </w:pPr>
      <w:r w:rsidRPr="00374646">
        <w:rPr>
          <w:sz w:val="21"/>
          <w:szCs w:val="21"/>
        </w:rPr>
        <w:t>“</w:t>
      </w:r>
      <w:r w:rsidR="0054113B" w:rsidRPr="00374646">
        <w:rPr>
          <w:sz w:val="21"/>
          <w:szCs w:val="21"/>
        </w:rPr>
        <w:t xml:space="preserve">The running of the </w:t>
      </w:r>
      <w:r w:rsidR="00CF42BE" w:rsidRPr="00374646">
        <w:rPr>
          <w:sz w:val="21"/>
          <w:szCs w:val="21"/>
        </w:rPr>
        <w:t>‘</w:t>
      </w:r>
      <w:r w:rsidR="0054113B" w:rsidRPr="00374646">
        <w:rPr>
          <w:sz w:val="21"/>
          <w:szCs w:val="21"/>
        </w:rPr>
        <w:t>most suitable provider</w:t>
      </w:r>
      <w:r w:rsidR="00CF42BE" w:rsidRPr="00374646">
        <w:rPr>
          <w:sz w:val="21"/>
          <w:szCs w:val="21"/>
        </w:rPr>
        <w:t>’</w:t>
      </w:r>
      <w:r w:rsidR="0054113B" w:rsidRPr="00374646">
        <w:rPr>
          <w:sz w:val="21"/>
          <w:szCs w:val="21"/>
        </w:rPr>
        <w:t xml:space="preserve"> process:</w:t>
      </w:r>
    </w:p>
    <w:p w14:paraId="07738E51" w14:textId="2D9E3F1A" w:rsidR="00452AE8" w:rsidRPr="005E3256" w:rsidRDefault="00496820" w:rsidP="00BD0BD8">
      <w:pPr>
        <w:pStyle w:val="ListParagraph"/>
        <w:numPr>
          <w:ilvl w:val="0"/>
          <w:numId w:val="13"/>
        </w:numPr>
        <w:spacing w:after="120" w:line="259" w:lineRule="auto"/>
        <w:ind w:left="1701" w:hanging="567"/>
        <w:rPr>
          <w:sz w:val="21"/>
          <w:szCs w:val="21"/>
        </w:rPr>
      </w:pPr>
      <w:r>
        <w:rPr>
          <w:sz w:val="21"/>
          <w:szCs w:val="21"/>
        </w:rPr>
        <w:t>“</w:t>
      </w:r>
      <w:r w:rsidR="00AE4ACF" w:rsidRPr="005E3256">
        <w:rPr>
          <w:sz w:val="21"/>
          <w:szCs w:val="21"/>
        </w:rPr>
        <w:t>…</w:t>
      </w:r>
      <w:r w:rsidR="0054113B" w:rsidRPr="005E3256">
        <w:rPr>
          <w:sz w:val="21"/>
          <w:szCs w:val="21"/>
        </w:rPr>
        <w:t xml:space="preserve"> the relevant authority has sought to characterise this as a question of unfortunate language and presentation, rather than substance, but our concerns clearly relate to the nature of the process which has been carried out. As set out in our representations, the relevant authority required providers to respond to a bid document. That document contained questions relating to price and providers’ proposals for delivery of the service, broken down by each of the key criteria. The relevant authority even went so far as to invite variant bids.</w:t>
      </w:r>
    </w:p>
    <w:p w14:paraId="09FF9A90" w14:textId="1C13D61A" w:rsidR="0054113B" w:rsidRPr="005E3256" w:rsidRDefault="003B47CE" w:rsidP="00BD0BD8">
      <w:pPr>
        <w:pStyle w:val="ListParagraph"/>
        <w:numPr>
          <w:ilvl w:val="0"/>
          <w:numId w:val="13"/>
        </w:numPr>
        <w:spacing w:after="120" w:line="259" w:lineRule="auto"/>
        <w:ind w:left="1701" w:hanging="425"/>
        <w:rPr>
          <w:sz w:val="21"/>
          <w:szCs w:val="21"/>
        </w:rPr>
      </w:pPr>
      <w:r>
        <w:rPr>
          <w:sz w:val="21"/>
          <w:szCs w:val="21"/>
        </w:rPr>
        <w:t>“</w:t>
      </w:r>
      <w:r w:rsidR="0054113B" w:rsidRPr="005E3256">
        <w:rPr>
          <w:sz w:val="21"/>
          <w:szCs w:val="21"/>
        </w:rPr>
        <w:t>In light of the response from the relevant authority and its description of the process, we remain of the view that the relevant authority ran a competitive process, in all but name, did not follow the process set out in regulation 10 of the PSR Regulations and the NHS England Statutory Guidance, and the conditions in regulation 6(6) of the PSR Regulations to follow the most suitable provider process cannot have been met. The relevant authority has provided no information or evidence to support their assertion that they ran a most suitable provider process rather than a competitive process or to provide reasons for the relevant authority’s decision that the most suitable provider process was permitted.</w:t>
      </w:r>
    </w:p>
    <w:p w14:paraId="063CD00E" w14:textId="77777777" w:rsidR="00E11AE1" w:rsidRPr="00E3369C" w:rsidRDefault="0021319C" w:rsidP="005E3256">
      <w:pPr>
        <w:spacing w:after="120" w:line="259" w:lineRule="auto"/>
        <w:ind w:left="851"/>
        <w:rPr>
          <w:sz w:val="21"/>
          <w:szCs w:val="21"/>
        </w:rPr>
      </w:pPr>
      <w:r w:rsidRPr="00E3369C">
        <w:rPr>
          <w:sz w:val="21"/>
          <w:szCs w:val="21"/>
        </w:rPr>
        <w:t>“</w:t>
      </w:r>
      <w:r w:rsidR="00D345E2" w:rsidRPr="00E3369C">
        <w:rPr>
          <w:sz w:val="21"/>
          <w:szCs w:val="21"/>
        </w:rPr>
        <w:t>How have bids been assessed:</w:t>
      </w:r>
    </w:p>
    <w:p w14:paraId="0C0D699B" w14:textId="2062B4C4" w:rsidR="00E11AE1" w:rsidRPr="005E3256" w:rsidRDefault="003B47CE" w:rsidP="00BD0BD8">
      <w:pPr>
        <w:pStyle w:val="ListParagraph"/>
        <w:numPr>
          <w:ilvl w:val="0"/>
          <w:numId w:val="14"/>
        </w:numPr>
        <w:spacing w:after="120" w:line="259" w:lineRule="auto"/>
        <w:ind w:left="1701" w:hanging="425"/>
        <w:rPr>
          <w:sz w:val="21"/>
          <w:szCs w:val="21"/>
        </w:rPr>
      </w:pPr>
      <w:r>
        <w:rPr>
          <w:sz w:val="21"/>
          <w:szCs w:val="21"/>
        </w:rPr>
        <w:t>“</w:t>
      </w:r>
      <w:r w:rsidR="00D345E2" w:rsidRPr="005E3256">
        <w:rPr>
          <w:sz w:val="21"/>
          <w:szCs w:val="21"/>
        </w:rPr>
        <w:t xml:space="preserve">The information included in the outcome letter (which included scores and reasons) indicates that an evaluation was carried out. However, the relevant authority did not provide us with information on how our bid would be assessed and how the key criteria would be </w:t>
      </w:r>
      <w:proofErr w:type="gramStart"/>
      <w:r w:rsidR="00D345E2" w:rsidRPr="005E3256">
        <w:rPr>
          <w:sz w:val="21"/>
          <w:szCs w:val="21"/>
        </w:rPr>
        <w:t>taken into account</w:t>
      </w:r>
      <w:proofErr w:type="gramEnd"/>
      <w:r w:rsidR="00D345E2" w:rsidRPr="005E3256">
        <w:rPr>
          <w:sz w:val="21"/>
          <w:szCs w:val="21"/>
        </w:rPr>
        <w:t xml:space="preserve"> and basic selection criteria assessed when </w:t>
      </w:r>
      <w:proofErr w:type="gramStart"/>
      <w:r w:rsidR="00D345E2" w:rsidRPr="005E3256">
        <w:rPr>
          <w:sz w:val="21"/>
          <w:szCs w:val="21"/>
        </w:rPr>
        <w:t>making a decision</w:t>
      </w:r>
      <w:proofErr w:type="gramEnd"/>
      <w:r w:rsidR="00D345E2" w:rsidRPr="005E3256">
        <w:rPr>
          <w:sz w:val="21"/>
          <w:szCs w:val="21"/>
        </w:rPr>
        <w:t xml:space="preserve">, in breach of regulation 4 </w:t>
      </w:r>
      <w:r w:rsidR="00D345E2" w:rsidRPr="005E3256">
        <w:rPr>
          <w:sz w:val="21"/>
          <w:szCs w:val="21"/>
        </w:rPr>
        <w:lastRenderedPageBreak/>
        <w:t>of the PSR regulations. We have still not been provided with any information regarding the criteria and methodology used to award scores.</w:t>
      </w:r>
    </w:p>
    <w:p w14:paraId="2EB75020" w14:textId="64DA10C5" w:rsidR="00E11AE1" w:rsidRPr="005E3256" w:rsidRDefault="003B47CE" w:rsidP="00BD0BD8">
      <w:pPr>
        <w:pStyle w:val="ListParagraph"/>
        <w:numPr>
          <w:ilvl w:val="0"/>
          <w:numId w:val="14"/>
        </w:numPr>
        <w:spacing w:after="120" w:line="259" w:lineRule="auto"/>
        <w:ind w:left="1701" w:hanging="425"/>
        <w:rPr>
          <w:sz w:val="21"/>
          <w:szCs w:val="21"/>
        </w:rPr>
      </w:pPr>
      <w:r>
        <w:rPr>
          <w:sz w:val="21"/>
          <w:szCs w:val="21"/>
        </w:rPr>
        <w:t>“</w:t>
      </w:r>
      <w:r w:rsidR="00D345E2" w:rsidRPr="005E3256">
        <w:rPr>
          <w:sz w:val="21"/>
          <w:szCs w:val="21"/>
        </w:rPr>
        <w:t>The relevant authority has not engaged with the concerns that we detailed in our representation letter and, instead, stated in its response that “You have been clear in the initial pages of your letter that your complaint was that the trust deviated into a competitive process, however your concern here appears to be that the trust’s process required greater competition. Unfortunately, both these positions cannot be true.</w:t>
      </w:r>
    </w:p>
    <w:p w14:paraId="327D1018" w14:textId="3520AF8B" w:rsidR="00D345E2" w:rsidRPr="005E3256" w:rsidRDefault="003B47CE" w:rsidP="00BD0BD8">
      <w:pPr>
        <w:pStyle w:val="ListParagraph"/>
        <w:numPr>
          <w:ilvl w:val="0"/>
          <w:numId w:val="14"/>
        </w:numPr>
        <w:spacing w:after="120" w:line="259" w:lineRule="auto"/>
        <w:ind w:left="1701" w:hanging="425"/>
        <w:rPr>
          <w:sz w:val="21"/>
          <w:szCs w:val="21"/>
        </w:rPr>
      </w:pPr>
      <w:r>
        <w:rPr>
          <w:sz w:val="21"/>
          <w:szCs w:val="21"/>
        </w:rPr>
        <w:t>“</w:t>
      </w:r>
      <w:r w:rsidR="00D345E2" w:rsidRPr="005E3256">
        <w:rPr>
          <w:sz w:val="21"/>
          <w:szCs w:val="21"/>
        </w:rPr>
        <w:t>Our representations clearly referred to the lack of transparency and fairness in the way proposals were evaluated. Nothing in our representations referred to a view that the relevant authority’s process required “greater competition”. Given the lack of engagement with our concerns, the issues under this heading in our representation letter remain outstanding.</w:t>
      </w:r>
    </w:p>
    <w:p w14:paraId="0C425939" w14:textId="77777777" w:rsidR="00E11AE1" w:rsidRPr="00E3369C" w:rsidRDefault="00D240A7" w:rsidP="005E3256">
      <w:pPr>
        <w:spacing w:after="120" w:line="259" w:lineRule="auto"/>
        <w:ind w:left="851"/>
        <w:rPr>
          <w:sz w:val="21"/>
          <w:szCs w:val="21"/>
        </w:rPr>
      </w:pPr>
      <w:r w:rsidRPr="00E3369C">
        <w:rPr>
          <w:sz w:val="21"/>
          <w:szCs w:val="21"/>
        </w:rPr>
        <w:t>“</w:t>
      </w:r>
      <w:r w:rsidR="00D345E2" w:rsidRPr="00E3369C">
        <w:rPr>
          <w:sz w:val="21"/>
          <w:szCs w:val="21"/>
        </w:rPr>
        <w:t>Assessment of integration, collaboration, and sustainability:</w:t>
      </w:r>
    </w:p>
    <w:p w14:paraId="5952C575" w14:textId="1FA0DE5A" w:rsidR="00E11AE1" w:rsidRPr="00E3369C" w:rsidRDefault="0061587A" w:rsidP="005E3256">
      <w:pPr>
        <w:spacing w:after="120" w:line="259" w:lineRule="auto"/>
        <w:ind w:left="851"/>
        <w:rPr>
          <w:sz w:val="21"/>
          <w:szCs w:val="21"/>
        </w:rPr>
      </w:pPr>
      <w:r w:rsidRPr="00E3369C">
        <w:rPr>
          <w:sz w:val="21"/>
          <w:szCs w:val="21"/>
        </w:rPr>
        <w:t>“</w:t>
      </w:r>
      <w:r w:rsidR="00D345E2" w:rsidRPr="00E3369C">
        <w:rPr>
          <w:sz w:val="21"/>
          <w:szCs w:val="21"/>
        </w:rPr>
        <w:t xml:space="preserve">The relevant authority has disregarded the issues raised under this heading in our representations and simply stated </w:t>
      </w:r>
      <w:r w:rsidR="00E11AE1" w:rsidRPr="00E3369C">
        <w:rPr>
          <w:sz w:val="21"/>
          <w:szCs w:val="21"/>
        </w:rPr>
        <w:t>‘</w:t>
      </w:r>
      <w:r w:rsidR="00D345E2" w:rsidRPr="00E3369C">
        <w:rPr>
          <w:sz w:val="21"/>
          <w:szCs w:val="21"/>
        </w:rPr>
        <w:t>in accordance with the process undertaken, in accordance with the regulations, the trust has decided that another provider will be more suitable going forward</w:t>
      </w:r>
      <w:r w:rsidR="00E11AE1" w:rsidRPr="00E3369C">
        <w:rPr>
          <w:sz w:val="21"/>
          <w:szCs w:val="21"/>
        </w:rPr>
        <w:t>’.</w:t>
      </w:r>
      <w:r w:rsidR="00D345E2" w:rsidRPr="00E3369C">
        <w:rPr>
          <w:sz w:val="21"/>
          <w:szCs w:val="21"/>
        </w:rPr>
        <w:t xml:space="preserve"> The issues under this heading remain outstanding.</w:t>
      </w:r>
    </w:p>
    <w:p w14:paraId="35E4E945" w14:textId="0E61CC0C" w:rsidR="00D345E2" w:rsidRPr="00E3369C" w:rsidRDefault="00D240A7" w:rsidP="005E3256">
      <w:pPr>
        <w:spacing w:line="259" w:lineRule="auto"/>
        <w:ind w:left="851"/>
        <w:rPr>
          <w:sz w:val="21"/>
          <w:szCs w:val="21"/>
        </w:rPr>
      </w:pPr>
      <w:r w:rsidRPr="00E3369C">
        <w:rPr>
          <w:sz w:val="21"/>
          <w:szCs w:val="21"/>
        </w:rPr>
        <w:t>“</w:t>
      </w:r>
      <w:r w:rsidR="00D345E2" w:rsidRPr="00E3369C">
        <w:rPr>
          <w:sz w:val="21"/>
          <w:szCs w:val="21"/>
        </w:rPr>
        <w:t>In addition, we ask the Panel to consider the way that our request for information has been dealt with. Specifically, in our letter of 8 January 2026, we requested various information from the relevant authority which the relevant authority was required to keep under regulation 24 of the PSR Regulations and the NHS England Statutory</w:t>
      </w:r>
      <w:r w:rsidR="00E11AE1" w:rsidRPr="00E3369C">
        <w:rPr>
          <w:sz w:val="21"/>
          <w:szCs w:val="21"/>
        </w:rPr>
        <w:t xml:space="preserve"> </w:t>
      </w:r>
      <w:r w:rsidR="00D345E2" w:rsidRPr="00E3369C">
        <w:rPr>
          <w:sz w:val="21"/>
          <w:szCs w:val="21"/>
        </w:rPr>
        <w:t>Guidance. The information provided by the relevant authority is very limited, in most cases simply referring to the published notice, and much of the information that we requested has not been provided, in breach of regulation 12(4)(b). That the relevant authority cannot explain the reasons for its decisions gives rise to concerns that the</w:t>
      </w:r>
      <w:r w:rsidR="00E11AE1" w:rsidRPr="00E3369C">
        <w:rPr>
          <w:sz w:val="21"/>
          <w:szCs w:val="21"/>
        </w:rPr>
        <w:t xml:space="preserve"> </w:t>
      </w:r>
      <w:r w:rsidR="00D345E2" w:rsidRPr="00E3369C">
        <w:rPr>
          <w:sz w:val="21"/>
          <w:szCs w:val="21"/>
        </w:rPr>
        <w:t>relevant authority has not complied with its record keeping obligations under regulation 24.</w:t>
      </w:r>
      <w:r w:rsidR="00AF29A3" w:rsidRPr="00E3369C">
        <w:rPr>
          <w:sz w:val="21"/>
          <w:szCs w:val="21"/>
        </w:rPr>
        <w:t>”</w:t>
      </w:r>
    </w:p>
    <w:p w14:paraId="76CE3FD5" w14:textId="75A1D71E" w:rsidR="00D75974" w:rsidRDefault="00D75974" w:rsidP="00C564A8">
      <w:pPr>
        <w:pStyle w:val="Heading1"/>
        <w:ind w:left="567" w:hanging="567"/>
      </w:pPr>
      <w:bookmarkStart w:id="15" w:name="_Toc225930403"/>
      <w:r w:rsidRPr="00D75974">
        <w:t>PSR regulations relevant to this review</w:t>
      </w:r>
      <w:bookmarkEnd w:id="15"/>
    </w:p>
    <w:p w14:paraId="7FC4E7DF" w14:textId="122FE8DE" w:rsidR="00FB0CD3" w:rsidRDefault="00C00FF1" w:rsidP="009A3013">
      <w:pPr>
        <w:pStyle w:val="ListParagraph"/>
        <w:spacing w:after="120"/>
      </w:pPr>
      <w:r>
        <w:t>This section sets out t</w:t>
      </w:r>
      <w:r w:rsidR="00FB0CD3">
        <w:t>hose parts of the PSR regulations</w:t>
      </w:r>
      <w:r w:rsidR="00271E13">
        <w:t xml:space="preserve"> most relevant to this review:</w:t>
      </w:r>
    </w:p>
    <w:p w14:paraId="500CE6BA" w14:textId="092FD31A" w:rsidR="00FB0CD3" w:rsidRPr="00271E13" w:rsidRDefault="003366C8" w:rsidP="009A3013">
      <w:pPr>
        <w:pStyle w:val="ListParagraph"/>
        <w:numPr>
          <w:ilvl w:val="0"/>
          <w:numId w:val="8"/>
        </w:numPr>
        <w:spacing w:after="120"/>
      </w:pPr>
      <w:r w:rsidRPr="00271E13">
        <w:t xml:space="preserve">Regulation </w:t>
      </w:r>
      <w:r w:rsidR="00271E13">
        <w:t xml:space="preserve">4 </w:t>
      </w:r>
      <w:r w:rsidR="00BD0A70" w:rsidRPr="00271E13">
        <w:t xml:space="preserve">sets out </w:t>
      </w:r>
      <w:r w:rsidR="00271E13">
        <w:t>the general requirements on commissioners when selecting a provider of health care services. This states that “(1) When procuring relevant health care services, a relevant authority must act – (a) with a view to (</w:t>
      </w:r>
      <w:proofErr w:type="spellStart"/>
      <w:r w:rsidR="00271E13">
        <w:t>i</w:t>
      </w:r>
      <w:proofErr w:type="spellEnd"/>
      <w:r w:rsidR="00271E13">
        <w:t xml:space="preserve">) securing the needs of the people who use the services; (ii) improving the </w:t>
      </w:r>
      <w:r w:rsidR="00BF209B">
        <w:t>quality of the services; and (iii) improving the efficiency in the provision of the services; and (b) transparently, fairly and proportionately”.</w:t>
      </w:r>
    </w:p>
    <w:p w14:paraId="502092B3" w14:textId="21F9A983" w:rsidR="00AA0A85" w:rsidRDefault="00AA0A85" w:rsidP="009A3013">
      <w:pPr>
        <w:pStyle w:val="ListParagraph"/>
        <w:numPr>
          <w:ilvl w:val="0"/>
          <w:numId w:val="8"/>
        </w:numPr>
        <w:spacing w:after="120"/>
      </w:pPr>
      <w:r w:rsidRPr="002819CE">
        <w:t>Regulation</w:t>
      </w:r>
      <w:r w:rsidR="00BF209B" w:rsidRPr="002819CE">
        <w:t xml:space="preserve"> 6 sets out the appropriate process commissioners must follow when procuring a relevant health care service to which the PS regulations apply. This states that “(6)</w:t>
      </w:r>
      <w:r w:rsidRPr="002819CE">
        <w:t xml:space="preserve"> </w:t>
      </w:r>
      <w:r w:rsidR="00572745" w:rsidRPr="002819CE">
        <w:t xml:space="preserve">Where </w:t>
      </w:r>
      <w:r w:rsidR="00A06EAB" w:rsidRPr="002819CE">
        <w:t xml:space="preserve">(a) the relevant authority </w:t>
      </w:r>
      <w:r w:rsidR="002819CE" w:rsidRPr="002819CE">
        <w:t>is</w:t>
      </w:r>
      <w:r w:rsidR="00A06EAB" w:rsidRPr="002819CE">
        <w:t xml:space="preserve"> not required to follow Direct Award Process A or Direct Award Process B</w:t>
      </w:r>
      <w:r w:rsidR="001F5185" w:rsidRPr="002819CE">
        <w:t>, (b) paragraph (5) does not apply,</w:t>
      </w:r>
      <w:r w:rsidR="00025405">
        <w:t xml:space="preserve"> </w:t>
      </w:r>
      <w:r w:rsidR="001F5185" w:rsidRPr="002819CE">
        <w:t>(c)</w:t>
      </w:r>
      <w:r w:rsidR="00F30F3B">
        <w:t> </w:t>
      </w:r>
      <w:r w:rsidR="001F5185" w:rsidRPr="002819CE">
        <w:t>the relevant authority is of the view, taking into account likely providers and all relevant information available to the relevant authority at the time, that it is likely to be able to identify the most suitable provider, and (d) the procurement is not to conclude a framework agreement</w:t>
      </w:r>
      <w:r w:rsidR="00B567DD" w:rsidRPr="002819CE">
        <w:t>, the relevant authority must follow either the Most Suitable Provider Process or the Competitive Process, such choice being at the discretion of the relevant authority.”</w:t>
      </w:r>
    </w:p>
    <w:p w14:paraId="62B31CED" w14:textId="6FCB808C" w:rsidR="006873A4" w:rsidRDefault="006873A4" w:rsidP="009A3013">
      <w:pPr>
        <w:pStyle w:val="ListParagraph"/>
        <w:numPr>
          <w:ilvl w:val="0"/>
          <w:numId w:val="8"/>
        </w:numPr>
        <w:spacing w:after="120"/>
      </w:pPr>
      <w:r>
        <w:lastRenderedPageBreak/>
        <w:t xml:space="preserve">Regulation 10 sets out the obligations that apply to commissioners </w:t>
      </w:r>
      <w:r w:rsidR="00E062E2">
        <w:t>when following the Most Suitable Provider process. It sta</w:t>
      </w:r>
      <w:r w:rsidR="00D87BF2">
        <w:t>t</w:t>
      </w:r>
      <w:r w:rsidR="00E062E2">
        <w:t xml:space="preserve">es that </w:t>
      </w:r>
      <w:r w:rsidR="00D87BF2">
        <w:t xml:space="preserve">(1) Where the relevant authority follows the Most Suitable Provider process, the process is that the relevant authority </w:t>
      </w:r>
      <w:r w:rsidR="00BD5273">
        <w:t>(a) follows the steps set out in this regulation, and (b) awards any contract without a competition;</w:t>
      </w:r>
      <w:r w:rsidR="008C72D0">
        <w:t xml:space="preserve"> (2)</w:t>
      </w:r>
      <w:r w:rsidR="00BD5273">
        <w:t xml:space="preserve"> </w:t>
      </w:r>
      <w:r w:rsidR="007F3C90">
        <w:t xml:space="preserve">Step 1 </w:t>
      </w:r>
      <w:r w:rsidR="006F082E">
        <w:t>is that the relevant authority submits for publication on the UK e-notification service a notice of intention to follow the Most Suitable Provider process</w:t>
      </w:r>
      <w:r w:rsidR="008C72D0">
        <w:t>;</w:t>
      </w:r>
      <w:r w:rsidR="00C44ADE">
        <w:t xml:space="preserve"> </w:t>
      </w:r>
      <w:r w:rsidR="00B40EC9">
        <w:t>…</w:t>
      </w:r>
      <w:r w:rsidR="008C72D0">
        <w:t xml:space="preserve"> (4) Step 2 is that the relevant authority identifies potential providers who may be the most suitable provider, with reference to the key criteria and the basic selection criteria</w:t>
      </w:r>
      <w:r w:rsidR="00B40EC9">
        <w:t>;</w:t>
      </w:r>
      <w:r w:rsidR="0061518E">
        <w:t xml:space="preserve"> … (6) Step 3 is that the relevant authority assesses the potential providers identified in step 2 and chooses, taking into account the key criteria and applying the basic selection criteria, the most suitable provide to whom to make an award</w:t>
      </w:r>
      <w:r w:rsidR="00354387">
        <w:t xml:space="preserve"> …”</w:t>
      </w:r>
    </w:p>
    <w:p w14:paraId="3775CB7A" w14:textId="63707926" w:rsidR="00354387" w:rsidRDefault="00354387" w:rsidP="009A3013">
      <w:pPr>
        <w:pStyle w:val="ListParagraph"/>
        <w:numPr>
          <w:ilvl w:val="0"/>
          <w:numId w:val="8"/>
        </w:numPr>
        <w:spacing w:after="120"/>
      </w:pPr>
      <w:r>
        <w:t xml:space="preserve">Regulation 12 sets out the requirements on commissioners in relation to the standstill period after a contract award decision. </w:t>
      </w:r>
      <w:r w:rsidR="00302DC4">
        <w:t xml:space="preserve">It states that “(4) Where the relevant authority receives representations </w:t>
      </w:r>
      <w:r w:rsidR="00F6417B">
        <w:t xml:space="preserve">[during the standstill period], it must </w:t>
      </w:r>
      <w:r w:rsidR="00BA74C3">
        <w:t xml:space="preserve">… (b) </w:t>
      </w:r>
      <w:r w:rsidR="005268FB">
        <w:t>provide promptly any information requested by an aggrieved provider where the relevant authority has a duty to record that information under regulation 24 (information requirements)</w:t>
      </w:r>
      <w:r w:rsidR="008F5819">
        <w:t xml:space="preserve">; (c) </w:t>
      </w:r>
      <w:r w:rsidR="007F42BA">
        <w:t>review the decision to award the contract or conclude the framework agreement, taking into account the representations made …”</w:t>
      </w:r>
    </w:p>
    <w:p w14:paraId="15086D0A" w14:textId="6A52779C" w:rsidR="00274D9E" w:rsidRPr="002819CE" w:rsidRDefault="00274D9E" w:rsidP="00BD0BD8">
      <w:pPr>
        <w:pStyle w:val="ListParagraph"/>
        <w:numPr>
          <w:ilvl w:val="0"/>
          <w:numId w:val="8"/>
        </w:numPr>
      </w:pPr>
      <w:r>
        <w:t xml:space="preserve">Regulation 24 sets out the information that must be recorded by commissioners. </w:t>
      </w:r>
      <w:r w:rsidR="007B4626">
        <w:t xml:space="preserve">This includes </w:t>
      </w:r>
      <w:r w:rsidR="003E42A1">
        <w:t xml:space="preserve">… (d) </w:t>
      </w:r>
      <w:r w:rsidR="004F18AB">
        <w:t>the decision making process followed, including the identity of individuals making decisions; (e)</w:t>
      </w:r>
      <w:r w:rsidR="00631767">
        <w:t xml:space="preserve"> where Direct Award Process C or the Most Suitable Provider Process was followed, a description of the way in which the key criteria were taken into account and the basic selection criteria were assessed when making a decision</w:t>
      </w:r>
      <w:r w:rsidR="002F75C3">
        <w:t>; … (g) the reasons for decisions made under these Regulations</w:t>
      </w:r>
      <w:r w:rsidR="00A41807">
        <w:t xml:space="preserve"> </w:t>
      </w:r>
      <w:r w:rsidR="002F75C3">
        <w:t>…”</w:t>
      </w:r>
    </w:p>
    <w:p w14:paraId="2E438609" w14:textId="6C0C0DD8" w:rsidR="00CB6602" w:rsidRDefault="00662683" w:rsidP="00605FEE">
      <w:pPr>
        <w:pStyle w:val="ListParagraph"/>
      </w:pPr>
      <w:r>
        <w:t xml:space="preserve">Commissioners must also have regard to the Provider Selection Regime </w:t>
      </w:r>
      <w:r w:rsidR="006B477C">
        <w:t>s</w:t>
      </w:r>
      <w:r>
        <w:t xml:space="preserve">tatutory </w:t>
      </w:r>
      <w:r w:rsidR="006B477C">
        <w:t>g</w:t>
      </w:r>
      <w:r>
        <w:t xml:space="preserve">uidance when arranging services </w:t>
      </w:r>
      <w:r w:rsidR="00C52CD5">
        <w:t xml:space="preserve">under </w:t>
      </w:r>
      <w:r>
        <w:t>the PSR regulations (as per s12ZB(5) of the National Health Service Act 2006).</w:t>
      </w:r>
      <w:r>
        <w:rPr>
          <w:rStyle w:val="FootnoteReference"/>
        </w:rPr>
        <w:footnoteReference w:id="18"/>
      </w:r>
      <w:r>
        <w:t xml:space="preserve"> Referen</w:t>
      </w:r>
      <w:r w:rsidR="001C789A">
        <w:t xml:space="preserve">ce is made, where necessary, to relevant provisions of the </w:t>
      </w:r>
      <w:r w:rsidR="006B477C">
        <w:t>s</w:t>
      </w:r>
      <w:r w:rsidR="001C789A">
        <w:t xml:space="preserve">tatutory </w:t>
      </w:r>
      <w:r w:rsidR="006B477C">
        <w:t>g</w:t>
      </w:r>
      <w:r w:rsidR="001C789A">
        <w:t>uidance in the Panel’s assessment of the issues in Section</w:t>
      </w:r>
      <w:r w:rsidR="00C52CD5">
        <w:t> </w:t>
      </w:r>
      <w:r w:rsidR="001C789A">
        <w:t>7.</w:t>
      </w:r>
    </w:p>
    <w:p w14:paraId="591F2E5C" w14:textId="2AD143BB" w:rsidR="008027E6" w:rsidRDefault="00AC4330" w:rsidP="009F5235">
      <w:pPr>
        <w:pStyle w:val="Heading1"/>
        <w:ind w:left="426" w:hanging="426"/>
      </w:pPr>
      <w:bookmarkStart w:id="16" w:name="_Toc225930404"/>
      <w:r>
        <w:t>Panel Assessment</w:t>
      </w:r>
      <w:bookmarkEnd w:id="16"/>
    </w:p>
    <w:p w14:paraId="718959CC" w14:textId="490A4AFC" w:rsidR="006319F1" w:rsidRDefault="00AC4330" w:rsidP="005B5A14">
      <w:pPr>
        <w:pStyle w:val="ListParagraph"/>
        <w:contextualSpacing/>
      </w:pPr>
      <w:r>
        <w:t xml:space="preserve">This section </w:t>
      </w:r>
      <w:r w:rsidR="00176656">
        <w:t xml:space="preserve">sets out the Panel’s assessment of </w:t>
      </w:r>
      <w:r w:rsidR="003B5149">
        <w:t xml:space="preserve">whether </w:t>
      </w:r>
      <w:r w:rsidR="00AE4ACF">
        <w:t>HHFT</w:t>
      </w:r>
      <w:r w:rsidR="003B5149">
        <w:t xml:space="preserve">, </w:t>
      </w:r>
      <w:r w:rsidR="00584901">
        <w:t xml:space="preserve">in </w:t>
      </w:r>
      <w:r w:rsidR="003B5149">
        <w:t xml:space="preserve">conducting the provider selection process for </w:t>
      </w:r>
      <w:r w:rsidR="00C52CD5">
        <w:t>its</w:t>
      </w:r>
      <w:r w:rsidR="00E72138">
        <w:t xml:space="preserve"> </w:t>
      </w:r>
      <w:r w:rsidR="00AE4ACF">
        <w:t>UTC service</w:t>
      </w:r>
      <w:r w:rsidR="003B5149">
        <w:t>, complied with the PSR regulations in relation to:</w:t>
      </w:r>
    </w:p>
    <w:p w14:paraId="68F1B5AE" w14:textId="45BC9327" w:rsidR="00AC4330" w:rsidRDefault="009634DD" w:rsidP="00BD0BD8">
      <w:pPr>
        <w:pStyle w:val="ListParagraph"/>
        <w:numPr>
          <w:ilvl w:val="0"/>
          <w:numId w:val="9"/>
        </w:numPr>
        <w:ind w:left="1134"/>
        <w:contextualSpacing/>
      </w:pPr>
      <w:r>
        <w:t>first,</w:t>
      </w:r>
      <w:r w:rsidR="00E220E1">
        <w:t xml:space="preserve"> </w:t>
      </w:r>
      <w:r w:rsidR="00813ABA">
        <w:t>HHFT’s</w:t>
      </w:r>
      <w:r w:rsidR="00712FB3">
        <w:t xml:space="preserve"> decision to use the </w:t>
      </w:r>
      <w:r w:rsidR="005025B5">
        <w:t>MSP</w:t>
      </w:r>
      <w:r w:rsidR="00712FB3">
        <w:t xml:space="preserve"> process</w:t>
      </w:r>
      <w:r w:rsidR="00A85912">
        <w:t xml:space="preserve"> </w:t>
      </w:r>
      <w:r w:rsidR="00192205">
        <w:t>(</w:t>
      </w:r>
      <w:r w:rsidR="004F358F">
        <w:t xml:space="preserve">see </w:t>
      </w:r>
      <w:r w:rsidR="00192205">
        <w:t>Section</w:t>
      </w:r>
      <w:r w:rsidR="00B36DFE">
        <w:t> </w:t>
      </w:r>
      <w:r w:rsidR="00192205">
        <w:t>7.1);</w:t>
      </w:r>
    </w:p>
    <w:p w14:paraId="25B4B982" w14:textId="33E0CA7B" w:rsidR="00773068" w:rsidRDefault="00D30BCB" w:rsidP="00BD0BD8">
      <w:pPr>
        <w:pStyle w:val="ListParagraph"/>
        <w:numPr>
          <w:ilvl w:val="0"/>
          <w:numId w:val="9"/>
        </w:numPr>
        <w:ind w:left="1134"/>
        <w:contextualSpacing/>
      </w:pPr>
      <w:r>
        <w:t xml:space="preserve">second, </w:t>
      </w:r>
      <w:r w:rsidR="00813ABA">
        <w:t>HHFT’s</w:t>
      </w:r>
      <w:r w:rsidR="006E552A">
        <w:t xml:space="preserve"> conduct of the </w:t>
      </w:r>
      <w:r w:rsidR="004F358F">
        <w:t xml:space="preserve">MSP process </w:t>
      </w:r>
      <w:r w:rsidR="00042C19">
        <w:t>(</w:t>
      </w:r>
      <w:r w:rsidR="004F358F">
        <w:t xml:space="preserve">see </w:t>
      </w:r>
      <w:r w:rsidR="00042C19">
        <w:t>Section 7.2)</w:t>
      </w:r>
      <w:r w:rsidR="00773068">
        <w:t xml:space="preserve">; </w:t>
      </w:r>
      <w:r w:rsidR="002D136F">
        <w:t>and</w:t>
      </w:r>
    </w:p>
    <w:p w14:paraId="0B24AAD4" w14:textId="00258B36" w:rsidR="002D136F" w:rsidRDefault="002D136F" w:rsidP="00BD0BD8">
      <w:pPr>
        <w:pStyle w:val="ListParagraph"/>
        <w:numPr>
          <w:ilvl w:val="0"/>
          <w:numId w:val="9"/>
        </w:numPr>
        <w:ind w:left="1134"/>
        <w:contextualSpacing/>
      </w:pPr>
      <w:r>
        <w:t xml:space="preserve">finally, </w:t>
      </w:r>
      <w:r w:rsidR="00813ABA">
        <w:t xml:space="preserve">HHFT’s response </w:t>
      </w:r>
      <w:r w:rsidR="00C709D2">
        <w:t>to NHUC’s representations (</w:t>
      </w:r>
      <w:r w:rsidR="004F358F">
        <w:t xml:space="preserve">see </w:t>
      </w:r>
      <w:r w:rsidR="00C709D2">
        <w:t>Section</w:t>
      </w:r>
      <w:r w:rsidR="002A3593">
        <w:t> </w:t>
      </w:r>
      <w:r w:rsidR="00C709D2">
        <w:t>7.</w:t>
      </w:r>
      <w:r w:rsidR="006E552A">
        <w:t>3</w:t>
      </w:r>
      <w:r w:rsidR="00C709D2">
        <w:t>)</w:t>
      </w:r>
      <w:r w:rsidR="00C45B13">
        <w:t>.</w:t>
      </w:r>
    </w:p>
    <w:p w14:paraId="4D591FAA" w14:textId="7122B11E" w:rsidR="00C329E2" w:rsidRPr="002671A7" w:rsidRDefault="00FE75E1" w:rsidP="005E3256">
      <w:pPr>
        <w:pStyle w:val="Heading2"/>
        <w:spacing w:before="240" w:line="276" w:lineRule="auto"/>
      </w:pPr>
      <w:bookmarkStart w:id="17" w:name="_Toc225930405"/>
      <w:r w:rsidRPr="002671A7">
        <w:lastRenderedPageBreak/>
        <w:t xml:space="preserve">7.1 </w:t>
      </w:r>
      <w:r w:rsidR="00D1608C">
        <w:t>HHFT’s d</w:t>
      </w:r>
      <w:r w:rsidR="00CF2587">
        <w:t xml:space="preserve">ecision to </w:t>
      </w:r>
      <w:r w:rsidR="00A422CC" w:rsidRPr="002671A7">
        <w:t xml:space="preserve">use the </w:t>
      </w:r>
      <w:r w:rsidR="005025B5">
        <w:t>MSP</w:t>
      </w:r>
      <w:r w:rsidR="00A422CC" w:rsidRPr="002671A7">
        <w:t xml:space="preserve"> </w:t>
      </w:r>
      <w:r w:rsidR="0066285E">
        <w:t>process</w:t>
      </w:r>
      <w:bookmarkEnd w:id="17"/>
    </w:p>
    <w:p w14:paraId="50327851" w14:textId="77777777" w:rsidR="00B36FCB" w:rsidRDefault="00D071E9" w:rsidP="005E23BB">
      <w:pPr>
        <w:pStyle w:val="ListParagraph"/>
        <w:contextualSpacing/>
      </w:pPr>
      <w:r>
        <w:t>This section sets out the Panel’s assessment</w:t>
      </w:r>
      <w:r w:rsidR="00E934A0">
        <w:t xml:space="preserve"> of</w:t>
      </w:r>
      <w:r w:rsidR="00AA72D3">
        <w:t xml:space="preserve"> whether</w:t>
      </w:r>
      <w:r w:rsidR="00E934A0">
        <w:t xml:space="preserve"> HHFT’s decision to </w:t>
      </w:r>
      <w:r w:rsidR="005025B5">
        <w:t>use the</w:t>
      </w:r>
      <w:r w:rsidR="00E934A0">
        <w:t xml:space="preserve"> </w:t>
      </w:r>
      <w:r w:rsidR="005025B5">
        <w:t>MSP</w:t>
      </w:r>
      <w:r w:rsidR="002D5476">
        <w:t xml:space="preserve"> </w:t>
      </w:r>
      <w:r w:rsidR="00E934A0">
        <w:t>process</w:t>
      </w:r>
      <w:r w:rsidR="005025B5">
        <w:t xml:space="preserve"> </w:t>
      </w:r>
      <w:r w:rsidR="00AA72D3">
        <w:t>was consistent with its obligations under the PSR regulations</w:t>
      </w:r>
      <w:r w:rsidR="002D5476">
        <w:t>.</w:t>
      </w:r>
    </w:p>
    <w:p w14:paraId="74B18C63" w14:textId="2F91231C" w:rsidR="00B36FCB" w:rsidRDefault="00371D2D" w:rsidP="00BD0BD8">
      <w:pPr>
        <w:pStyle w:val="ListParagraph"/>
        <w:numPr>
          <w:ilvl w:val="0"/>
          <w:numId w:val="27"/>
        </w:numPr>
        <w:contextualSpacing/>
      </w:pPr>
      <w:r>
        <w:t xml:space="preserve">Section 7.1.1 sets out the relevant provisions </w:t>
      </w:r>
      <w:r w:rsidR="00BC2B35">
        <w:t>from</w:t>
      </w:r>
      <w:r>
        <w:t xml:space="preserve"> the PSR regulations and statutory guidance</w:t>
      </w:r>
      <w:r w:rsidR="00172606">
        <w:t>;</w:t>
      </w:r>
    </w:p>
    <w:p w14:paraId="69617174" w14:textId="197C53F8" w:rsidR="002D5476" w:rsidRDefault="00371D2D" w:rsidP="00BD0BD8">
      <w:pPr>
        <w:pStyle w:val="ListParagraph"/>
        <w:numPr>
          <w:ilvl w:val="0"/>
          <w:numId w:val="27"/>
        </w:numPr>
        <w:contextualSpacing/>
      </w:pPr>
      <w:r>
        <w:t>Section 7.</w:t>
      </w:r>
      <w:r w:rsidR="00172606">
        <w:t>1</w:t>
      </w:r>
      <w:r>
        <w:t xml:space="preserve">.2 sets out the Panel’s assessment of </w:t>
      </w:r>
      <w:r w:rsidR="003950CF">
        <w:t xml:space="preserve">HHFT’s </w:t>
      </w:r>
      <w:r w:rsidR="005E23BB">
        <w:t xml:space="preserve">initial </w:t>
      </w:r>
      <w:r w:rsidR="003950CF">
        <w:t>decision to use the MSP process</w:t>
      </w:r>
      <w:r w:rsidR="00172606">
        <w:t>;</w:t>
      </w:r>
    </w:p>
    <w:p w14:paraId="3BF24E60" w14:textId="51AE04A5" w:rsidR="00172606" w:rsidRDefault="00172606" w:rsidP="00BD0BD8">
      <w:pPr>
        <w:pStyle w:val="ListParagraph"/>
        <w:numPr>
          <w:ilvl w:val="0"/>
          <w:numId w:val="27"/>
        </w:numPr>
        <w:contextualSpacing/>
      </w:pPr>
      <w:r>
        <w:t xml:space="preserve">Section 7.1.3 sets out </w:t>
      </w:r>
      <w:r w:rsidR="005E23BB">
        <w:t>the Panel’s assessment of HHFT’s decision to continue using the MSP process following expressions of interest; and</w:t>
      </w:r>
    </w:p>
    <w:p w14:paraId="44A65573" w14:textId="232687C2" w:rsidR="005E23BB" w:rsidRDefault="005E23BB" w:rsidP="00BD0BD8">
      <w:pPr>
        <w:pStyle w:val="ListParagraph"/>
        <w:numPr>
          <w:ilvl w:val="0"/>
          <w:numId w:val="27"/>
        </w:numPr>
      </w:pPr>
      <w:r>
        <w:t>Section 7.1.4 sets out the Panel’s conclusions.</w:t>
      </w:r>
    </w:p>
    <w:p w14:paraId="2C6A2DCE" w14:textId="09E4C7D6" w:rsidR="003950CF" w:rsidRPr="003950CF" w:rsidRDefault="003950CF" w:rsidP="003950CF">
      <w:pPr>
        <w:keepNext/>
        <w:spacing w:before="240"/>
        <w:rPr>
          <w:b/>
          <w:bCs/>
        </w:rPr>
      </w:pPr>
      <w:r w:rsidRPr="003950CF">
        <w:rPr>
          <w:b/>
          <w:bCs/>
        </w:rPr>
        <w:t xml:space="preserve">7.1.1 </w:t>
      </w:r>
      <w:r w:rsidR="007E5ED1">
        <w:rPr>
          <w:b/>
          <w:bCs/>
        </w:rPr>
        <w:t xml:space="preserve">Requirements for choosing </w:t>
      </w:r>
      <w:r w:rsidRPr="003950CF">
        <w:rPr>
          <w:b/>
          <w:bCs/>
        </w:rPr>
        <w:t>the MSP process in the PSR regulations and statutory guidance</w:t>
      </w:r>
    </w:p>
    <w:p w14:paraId="674586BA" w14:textId="3D38E7CB" w:rsidR="005307B2" w:rsidRDefault="00BD5B40" w:rsidP="005307B2">
      <w:pPr>
        <w:pStyle w:val="ListParagraph"/>
      </w:pPr>
      <w:bookmarkStart w:id="18" w:name="_Ref223453332"/>
      <w:r>
        <w:t>Regulation 6 of t</w:t>
      </w:r>
      <w:r w:rsidR="00F950CB">
        <w:t xml:space="preserve">he PSR regulations </w:t>
      </w:r>
      <w:r w:rsidR="00912136">
        <w:t>set</w:t>
      </w:r>
      <w:r>
        <w:t>s</w:t>
      </w:r>
      <w:r w:rsidR="00912136">
        <w:t xml:space="preserve"> out the requirements for choosing the MSP process. </w:t>
      </w:r>
      <w:r w:rsidR="00FE6A34">
        <w:t>A</w:t>
      </w:r>
      <w:r w:rsidR="001A3137">
        <w:t xml:space="preserve"> </w:t>
      </w:r>
      <w:r w:rsidR="002F2E02">
        <w:t xml:space="preserve">commissioner may use </w:t>
      </w:r>
      <w:r w:rsidR="00063135">
        <w:t>t</w:t>
      </w:r>
      <w:r w:rsidR="005307B2" w:rsidRPr="001113E0">
        <w:t xml:space="preserve">he MSP process </w:t>
      </w:r>
      <w:r w:rsidR="00893195">
        <w:t xml:space="preserve">where it is not required to use Direct Award Processes A or B, </w:t>
      </w:r>
      <w:r w:rsidR="00077F9E">
        <w:t>and where</w:t>
      </w:r>
      <w:r w:rsidR="006224A7">
        <w:t>, under Regulation 6(6)(c)</w:t>
      </w:r>
      <w:r w:rsidR="00BA4E6D">
        <w:t>,</w:t>
      </w:r>
      <w:r w:rsidR="00077F9E">
        <w:t xml:space="preserve"> </w:t>
      </w:r>
      <w:r w:rsidR="002F2E02">
        <w:t xml:space="preserve">it </w:t>
      </w:r>
      <w:r w:rsidR="005307B2">
        <w:t xml:space="preserve">is </w:t>
      </w:r>
      <w:r w:rsidR="005307B2" w:rsidRPr="001113E0">
        <w:t>of “the view, taking into account likely providers and all relevant information available to the relevant authority at the time, that it is likely to be able to identify the most suitable provider”</w:t>
      </w:r>
      <w:r w:rsidR="005307B2">
        <w:t>.</w:t>
      </w:r>
      <w:bookmarkEnd w:id="18"/>
    </w:p>
    <w:p w14:paraId="2893363B" w14:textId="626A3A6F" w:rsidR="00153F0A" w:rsidRDefault="008E5637" w:rsidP="005E3256">
      <w:pPr>
        <w:pStyle w:val="ListParagraph"/>
        <w:spacing w:after="120"/>
      </w:pPr>
      <w:r>
        <w:t xml:space="preserve">The PSR </w:t>
      </w:r>
      <w:r w:rsidR="00697E0E">
        <w:t>s</w:t>
      </w:r>
      <w:r>
        <w:t xml:space="preserve">tatutory </w:t>
      </w:r>
      <w:r w:rsidR="00697E0E">
        <w:t>g</w:t>
      </w:r>
      <w:r>
        <w:t xml:space="preserve">uidance </w:t>
      </w:r>
      <w:r w:rsidR="009222D6">
        <w:t>says that</w:t>
      </w:r>
      <w:r w:rsidR="00F63493">
        <w:t xml:space="preserve"> the MSP process may be used when</w:t>
      </w:r>
      <w:r w:rsidR="00153F0A">
        <w:t>:</w:t>
      </w:r>
    </w:p>
    <w:p w14:paraId="0732B564" w14:textId="03EBB1E7" w:rsidR="00DF5CB8" w:rsidRDefault="00DF5CB8" w:rsidP="005E3256">
      <w:pPr>
        <w:pStyle w:val="ListParagraph"/>
        <w:numPr>
          <w:ilvl w:val="0"/>
          <w:numId w:val="0"/>
        </w:numPr>
        <w:spacing w:after="120" w:line="259" w:lineRule="auto"/>
        <w:ind w:left="851"/>
        <w:rPr>
          <w:sz w:val="21"/>
          <w:szCs w:val="21"/>
        </w:rPr>
      </w:pPr>
      <w:r>
        <w:rPr>
          <w:sz w:val="21"/>
          <w:szCs w:val="21"/>
        </w:rPr>
        <w:t>“</w:t>
      </w:r>
      <w:r w:rsidR="006505DF">
        <w:rPr>
          <w:sz w:val="21"/>
          <w:szCs w:val="21"/>
        </w:rPr>
        <w:t>T</w:t>
      </w:r>
      <w:r w:rsidR="00F63493">
        <w:rPr>
          <w:sz w:val="21"/>
          <w:szCs w:val="21"/>
        </w:rPr>
        <w:t xml:space="preserve">he relevant authority is of the view that it is likely to be able to identify the most suitable provider (without running a competitive process) – considering its ambitions for the service for which it is contracting </w:t>
      </w:r>
      <w:r w:rsidR="00D31D0A">
        <w:rPr>
          <w:sz w:val="21"/>
          <w:szCs w:val="21"/>
        </w:rPr>
        <w:t>(as reflected in the weight it is giving to each of the key criteria) and all relevant information available to the relevant authority at the time</w:t>
      </w:r>
      <w:r w:rsidR="00796C87">
        <w:rPr>
          <w:sz w:val="21"/>
          <w:szCs w:val="21"/>
        </w:rPr>
        <w:t xml:space="preserve"> ..</w:t>
      </w:r>
      <w:r w:rsidR="00D43D99">
        <w:rPr>
          <w:sz w:val="21"/>
          <w:szCs w:val="21"/>
        </w:rPr>
        <w:t>.</w:t>
      </w:r>
    </w:p>
    <w:p w14:paraId="1EF5718A" w14:textId="38E794B9" w:rsidR="00796C87" w:rsidRDefault="00796C87" w:rsidP="005E3256">
      <w:pPr>
        <w:pStyle w:val="ListParagraph"/>
        <w:numPr>
          <w:ilvl w:val="0"/>
          <w:numId w:val="0"/>
        </w:numPr>
        <w:spacing w:after="120" w:line="259" w:lineRule="auto"/>
        <w:ind w:left="851"/>
        <w:rPr>
          <w:sz w:val="21"/>
          <w:szCs w:val="21"/>
        </w:rPr>
      </w:pPr>
      <w:r>
        <w:rPr>
          <w:sz w:val="21"/>
          <w:szCs w:val="21"/>
        </w:rPr>
        <w:t xml:space="preserve">“the </w:t>
      </w:r>
      <w:r w:rsidR="00711421">
        <w:rPr>
          <w:sz w:val="21"/>
          <w:szCs w:val="21"/>
        </w:rPr>
        <w:t>most suitable provider process may be an attractive option where the relevant authority’s familiarity with likely suitable providers for the service it is procuring leads it to believe it can identify the most suitable provider</w:t>
      </w:r>
      <w:r w:rsidR="006F102E">
        <w:rPr>
          <w:sz w:val="21"/>
          <w:szCs w:val="21"/>
        </w:rPr>
        <w:t xml:space="preserve"> …</w:t>
      </w:r>
    </w:p>
    <w:p w14:paraId="1CAEEFE6" w14:textId="0ED6D089" w:rsidR="008616EA" w:rsidRPr="005E3256" w:rsidRDefault="009222D6" w:rsidP="005E3256">
      <w:pPr>
        <w:pStyle w:val="ListParagraph"/>
        <w:numPr>
          <w:ilvl w:val="0"/>
          <w:numId w:val="0"/>
        </w:numPr>
        <w:ind w:left="851"/>
        <w:rPr>
          <w:sz w:val="21"/>
          <w:szCs w:val="21"/>
        </w:rPr>
      </w:pPr>
      <w:r w:rsidRPr="005E3256">
        <w:rPr>
          <w:sz w:val="21"/>
          <w:szCs w:val="21"/>
        </w:rPr>
        <w:t>“t</w:t>
      </w:r>
      <w:r w:rsidR="008616EA" w:rsidRPr="005E3256">
        <w:rPr>
          <w:sz w:val="21"/>
          <w:szCs w:val="21"/>
        </w:rPr>
        <w:t xml:space="preserve">he relevant authority’s ongoing market research </w:t>
      </w:r>
      <w:r w:rsidR="003A0871">
        <w:rPr>
          <w:sz w:val="21"/>
          <w:szCs w:val="21"/>
        </w:rPr>
        <w:t xml:space="preserve">… </w:t>
      </w:r>
      <w:r w:rsidR="008616EA" w:rsidRPr="005E3256">
        <w:rPr>
          <w:sz w:val="21"/>
          <w:szCs w:val="21"/>
        </w:rPr>
        <w:t>beyond its own system will influence its familiarity with potential suitable providers. However, the nature of the contract that the relevant authority plans to award will normally be the biggest influence on how familiar it is with potential suitable providers and whether the most suitable provider process is the most appropriate option</w:t>
      </w:r>
      <w:r w:rsidRPr="005E3256">
        <w:rPr>
          <w:sz w:val="21"/>
          <w:szCs w:val="21"/>
        </w:rPr>
        <w:t>”</w:t>
      </w:r>
      <w:r w:rsidR="008616EA" w:rsidRPr="005E3256">
        <w:rPr>
          <w:sz w:val="21"/>
          <w:szCs w:val="21"/>
        </w:rPr>
        <w:t>.</w:t>
      </w:r>
      <w:r w:rsidR="006F102E" w:rsidRPr="001A65C6">
        <w:rPr>
          <w:rStyle w:val="FootnoteReference"/>
          <w:sz w:val="21"/>
          <w:szCs w:val="21"/>
        </w:rPr>
        <w:footnoteReference w:id="19"/>
      </w:r>
    </w:p>
    <w:p w14:paraId="7BF22F6A" w14:textId="7CE1250E" w:rsidR="00D43174" w:rsidRDefault="00D43174" w:rsidP="00392A46">
      <w:pPr>
        <w:pStyle w:val="ListParagraph"/>
        <w:spacing w:after="120"/>
      </w:pPr>
      <w:bookmarkStart w:id="19" w:name="_Ref223682825"/>
      <w:r>
        <w:t>T</w:t>
      </w:r>
      <w:r w:rsidRPr="00C73E96">
        <w:t xml:space="preserve">he PSR </w:t>
      </w:r>
      <w:r w:rsidR="00697E0E">
        <w:t>s</w:t>
      </w:r>
      <w:r w:rsidRPr="00C73E96">
        <w:t xml:space="preserve">tatutory </w:t>
      </w:r>
      <w:r w:rsidR="00697E0E">
        <w:t>g</w:t>
      </w:r>
      <w:r w:rsidRPr="00C73E96">
        <w:t xml:space="preserve">uidance </w:t>
      </w:r>
      <w:r w:rsidR="000A215F">
        <w:t xml:space="preserve">further </w:t>
      </w:r>
      <w:r>
        <w:t>says</w:t>
      </w:r>
      <w:r w:rsidRPr="00C73E96">
        <w:t xml:space="preserve"> that</w:t>
      </w:r>
      <w:r>
        <w:t xml:space="preserve">, </w:t>
      </w:r>
      <w:r w:rsidR="006B2AD2">
        <w:t xml:space="preserve">after receiving </w:t>
      </w:r>
      <w:r>
        <w:t>expressions of interest, commissioners:</w:t>
      </w:r>
      <w:bookmarkEnd w:id="19"/>
    </w:p>
    <w:p w14:paraId="1512012D" w14:textId="7F53C015" w:rsidR="00D43174" w:rsidRDefault="00D43174" w:rsidP="00655B65">
      <w:pPr>
        <w:pStyle w:val="ListParagraph"/>
        <w:numPr>
          <w:ilvl w:val="0"/>
          <w:numId w:val="0"/>
        </w:numPr>
        <w:spacing w:line="259" w:lineRule="auto"/>
        <w:ind w:left="851"/>
        <w:rPr>
          <w:sz w:val="21"/>
          <w:szCs w:val="21"/>
        </w:rPr>
      </w:pPr>
      <w:r w:rsidRPr="005E3256">
        <w:rPr>
          <w:sz w:val="21"/>
          <w:szCs w:val="21"/>
        </w:rPr>
        <w:t>“must be able to demonstrate that they have considered whether an alternative provider that makes itself known in writing following publication of the notice would be suitable given the key criteria as weighted by it and having followed the procurement principles – the work involved for this is not expected to make a disproportionate administrative burden on any party. If the relevant authority judges that any providers unfamiliar to it would be suitable, it should consider whether the competitive process would be more suitable.”</w:t>
      </w:r>
      <w:r w:rsidRPr="005E3256">
        <w:rPr>
          <w:rStyle w:val="FootnoteReference"/>
          <w:sz w:val="21"/>
          <w:szCs w:val="21"/>
        </w:rPr>
        <w:footnoteReference w:id="20"/>
      </w:r>
    </w:p>
    <w:p w14:paraId="791066C0" w14:textId="390188B5" w:rsidR="00D00577" w:rsidRDefault="00655B65" w:rsidP="009F5235">
      <w:pPr>
        <w:pStyle w:val="ListParagraph"/>
        <w:spacing w:after="120"/>
        <w:contextualSpacing/>
      </w:pPr>
      <w:r>
        <w:lastRenderedPageBreak/>
        <w:t>In summary, the</w:t>
      </w:r>
      <w:r w:rsidR="0004282C">
        <w:t xml:space="preserve"> PSR regulations and statutory guidance</w:t>
      </w:r>
      <w:r w:rsidR="005C01A3">
        <w:t xml:space="preserve"> </w:t>
      </w:r>
      <w:r w:rsidR="008D5DB9">
        <w:t xml:space="preserve">identify </w:t>
      </w:r>
      <w:r w:rsidR="0004282C">
        <w:t xml:space="preserve">two </w:t>
      </w:r>
      <w:r w:rsidR="005C01A3">
        <w:t>key points</w:t>
      </w:r>
      <w:r w:rsidR="0004282C">
        <w:t xml:space="preserve"> </w:t>
      </w:r>
      <w:r w:rsidR="00211DE8">
        <w:t xml:space="preserve">in the provider selection process </w:t>
      </w:r>
      <w:r w:rsidR="008F7304">
        <w:t>for</w:t>
      </w:r>
      <w:r w:rsidR="0004282C">
        <w:t xml:space="preserve"> commissioners</w:t>
      </w:r>
      <w:r w:rsidR="008F7304">
        <w:t xml:space="preserve"> </w:t>
      </w:r>
      <w:r w:rsidR="006B54CE">
        <w:t>th</w:t>
      </w:r>
      <w:r w:rsidR="00114682">
        <w:t>at</w:t>
      </w:r>
      <w:r w:rsidR="006B54CE">
        <w:t xml:space="preserve"> decide to use </w:t>
      </w:r>
      <w:r w:rsidR="008F7304">
        <w:t>the MSP process</w:t>
      </w:r>
      <w:r w:rsidR="00332CD6">
        <w:t>:</w:t>
      </w:r>
    </w:p>
    <w:p w14:paraId="74BB94EC" w14:textId="51802E89" w:rsidR="009F0E85" w:rsidRDefault="009F0E85" w:rsidP="00BD0BD8">
      <w:pPr>
        <w:pStyle w:val="ListParagraph"/>
        <w:numPr>
          <w:ilvl w:val="0"/>
          <w:numId w:val="27"/>
        </w:numPr>
        <w:contextualSpacing/>
      </w:pPr>
      <w:r>
        <w:t>first, when initially decid</w:t>
      </w:r>
      <w:r w:rsidR="00264E62">
        <w:t xml:space="preserve">ing </w:t>
      </w:r>
      <w:r>
        <w:t>to use the MSP process; and</w:t>
      </w:r>
    </w:p>
    <w:p w14:paraId="5B4D1606" w14:textId="0E90D89D" w:rsidR="009F0E85" w:rsidRDefault="009F0E85" w:rsidP="00BD0BD8">
      <w:pPr>
        <w:pStyle w:val="ListParagraph"/>
        <w:numPr>
          <w:ilvl w:val="0"/>
          <w:numId w:val="27"/>
        </w:numPr>
      </w:pPr>
      <w:r>
        <w:t xml:space="preserve">second, </w:t>
      </w:r>
      <w:r w:rsidR="00264E62">
        <w:t>after</w:t>
      </w:r>
      <w:r>
        <w:t xml:space="preserve"> receiv</w:t>
      </w:r>
      <w:r w:rsidR="00264E62">
        <w:t xml:space="preserve">ing </w:t>
      </w:r>
      <w:r>
        <w:t>expressions of interest from providers.</w:t>
      </w:r>
    </w:p>
    <w:p w14:paraId="64DE791E" w14:textId="7AE1F7F7" w:rsidR="007A538D" w:rsidRPr="007A538D" w:rsidRDefault="007A538D" w:rsidP="007A538D">
      <w:pPr>
        <w:keepNext/>
        <w:spacing w:before="240" w:line="259" w:lineRule="auto"/>
        <w:ind w:left="567" w:hanging="567"/>
        <w:rPr>
          <w:b/>
          <w:bCs/>
        </w:rPr>
      </w:pPr>
      <w:r w:rsidRPr="007A538D">
        <w:rPr>
          <w:b/>
          <w:bCs/>
        </w:rPr>
        <w:t xml:space="preserve">7.1.2 </w:t>
      </w:r>
      <w:r>
        <w:rPr>
          <w:b/>
          <w:bCs/>
        </w:rPr>
        <w:t xml:space="preserve">HHFT’s </w:t>
      </w:r>
      <w:r w:rsidR="00427C49">
        <w:rPr>
          <w:b/>
          <w:bCs/>
        </w:rPr>
        <w:t xml:space="preserve">initial decision to use </w:t>
      </w:r>
      <w:r>
        <w:rPr>
          <w:b/>
          <w:bCs/>
        </w:rPr>
        <w:t>the MSP process</w:t>
      </w:r>
    </w:p>
    <w:p w14:paraId="6B8C4732" w14:textId="0EF5BCB9" w:rsidR="00CA23B6" w:rsidRDefault="0079322B" w:rsidP="009F5235">
      <w:pPr>
        <w:pStyle w:val="ListParagraph"/>
        <w:spacing w:after="120"/>
      </w:pPr>
      <w:bookmarkStart w:id="20" w:name="_Ref224127530"/>
      <w:r>
        <w:t>HHFT</w:t>
      </w:r>
      <w:r w:rsidR="00ED3572" w:rsidRPr="00ED3572">
        <w:t xml:space="preserve"> </w:t>
      </w:r>
      <w:r w:rsidR="00620E7B">
        <w:t xml:space="preserve">told the Panel about </w:t>
      </w:r>
      <w:r w:rsidR="00ED3572">
        <w:t>its rationale for us</w:t>
      </w:r>
      <w:r w:rsidR="00620E7B">
        <w:t>ing</w:t>
      </w:r>
      <w:r w:rsidR="00ED3572">
        <w:t xml:space="preserve"> the MSP process</w:t>
      </w:r>
      <w:r w:rsidR="00A902BB">
        <w:t>,</w:t>
      </w:r>
      <w:r>
        <w:t xml:space="preserve"> </w:t>
      </w:r>
      <w:r w:rsidR="00D52382">
        <w:t>saying that:</w:t>
      </w:r>
      <w:bookmarkEnd w:id="20"/>
    </w:p>
    <w:p w14:paraId="2CE6160F" w14:textId="1B2206E5" w:rsidR="00D52382" w:rsidRPr="009F5235" w:rsidRDefault="00B05A34" w:rsidP="009F5235">
      <w:pPr>
        <w:pStyle w:val="ListParagraph"/>
        <w:numPr>
          <w:ilvl w:val="0"/>
          <w:numId w:val="0"/>
        </w:numPr>
        <w:spacing w:after="120" w:line="259" w:lineRule="auto"/>
        <w:ind w:left="851"/>
        <w:rPr>
          <w:sz w:val="21"/>
          <w:szCs w:val="21"/>
        </w:rPr>
      </w:pPr>
      <w:r w:rsidRPr="009F5235">
        <w:rPr>
          <w:sz w:val="21"/>
          <w:szCs w:val="21"/>
        </w:rPr>
        <w:t>“</w:t>
      </w:r>
      <w:r w:rsidR="003749FD" w:rsidRPr="009F5235">
        <w:rPr>
          <w:sz w:val="21"/>
          <w:szCs w:val="21"/>
        </w:rPr>
        <w:t>W</w:t>
      </w:r>
      <w:r w:rsidRPr="009F5235">
        <w:rPr>
          <w:sz w:val="21"/>
          <w:szCs w:val="21"/>
        </w:rPr>
        <w:t>e started off with the basis that it was a national specification. It was a service</w:t>
      </w:r>
      <w:r w:rsidR="003749FD" w:rsidRPr="009F5235">
        <w:rPr>
          <w:sz w:val="21"/>
          <w:szCs w:val="21"/>
        </w:rPr>
        <w:t xml:space="preserve"> that was running at Hampshire Hospitals … from a stakeholder perspective we had the existing knowledge of how we thought the service should run</w:t>
      </w:r>
      <w:r w:rsidR="00CD2DB8" w:rsidRPr="009F5235">
        <w:rPr>
          <w:sz w:val="21"/>
          <w:szCs w:val="21"/>
        </w:rPr>
        <w:t xml:space="preserve"> … the thought process was that actually running a competitive commercial focused tender probably wouldn’t yield the kind of result we were looking for. What we were trying to do was</w:t>
      </w:r>
      <w:r w:rsidR="00116260" w:rsidRPr="009F5235">
        <w:rPr>
          <w:sz w:val="21"/>
          <w:szCs w:val="21"/>
        </w:rPr>
        <w:t>, quite genuinely, find the most suitable provider</w:t>
      </w:r>
      <w:r w:rsidR="00511832" w:rsidRPr="009F5235">
        <w:rPr>
          <w:sz w:val="21"/>
          <w:szCs w:val="21"/>
        </w:rPr>
        <w:t xml:space="preserve"> …</w:t>
      </w:r>
      <w:r w:rsidR="00636886" w:rsidRPr="009F5235">
        <w:rPr>
          <w:sz w:val="21"/>
          <w:szCs w:val="21"/>
        </w:rPr>
        <w:t>”</w:t>
      </w:r>
    </w:p>
    <w:p w14:paraId="5D89C93C" w14:textId="09FA6B05" w:rsidR="00636886" w:rsidRPr="009F5235" w:rsidRDefault="00636886" w:rsidP="009F5235">
      <w:pPr>
        <w:pStyle w:val="ListParagraph"/>
        <w:numPr>
          <w:ilvl w:val="0"/>
          <w:numId w:val="0"/>
        </w:numPr>
        <w:spacing w:after="120" w:line="259" w:lineRule="auto"/>
        <w:ind w:left="851"/>
        <w:rPr>
          <w:sz w:val="21"/>
          <w:szCs w:val="21"/>
        </w:rPr>
      </w:pPr>
      <w:r w:rsidRPr="009F5235">
        <w:rPr>
          <w:sz w:val="21"/>
          <w:szCs w:val="21"/>
        </w:rPr>
        <w:t>“Part of the attraction, for want of a better word, to the MSP route was that actually we wanted some dialogue involved in this process</w:t>
      </w:r>
      <w:r w:rsidR="001024C9" w:rsidRPr="009F5235">
        <w:rPr>
          <w:sz w:val="21"/>
          <w:szCs w:val="21"/>
        </w:rPr>
        <w:t xml:space="preserve">. We didn’t want written tender submissions that we would simply score and then select from … We wanted at least one step in this process where we could actually have conversations with these suppliers about specifically what Hampshire </w:t>
      </w:r>
      <w:proofErr w:type="spellStart"/>
      <w:r w:rsidR="001024C9" w:rsidRPr="009F5235">
        <w:rPr>
          <w:sz w:val="21"/>
          <w:szCs w:val="21"/>
        </w:rPr>
        <w:t>Hospitals</w:t>
      </w:r>
      <w:proofErr w:type="spellEnd"/>
      <w:r w:rsidR="001024C9" w:rsidRPr="009F5235">
        <w:rPr>
          <w:sz w:val="21"/>
          <w:szCs w:val="21"/>
        </w:rPr>
        <w:t xml:space="preserve"> needs</w:t>
      </w:r>
      <w:r w:rsidR="00511832" w:rsidRPr="009F5235">
        <w:rPr>
          <w:sz w:val="21"/>
          <w:szCs w:val="21"/>
        </w:rPr>
        <w:t xml:space="preserve"> ..</w:t>
      </w:r>
      <w:r w:rsidR="001024C9" w:rsidRPr="009F5235">
        <w:rPr>
          <w:sz w:val="21"/>
          <w:szCs w:val="21"/>
        </w:rPr>
        <w:t>.”</w:t>
      </w:r>
    </w:p>
    <w:p w14:paraId="47873C86" w14:textId="5FDB7167" w:rsidR="00897F68" w:rsidRPr="009F5235" w:rsidRDefault="00554295" w:rsidP="009F5235">
      <w:pPr>
        <w:pStyle w:val="ListParagraph"/>
        <w:numPr>
          <w:ilvl w:val="0"/>
          <w:numId w:val="0"/>
        </w:numPr>
        <w:spacing w:line="259" w:lineRule="auto"/>
        <w:ind w:left="851"/>
        <w:rPr>
          <w:sz w:val="21"/>
          <w:szCs w:val="21"/>
        </w:rPr>
      </w:pPr>
      <w:r w:rsidRPr="009F5235">
        <w:rPr>
          <w:sz w:val="21"/>
          <w:szCs w:val="21"/>
        </w:rPr>
        <w:t>“</w:t>
      </w:r>
      <w:r w:rsidR="00A87BDB" w:rsidRPr="009F5235">
        <w:rPr>
          <w:sz w:val="21"/>
          <w:szCs w:val="21"/>
        </w:rPr>
        <w:t>T</w:t>
      </w:r>
      <w:r w:rsidRPr="009F5235">
        <w:rPr>
          <w:sz w:val="21"/>
          <w:szCs w:val="21"/>
        </w:rPr>
        <w:t>he primary thing here is we were looking for a high quality provision … Obviously, we’re also looking for somebody who would follow what the contract said in terms of the methodology around</w:t>
      </w:r>
      <w:r w:rsidR="00930A06" w:rsidRPr="009F5235">
        <w:rPr>
          <w:sz w:val="21"/>
          <w:szCs w:val="21"/>
        </w:rPr>
        <w:t xml:space="preserve"> how the contract should work, and who gave us confidence that they would hit the KPIs that were in the contract in a high quality way</w:t>
      </w:r>
      <w:r w:rsidR="00511832" w:rsidRPr="009F5235">
        <w:rPr>
          <w:sz w:val="21"/>
          <w:szCs w:val="21"/>
        </w:rPr>
        <w:t xml:space="preserve"> ..</w:t>
      </w:r>
      <w:r w:rsidR="00A87BDB" w:rsidRPr="009F5235">
        <w:rPr>
          <w:sz w:val="21"/>
          <w:szCs w:val="21"/>
        </w:rPr>
        <w:t>.</w:t>
      </w:r>
      <w:r w:rsidR="00930A06" w:rsidRPr="009F5235">
        <w:rPr>
          <w:sz w:val="21"/>
          <w:szCs w:val="21"/>
        </w:rPr>
        <w:t>”</w:t>
      </w:r>
      <w:r w:rsidR="008A40C6" w:rsidRPr="009F5235">
        <w:rPr>
          <w:rStyle w:val="FootnoteReference"/>
          <w:sz w:val="21"/>
          <w:szCs w:val="21"/>
        </w:rPr>
        <w:footnoteReference w:id="21"/>
      </w:r>
    </w:p>
    <w:p w14:paraId="29AECDA0" w14:textId="58B0F9B8" w:rsidR="00F7273B" w:rsidRDefault="002F507E" w:rsidP="00DC36C7">
      <w:pPr>
        <w:pStyle w:val="ListParagraph"/>
      </w:pPr>
      <w:bookmarkStart w:id="21" w:name="_Ref224127532"/>
      <w:r>
        <w:t>Related to th</w:t>
      </w:r>
      <w:r w:rsidR="001C2778">
        <w:t>e</w:t>
      </w:r>
      <w:r>
        <w:t xml:space="preserve"> final point</w:t>
      </w:r>
      <w:r w:rsidR="001C2778">
        <w:t xml:space="preserve"> in the previous paragraph</w:t>
      </w:r>
      <w:r>
        <w:t xml:space="preserve">, </w:t>
      </w:r>
      <w:r w:rsidR="00B37D6C">
        <w:t xml:space="preserve">HHFT told the Panel that </w:t>
      </w:r>
      <w:r w:rsidR="007E61D1">
        <w:t xml:space="preserve">it </w:t>
      </w:r>
      <w:r w:rsidR="00B234B3">
        <w:t xml:space="preserve">believed that the MSP process would better enable it to select a provider </w:t>
      </w:r>
      <w:r w:rsidR="0004571B">
        <w:t xml:space="preserve">that could </w:t>
      </w:r>
      <w:r w:rsidR="00164E0C">
        <w:t xml:space="preserve">address the performance issues </w:t>
      </w:r>
      <w:r w:rsidR="00086AAB">
        <w:t xml:space="preserve">that had </w:t>
      </w:r>
      <w:r w:rsidR="00B234B3">
        <w:t>arisen under the existing contract</w:t>
      </w:r>
      <w:r w:rsidR="0038325A">
        <w:t xml:space="preserve"> (see paragraph</w:t>
      </w:r>
      <w:r w:rsidR="008477E5">
        <w:t xml:space="preserve"> </w:t>
      </w:r>
      <w:r w:rsidR="00376913">
        <w:t>27</w:t>
      </w:r>
      <w:r w:rsidR="0038325A">
        <w:t>)</w:t>
      </w:r>
      <w:r w:rsidR="00086AAB">
        <w:t>.</w:t>
      </w:r>
      <w:r w:rsidR="00426FEE">
        <w:rPr>
          <w:rStyle w:val="FootnoteReference"/>
        </w:rPr>
        <w:footnoteReference w:id="22"/>
      </w:r>
      <w:bookmarkEnd w:id="21"/>
    </w:p>
    <w:p w14:paraId="2337E041" w14:textId="3CF467C0" w:rsidR="00575B6B" w:rsidRDefault="00575B6B" w:rsidP="00575B6B">
      <w:pPr>
        <w:pStyle w:val="ListParagraph"/>
      </w:pPr>
      <w:bookmarkStart w:id="22" w:name="_Ref224127727"/>
      <w:r w:rsidRPr="00DF2631">
        <w:t xml:space="preserve">HHFT </w:t>
      </w:r>
      <w:r w:rsidR="00A05A1D">
        <w:t>also</w:t>
      </w:r>
      <w:r w:rsidR="003D2AAD">
        <w:t xml:space="preserve"> </w:t>
      </w:r>
      <w:r w:rsidRPr="00DF2631">
        <w:t>told the Panel that</w:t>
      </w:r>
      <w:r>
        <w:t xml:space="preserve">, prior to conducting </w:t>
      </w:r>
      <w:r w:rsidR="00D74238">
        <w:t>the</w:t>
      </w:r>
      <w:r>
        <w:t xml:space="preserve"> MSP process,</w:t>
      </w:r>
      <w:r w:rsidRPr="00DF2631">
        <w:t xml:space="preserve"> it was aware of four providers</w:t>
      </w:r>
      <w:r>
        <w:t>, namely NHUC, PHL Group, 1 Clinical and Operose Health,</w:t>
      </w:r>
      <w:r w:rsidRPr="00DF2631">
        <w:t xml:space="preserve"> “who are active in the provision of services in this sector … so we were confident that there </w:t>
      </w:r>
      <w:r w:rsidR="00B0346C">
        <w:t>was</w:t>
      </w:r>
      <w:r w:rsidRPr="00DF2631">
        <w:t xml:space="preserve"> sufficient market knowledge to run the full MSP process”.</w:t>
      </w:r>
      <w:r w:rsidRPr="00DF2631">
        <w:rPr>
          <w:rStyle w:val="FootnoteReference"/>
        </w:rPr>
        <w:footnoteReference w:id="23"/>
      </w:r>
      <w:bookmarkEnd w:id="22"/>
    </w:p>
    <w:p w14:paraId="2EAE1291" w14:textId="69882A1D" w:rsidR="00C635EC" w:rsidRDefault="003D2AAD" w:rsidP="00DC36C7">
      <w:pPr>
        <w:pStyle w:val="ListParagraph"/>
      </w:pPr>
      <w:r>
        <w:t xml:space="preserve">The Panel notes that </w:t>
      </w:r>
      <w:r w:rsidR="001D64B7">
        <w:t xml:space="preserve">HHFT has </w:t>
      </w:r>
      <w:r>
        <w:t xml:space="preserve">no contemporaneous record of </w:t>
      </w:r>
      <w:r w:rsidR="001D64B7">
        <w:t>its</w:t>
      </w:r>
      <w:r w:rsidR="007851A7">
        <w:t xml:space="preserve"> </w:t>
      </w:r>
      <w:r w:rsidR="00427B26">
        <w:t xml:space="preserve">reasons </w:t>
      </w:r>
      <w:r w:rsidR="00284363">
        <w:t xml:space="preserve">for </w:t>
      </w:r>
      <w:r w:rsidR="00427B26">
        <w:t>us</w:t>
      </w:r>
      <w:r w:rsidR="007851A7">
        <w:t>ing</w:t>
      </w:r>
      <w:r w:rsidR="00427B26">
        <w:t xml:space="preserve"> the MSP process</w:t>
      </w:r>
      <w:r w:rsidR="00284363">
        <w:t xml:space="preserve">, and </w:t>
      </w:r>
      <w:r w:rsidR="00117F25">
        <w:t xml:space="preserve">that HHFT provided </w:t>
      </w:r>
      <w:r w:rsidR="00284363">
        <w:t xml:space="preserve">the explanation </w:t>
      </w:r>
      <w:r w:rsidR="00427B26">
        <w:t xml:space="preserve">set out above </w:t>
      </w:r>
      <w:r w:rsidR="00526ED9">
        <w:t xml:space="preserve">during this review </w:t>
      </w:r>
      <w:r w:rsidR="00E5244D">
        <w:t xml:space="preserve">in response to </w:t>
      </w:r>
      <w:r w:rsidR="00526ED9">
        <w:t xml:space="preserve">the </w:t>
      </w:r>
      <w:r w:rsidR="00E5244D">
        <w:t>Panel</w:t>
      </w:r>
      <w:r w:rsidR="00526ED9">
        <w:t>’s</w:t>
      </w:r>
      <w:r w:rsidR="00E5244D">
        <w:t xml:space="preserve"> questions</w:t>
      </w:r>
      <w:r w:rsidR="001000D3">
        <w:t>.</w:t>
      </w:r>
      <w:r w:rsidR="00626B86">
        <w:t xml:space="preserve"> </w:t>
      </w:r>
      <w:r w:rsidR="00530F03">
        <w:t>The Panel notes that, under Regulation 24(g), commissioners are obliged to keep a record of the reasons for decisions made under the PSR regulations</w:t>
      </w:r>
      <w:r w:rsidR="00526ED9">
        <w:t xml:space="preserve">, and the Panel’s view is that this includes </w:t>
      </w:r>
      <w:r w:rsidR="009B7D54">
        <w:t xml:space="preserve">keeping </w:t>
      </w:r>
      <w:r w:rsidR="00572C1D">
        <w:t xml:space="preserve">a record of the reasons for selecting </w:t>
      </w:r>
      <w:r w:rsidR="004E5AE0">
        <w:t xml:space="preserve">the </w:t>
      </w:r>
      <w:r w:rsidR="009B7D54">
        <w:t xml:space="preserve">chosen </w:t>
      </w:r>
      <w:r w:rsidR="004E5AE0">
        <w:t>procurement route</w:t>
      </w:r>
      <w:r w:rsidR="00530F03">
        <w:t>.</w:t>
      </w:r>
    </w:p>
    <w:p w14:paraId="7DB25DA5" w14:textId="1843759E" w:rsidR="00CF39F4" w:rsidRDefault="00514D24" w:rsidP="004974EA">
      <w:pPr>
        <w:pStyle w:val="ListParagraph"/>
      </w:pPr>
      <w:r>
        <w:t xml:space="preserve">The Panel notes that HHFT’s explanation for </w:t>
      </w:r>
      <w:r w:rsidR="00EC16C2">
        <w:t xml:space="preserve">selecting the MSP process does not </w:t>
      </w:r>
      <w:r w:rsidR="009B7280">
        <w:t xml:space="preserve">directly address whether HHFT was </w:t>
      </w:r>
      <w:r w:rsidR="00412956">
        <w:t>of “</w:t>
      </w:r>
      <w:r w:rsidR="00412956" w:rsidRPr="001113E0">
        <w:t>the view, taking into account likely providers and all relevant information available to the relevant authority at the time, that it is likely to be able to identify the most suitable provider</w:t>
      </w:r>
      <w:r w:rsidR="00412956">
        <w:t>” (as required under Regulation 6(6)(c))</w:t>
      </w:r>
      <w:r w:rsidR="003E0479">
        <w:t>.</w:t>
      </w:r>
      <w:r w:rsidR="00CF39F4">
        <w:t xml:space="preserve"> </w:t>
      </w:r>
      <w:r w:rsidR="003E0479">
        <w:t xml:space="preserve">Most relevant to this </w:t>
      </w:r>
      <w:r w:rsidR="009E74E4">
        <w:t xml:space="preserve">point </w:t>
      </w:r>
      <w:r w:rsidR="003E0479">
        <w:t>is HHFT’s comment that it was awar</w:t>
      </w:r>
      <w:r w:rsidR="009E74E4">
        <w:t>e</w:t>
      </w:r>
      <w:r w:rsidR="003E0479">
        <w:t xml:space="preserve"> of four providers and </w:t>
      </w:r>
      <w:r w:rsidR="00537F1F">
        <w:lastRenderedPageBreak/>
        <w:t xml:space="preserve">as a result was “confident that there was sufficient market knowledge to run the full MSP process” (see paragraph </w:t>
      </w:r>
      <w:r w:rsidR="00376913">
        <w:t>50</w:t>
      </w:r>
      <w:r w:rsidR="00537F1F">
        <w:t>).</w:t>
      </w:r>
    </w:p>
    <w:p w14:paraId="59814F39" w14:textId="5A1BE3E3" w:rsidR="003E0479" w:rsidRDefault="00951F3D" w:rsidP="00150F42">
      <w:pPr>
        <w:pStyle w:val="ListParagraph"/>
      </w:pPr>
      <w:r>
        <w:t xml:space="preserve">The Panel’s view is that </w:t>
      </w:r>
      <w:r w:rsidR="004A0A4B">
        <w:t xml:space="preserve">being aware of the existence of a number of suppliers </w:t>
      </w:r>
      <w:r w:rsidR="00AB4F64">
        <w:t>is, of itself,</w:t>
      </w:r>
      <w:r w:rsidR="00150F42">
        <w:t xml:space="preserve"> not typically </w:t>
      </w:r>
      <w:r>
        <w:t xml:space="preserve">sufficient for </w:t>
      </w:r>
      <w:r w:rsidR="008E2058">
        <w:t xml:space="preserve">a commissioner </w:t>
      </w:r>
      <w:r>
        <w:t xml:space="preserve">to </w:t>
      </w:r>
      <w:r w:rsidR="00BF4462">
        <w:t xml:space="preserve">be of </w:t>
      </w:r>
      <w:r>
        <w:t xml:space="preserve">the view that </w:t>
      </w:r>
      <w:r w:rsidRPr="001113E0">
        <w:t xml:space="preserve">it </w:t>
      </w:r>
      <w:r w:rsidR="00FA7DEB">
        <w:t>is</w:t>
      </w:r>
      <w:r w:rsidRPr="001113E0">
        <w:t xml:space="preserve"> </w:t>
      </w:r>
      <w:r w:rsidR="00113FFD">
        <w:t>“</w:t>
      </w:r>
      <w:r w:rsidRPr="001113E0">
        <w:t>likely to be able to identify the most suitable provider</w:t>
      </w:r>
      <w:r w:rsidR="00113FFD">
        <w:t>”</w:t>
      </w:r>
      <w:r>
        <w:t>.</w:t>
      </w:r>
      <w:r w:rsidR="00744CD0">
        <w:t xml:space="preserve"> </w:t>
      </w:r>
      <w:r w:rsidR="008E6FD3">
        <w:t>The Panel expect</w:t>
      </w:r>
      <w:r w:rsidR="00A00EFA">
        <w:t>s</w:t>
      </w:r>
      <w:r w:rsidR="008E6FD3">
        <w:t xml:space="preserve"> </w:t>
      </w:r>
      <w:r w:rsidR="003B5E79">
        <w:t>a</w:t>
      </w:r>
      <w:r w:rsidR="008E6FD3">
        <w:t xml:space="preserve"> commissioner </w:t>
      </w:r>
      <w:r w:rsidR="00C1321F">
        <w:t>using an MSP process</w:t>
      </w:r>
      <w:r w:rsidR="008E6FD3">
        <w:t xml:space="preserve"> to have s</w:t>
      </w:r>
      <w:r w:rsidR="00126C45">
        <w:t xml:space="preserve">ufficient </w:t>
      </w:r>
      <w:r w:rsidR="008E6FD3">
        <w:t xml:space="preserve">understanding of </w:t>
      </w:r>
      <w:r w:rsidR="0047177D">
        <w:t xml:space="preserve">the </w:t>
      </w:r>
      <w:r w:rsidR="009F00C2">
        <w:t xml:space="preserve">potential </w:t>
      </w:r>
      <w:r w:rsidR="008E6FD3">
        <w:t xml:space="preserve">suppliers </w:t>
      </w:r>
      <w:r w:rsidR="009F00C2">
        <w:t>i</w:t>
      </w:r>
      <w:r w:rsidR="009F1131">
        <w:t>t</w:t>
      </w:r>
      <w:r w:rsidR="009F00C2">
        <w:t xml:space="preserve"> has identified </w:t>
      </w:r>
      <w:r w:rsidR="00126C45">
        <w:t xml:space="preserve">to </w:t>
      </w:r>
      <w:r w:rsidR="002A01BB">
        <w:t xml:space="preserve">allow it to be of the view that </w:t>
      </w:r>
      <w:r w:rsidR="00A930AE">
        <w:t>an MSP process would enable it</w:t>
      </w:r>
      <w:r w:rsidR="003A7A90">
        <w:t xml:space="preserve"> </w:t>
      </w:r>
      <w:r w:rsidR="00A930AE">
        <w:t>to</w:t>
      </w:r>
      <w:r w:rsidR="003A7A90">
        <w:t xml:space="preserve"> select the most suitable provider from amongst them</w:t>
      </w:r>
      <w:r w:rsidR="00CA05E7">
        <w:t xml:space="preserve">. </w:t>
      </w:r>
      <w:r w:rsidR="006F18CE">
        <w:t>While HHFT told the Panel that it was “confident that there was sufficient market knowledge to run the full MSP process”</w:t>
      </w:r>
      <w:r w:rsidR="00C835D1">
        <w:t xml:space="preserve">, the Panel did not see any evidence </w:t>
      </w:r>
      <w:r w:rsidR="00ED787F">
        <w:t xml:space="preserve">that this </w:t>
      </w:r>
      <w:r w:rsidR="007215E3">
        <w:t>unspecified market knowledge would have allowed HHFT to identify the most suitable provider</w:t>
      </w:r>
      <w:r w:rsidR="00254499">
        <w:t>.</w:t>
      </w:r>
    </w:p>
    <w:p w14:paraId="78779F29" w14:textId="5596D455" w:rsidR="00C37862" w:rsidRDefault="00261B60" w:rsidP="00261A4D">
      <w:pPr>
        <w:pStyle w:val="ListParagraph"/>
        <w:spacing w:after="120"/>
      </w:pPr>
      <w:r>
        <w:t xml:space="preserve">The Panel further </w:t>
      </w:r>
      <w:r w:rsidR="001B6921">
        <w:t xml:space="preserve">notes that HHFT’s choice of the MSP process </w:t>
      </w:r>
      <w:r w:rsidR="00326393">
        <w:t xml:space="preserve">(see paragraph </w:t>
      </w:r>
      <w:r w:rsidR="00376913">
        <w:t>48</w:t>
      </w:r>
      <w:r w:rsidR="00326393">
        <w:t>)</w:t>
      </w:r>
      <w:r w:rsidR="001B6921">
        <w:t xml:space="preserve"> appears to </w:t>
      </w:r>
      <w:r w:rsidR="00DF35F4">
        <w:t xml:space="preserve">have </w:t>
      </w:r>
      <w:r w:rsidR="001B6921">
        <w:t>be</w:t>
      </w:r>
      <w:r w:rsidR="00DF35F4">
        <w:t>en</w:t>
      </w:r>
      <w:r w:rsidR="001B6921">
        <w:t xml:space="preserve"> based on s</w:t>
      </w:r>
      <w:r w:rsidR="00DF35F4">
        <w:t>everal</w:t>
      </w:r>
      <w:r w:rsidR="001B6921">
        <w:t xml:space="preserve"> misconceptions.</w:t>
      </w:r>
    </w:p>
    <w:p w14:paraId="0084BD18" w14:textId="62CF18EF" w:rsidR="00150F5D" w:rsidRDefault="00150F5D" w:rsidP="00261A4D">
      <w:pPr>
        <w:pStyle w:val="ListParagraph"/>
        <w:numPr>
          <w:ilvl w:val="0"/>
          <w:numId w:val="27"/>
        </w:numPr>
        <w:spacing w:after="120"/>
        <w:ind w:left="993"/>
      </w:pPr>
      <w:r>
        <w:t xml:space="preserve">Regarding HHFT’s </w:t>
      </w:r>
      <w:r w:rsidR="00F37AB5">
        <w:t>desire</w:t>
      </w:r>
      <w:r w:rsidR="00DD2FAA">
        <w:t xml:space="preserve"> to “quite genuinely, find the most suitable provider”, the Panel notes that </w:t>
      </w:r>
      <w:r w:rsidR="00005837">
        <w:t>t</w:t>
      </w:r>
      <w:r w:rsidR="00633F2D">
        <w:t xml:space="preserve">he MSP process is not uniquely </w:t>
      </w:r>
      <w:r w:rsidR="00166E35">
        <w:t xml:space="preserve">able to assist </w:t>
      </w:r>
      <w:r w:rsidR="0051123A">
        <w:t xml:space="preserve">commissioners in choosing </w:t>
      </w:r>
      <w:r w:rsidR="00C5774B" w:rsidRPr="00C5774B">
        <w:t>the most suitable provider</w:t>
      </w:r>
      <w:r w:rsidR="00005837">
        <w:t>.</w:t>
      </w:r>
      <w:r w:rsidR="00633F2D">
        <w:t xml:space="preserve"> </w:t>
      </w:r>
      <w:r w:rsidR="00A118A2">
        <w:t xml:space="preserve">The MSP process </w:t>
      </w:r>
      <w:r w:rsidR="001C124A">
        <w:t xml:space="preserve">is likely to best meet the needs of a commissioner where the commissioner </w:t>
      </w:r>
      <w:r w:rsidR="00092EDF">
        <w:t xml:space="preserve">already </w:t>
      </w:r>
      <w:r w:rsidR="001C124A">
        <w:t xml:space="preserve">has </w:t>
      </w:r>
      <w:r w:rsidR="00484D60">
        <w:t>good knowledge of potential providers</w:t>
      </w:r>
      <w:r w:rsidR="00C4426E">
        <w:t>. T</w:t>
      </w:r>
      <w:r w:rsidR="006E74C2">
        <w:t xml:space="preserve">he Panel </w:t>
      </w:r>
      <w:r w:rsidR="00340503">
        <w:t xml:space="preserve">suspects that this will </w:t>
      </w:r>
      <w:r w:rsidR="00121363">
        <w:t>typically be in situations where the number of potential providers is relatively small.</w:t>
      </w:r>
    </w:p>
    <w:p w14:paraId="5BE04769" w14:textId="10464251" w:rsidR="00D53782" w:rsidRDefault="003E1585" w:rsidP="00261A4D">
      <w:pPr>
        <w:pStyle w:val="ListParagraph"/>
        <w:numPr>
          <w:ilvl w:val="0"/>
          <w:numId w:val="27"/>
        </w:numPr>
        <w:spacing w:after="120"/>
        <w:ind w:left="993"/>
      </w:pPr>
      <w:r>
        <w:t xml:space="preserve">Regarding HHFT’s </w:t>
      </w:r>
      <w:r w:rsidR="00F37AB5">
        <w:t xml:space="preserve">desire to have </w:t>
      </w:r>
      <w:r w:rsidR="00BD54AA">
        <w:t xml:space="preserve">dialogue with potential providers, the Panel notes that dialogue with potential providers is available under </w:t>
      </w:r>
      <w:r w:rsidR="00901F14">
        <w:t>all of the provider selection processes set out in the PSR regulations</w:t>
      </w:r>
      <w:r w:rsidR="00F33339">
        <w:t xml:space="preserve">. </w:t>
      </w:r>
      <w:r w:rsidR="00E255F5">
        <w:t>Further, t</w:t>
      </w:r>
      <w:r w:rsidR="00F33339">
        <w:t xml:space="preserve">he potential for dialogue is specifically referenced in relation to the competitive process in the PSR </w:t>
      </w:r>
      <w:r w:rsidR="00383E9A">
        <w:t>s</w:t>
      </w:r>
      <w:r w:rsidR="00F25C1F">
        <w:t xml:space="preserve">tatutory </w:t>
      </w:r>
      <w:r w:rsidR="00383E9A">
        <w:t>g</w:t>
      </w:r>
      <w:r w:rsidR="00F25C1F">
        <w:t>uidance</w:t>
      </w:r>
      <w:r w:rsidR="00980325">
        <w:t xml:space="preserve">, where </w:t>
      </w:r>
      <w:r w:rsidR="00D95914">
        <w:t>it says</w:t>
      </w:r>
      <w:r w:rsidR="00D53782">
        <w:t>:</w:t>
      </w:r>
    </w:p>
    <w:p w14:paraId="0BC60007" w14:textId="7CBB6FB7" w:rsidR="00006134" w:rsidRPr="00D53782" w:rsidRDefault="00006134" w:rsidP="00261A4D">
      <w:pPr>
        <w:pStyle w:val="ListParagraph"/>
        <w:numPr>
          <w:ilvl w:val="0"/>
          <w:numId w:val="0"/>
        </w:numPr>
        <w:spacing w:after="120" w:line="259" w:lineRule="auto"/>
        <w:ind w:left="1701"/>
        <w:rPr>
          <w:sz w:val="21"/>
          <w:szCs w:val="21"/>
        </w:rPr>
      </w:pPr>
      <w:r w:rsidRPr="00D53782">
        <w:rPr>
          <w:sz w:val="21"/>
          <w:szCs w:val="21"/>
        </w:rPr>
        <w:t>"Relevant authorities may engage in dialogue or negotiate with all bidders or shortlisted bidders prior to determining which provider it will award a contract to or conclude a framework agreement with. This will be with a view to improving on initial offers, providing they do so in a fair and proportionate way and treat all bidders equally."</w:t>
      </w:r>
      <w:r w:rsidR="00843F6A">
        <w:rPr>
          <w:rStyle w:val="FootnoteReference"/>
          <w:sz w:val="21"/>
          <w:szCs w:val="21"/>
        </w:rPr>
        <w:footnoteReference w:id="24"/>
      </w:r>
    </w:p>
    <w:p w14:paraId="3AD67B8A" w14:textId="1513C8AB" w:rsidR="00980325" w:rsidRDefault="00980325" w:rsidP="00BD0BD8">
      <w:pPr>
        <w:pStyle w:val="ListParagraph"/>
        <w:numPr>
          <w:ilvl w:val="0"/>
          <w:numId w:val="27"/>
        </w:numPr>
        <w:ind w:left="993"/>
      </w:pPr>
      <w:r>
        <w:t xml:space="preserve">Regarding HHFT’s </w:t>
      </w:r>
      <w:r w:rsidR="00872404">
        <w:t xml:space="preserve">desire for </w:t>
      </w:r>
      <w:r w:rsidR="005E4F0D">
        <w:t xml:space="preserve">confidence </w:t>
      </w:r>
      <w:r w:rsidR="00872404">
        <w:t xml:space="preserve">in its ability </w:t>
      </w:r>
      <w:r w:rsidR="005E4F0D">
        <w:t xml:space="preserve">to select a provider that would meet the contract’s KPIs in a </w:t>
      </w:r>
      <w:proofErr w:type="gramStart"/>
      <w:r w:rsidR="005E4F0D">
        <w:t>high quality</w:t>
      </w:r>
      <w:proofErr w:type="gramEnd"/>
      <w:r w:rsidR="005E4F0D">
        <w:t xml:space="preserve"> way, the Panel notes that </w:t>
      </w:r>
      <w:r w:rsidR="00470B13">
        <w:t xml:space="preserve">the MSP process has no </w:t>
      </w:r>
      <w:proofErr w:type="gramStart"/>
      <w:r w:rsidR="00470B13">
        <w:t>particular advantage</w:t>
      </w:r>
      <w:proofErr w:type="gramEnd"/>
      <w:r w:rsidR="00470B13">
        <w:t xml:space="preserve"> over other provider selection processes in terms of </w:t>
      </w:r>
      <w:r w:rsidR="001A7DD1">
        <w:t>guaranteeing subsequent contract performance.</w:t>
      </w:r>
    </w:p>
    <w:p w14:paraId="3E9AAB85" w14:textId="270499BA" w:rsidR="009B466F" w:rsidRPr="007A538D" w:rsidRDefault="009B466F" w:rsidP="009F5235">
      <w:pPr>
        <w:keepNext/>
        <w:spacing w:before="240" w:line="259" w:lineRule="auto"/>
        <w:rPr>
          <w:b/>
          <w:bCs/>
        </w:rPr>
      </w:pPr>
      <w:r w:rsidRPr="007A538D">
        <w:rPr>
          <w:b/>
          <w:bCs/>
        </w:rPr>
        <w:t>7.1.</w:t>
      </w:r>
      <w:r w:rsidR="001E2869">
        <w:rPr>
          <w:b/>
          <w:bCs/>
        </w:rPr>
        <w:t>3</w:t>
      </w:r>
      <w:r w:rsidRPr="007A538D">
        <w:rPr>
          <w:b/>
          <w:bCs/>
        </w:rPr>
        <w:t xml:space="preserve"> </w:t>
      </w:r>
      <w:r>
        <w:rPr>
          <w:b/>
          <w:bCs/>
        </w:rPr>
        <w:t xml:space="preserve">HHFT’s decision to </w:t>
      </w:r>
      <w:r w:rsidR="005108F3">
        <w:rPr>
          <w:b/>
          <w:bCs/>
        </w:rPr>
        <w:t xml:space="preserve">continue </w:t>
      </w:r>
      <w:r w:rsidR="0003172D">
        <w:rPr>
          <w:b/>
          <w:bCs/>
        </w:rPr>
        <w:t xml:space="preserve">using </w:t>
      </w:r>
      <w:r>
        <w:rPr>
          <w:b/>
          <w:bCs/>
        </w:rPr>
        <w:t>the MSP process</w:t>
      </w:r>
      <w:r w:rsidR="005108F3">
        <w:rPr>
          <w:b/>
          <w:bCs/>
        </w:rPr>
        <w:t xml:space="preserve"> following expressions of interest</w:t>
      </w:r>
    </w:p>
    <w:p w14:paraId="6B669AAB" w14:textId="5AA15A4E" w:rsidR="00120366" w:rsidRDefault="005945AC" w:rsidP="00120366">
      <w:pPr>
        <w:pStyle w:val="ListParagraph"/>
      </w:pPr>
      <w:r>
        <w:t xml:space="preserve">HHFT received eleven expressions of interest after </w:t>
      </w:r>
      <w:r w:rsidR="00120366">
        <w:t>publi</w:t>
      </w:r>
      <w:r>
        <w:t xml:space="preserve">shing </w:t>
      </w:r>
      <w:r w:rsidR="00120366">
        <w:t>the notice</w:t>
      </w:r>
      <w:r w:rsidR="00120366" w:rsidRPr="00B35274">
        <w:t xml:space="preserve"> </w:t>
      </w:r>
      <w:r w:rsidR="00120366">
        <w:t>setting out its intention to use the MSP process (see paragraph</w:t>
      </w:r>
      <w:r w:rsidR="00B822D1">
        <w:t> </w:t>
      </w:r>
      <w:r w:rsidR="00376913">
        <w:t>30</w:t>
      </w:r>
      <w:r w:rsidR="00120366">
        <w:t xml:space="preserve">). </w:t>
      </w:r>
      <w:r w:rsidR="00671D64">
        <w:t>HHFT continue</w:t>
      </w:r>
      <w:r w:rsidR="004A7E85">
        <w:t>d</w:t>
      </w:r>
      <w:r w:rsidR="00671D64">
        <w:t xml:space="preserve"> with the MSP process after receiving these expressions of interest, and s</w:t>
      </w:r>
      <w:r w:rsidR="00120366">
        <w:t xml:space="preserve">ix providers went on to make submissions (see paragraph </w:t>
      </w:r>
      <w:r w:rsidR="00376913">
        <w:t>32</w:t>
      </w:r>
      <w:r w:rsidR="00120366">
        <w:t>).</w:t>
      </w:r>
    </w:p>
    <w:p w14:paraId="6A9E1C00" w14:textId="7AC41304" w:rsidR="005A6490" w:rsidRDefault="005A6490" w:rsidP="001E2358">
      <w:pPr>
        <w:pStyle w:val="ListParagraph"/>
        <w:spacing w:after="120"/>
      </w:pPr>
      <w:r>
        <w:t>HHFT</w:t>
      </w:r>
      <w:r w:rsidR="00AF1ECF">
        <w:t xml:space="preserve"> told </w:t>
      </w:r>
      <w:r>
        <w:t>the Panel</w:t>
      </w:r>
      <w:r w:rsidR="00AF1ECF">
        <w:t xml:space="preserve"> about </w:t>
      </w:r>
      <w:r w:rsidR="00427386">
        <w:t xml:space="preserve">its response to </w:t>
      </w:r>
      <w:proofErr w:type="gramStart"/>
      <w:r w:rsidR="00427386">
        <w:t>receiving</w:t>
      </w:r>
      <w:proofErr w:type="gramEnd"/>
      <w:r w:rsidR="00427386">
        <w:t xml:space="preserve"> eleven expressions of interest</w:t>
      </w:r>
      <w:r w:rsidR="005804D2">
        <w:t>, saying:</w:t>
      </w:r>
    </w:p>
    <w:p w14:paraId="3838ABCB" w14:textId="7BF9D412" w:rsidR="007656A8" w:rsidRPr="007E77F3" w:rsidRDefault="000D61B4" w:rsidP="007E77F3">
      <w:pPr>
        <w:pStyle w:val="ListParagraph"/>
        <w:numPr>
          <w:ilvl w:val="0"/>
          <w:numId w:val="0"/>
        </w:numPr>
        <w:spacing w:line="259" w:lineRule="auto"/>
        <w:ind w:left="1134"/>
        <w:rPr>
          <w:sz w:val="21"/>
          <w:szCs w:val="21"/>
        </w:rPr>
      </w:pPr>
      <w:r w:rsidRPr="007E77F3">
        <w:rPr>
          <w:sz w:val="21"/>
          <w:szCs w:val="21"/>
        </w:rPr>
        <w:lastRenderedPageBreak/>
        <w:t>“we were a little bit surprised at the number of respondents that we’d got because we went into that process knowing that we definitely had four providers in our local region that were capable of providing this service</w:t>
      </w:r>
      <w:r w:rsidR="00D6445B" w:rsidRPr="007E77F3">
        <w:rPr>
          <w:sz w:val="21"/>
          <w:szCs w:val="21"/>
        </w:rPr>
        <w:t xml:space="preserve"> … we were surprised, and not because they had the capability to do the work, but because they were interested in working in our geographical area</w:t>
      </w:r>
      <w:r w:rsidR="00D8609D" w:rsidRPr="007E77F3">
        <w:rPr>
          <w:sz w:val="21"/>
          <w:szCs w:val="21"/>
        </w:rPr>
        <w:t>. So that didn’t, in our opinion, it didn’t give us any reason to change tack or to change the process that we were following”</w:t>
      </w:r>
      <w:r w:rsidR="00DE1DC4" w:rsidRPr="007E77F3">
        <w:rPr>
          <w:sz w:val="21"/>
          <w:szCs w:val="21"/>
        </w:rPr>
        <w:t>.</w:t>
      </w:r>
      <w:r w:rsidR="001A04FE" w:rsidRPr="007E77F3">
        <w:rPr>
          <w:rStyle w:val="FootnoteReference"/>
          <w:sz w:val="21"/>
          <w:szCs w:val="21"/>
        </w:rPr>
        <w:footnoteReference w:id="25"/>
      </w:r>
    </w:p>
    <w:p w14:paraId="7870B577" w14:textId="5B126DB3" w:rsidR="0023328D" w:rsidRDefault="004B6AFE" w:rsidP="004638FC">
      <w:pPr>
        <w:pStyle w:val="ListParagraph"/>
      </w:pPr>
      <w:r>
        <w:t>Regarding</w:t>
      </w:r>
      <w:r w:rsidR="00601BFC">
        <w:t xml:space="preserve"> the requirement</w:t>
      </w:r>
      <w:r w:rsidR="004203F2">
        <w:t>, set out</w:t>
      </w:r>
      <w:r w:rsidR="00601BFC">
        <w:t xml:space="preserve"> in the PSR statutory guidance</w:t>
      </w:r>
      <w:r w:rsidR="004203F2">
        <w:t>,</w:t>
      </w:r>
      <w:r w:rsidR="00601BFC">
        <w:t xml:space="preserve"> </w:t>
      </w:r>
      <w:r w:rsidR="00F63853">
        <w:t xml:space="preserve">that </w:t>
      </w:r>
      <w:r w:rsidR="007850CD">
        <w:t xml:space="preserve">commissioners </w:t>
      </w:r>
      <w:r w:rsidR="0031440B">
        <w:t xml:space="preserve">“must be able to demonstrate” that they have considered whether any alternative provider that makes itself known would be suitable, and </w:t>
      </w:r>
      <w:r w:rsidR="00A11145">
        <w:t>that if any of these unfamiliar providers are considered suitable, the commissioner “should consider whether the competitive process would be more suitable” (see paragraph</w:t>
      </w:r>
      <w:r w:rsidR="00760F08">
        <w:t xml:space="preserve"> </w:t>
      </w:r>
      <w:r w:rsidR="00376913">
        <w:t>46</w:t>
      </w:r>
      <w:r w:rsidR="00A11145">
        <w:t>)</w:t>
      </w:r>
      <w:r w:rsidR="00570493">
        <w:t xml:space="preserve">, </w:t>
      </w:r>
      <w:r w:rsidR="0023328D">
        <w:t>the Panel understands, from discussions with HHFT, that no such consideration took place.</w:t>
      </w:r>
      <w:r w:rsidR="0023328D">
        <w:rPr>
          <w:rStyle w:val="FootnoteReference"/>
        </w:rPr>
        <w:footnoteReference w:id="26"/>
      </w:r>
    </w:p>
    <w:p w14:paraId="02ACD5AB" w14:textId="1A6681ED" w:rsidR="00F15757" w:rsidRDefault="0066625E" w:rsidP="004638FC">
      <w:pPr>
        <w:pStyle w:val="ListParagraph"/>
      </w:pPr>
      <w:r>
        <w:t xml:space="preserve">HHFT </w:t>
      </w:r>
      <w:r w:rsidR="007B6921">
        <w:t xml:space="preserve">told the Panel that </w:t>
      </w:r>
      <w:r w:rsidR="00006594">
        <w:t>it “</w:t>
      </w:r>
      <w:r w:rsidR="00006594" w:rsidRPr="00006594">
        <w:t>received notification from organisations that had not historically practiced in North Hampshire, expressing and interest to be considered for this service. These providers were not unknown and HHFT considered that the existing process was still likely to identify the most suitable provider</w:t>
      </w:r>
      <w:r w:rsidR="002073A5">
        <w:t>”</w:t>
      </w:r>
      <w:r w:rsidR="00BE60FB">
        <w:t>.</w:t>
      </w:r>
      <w:r w:rsidR="00D82CE3">
        <w:rPr>
          <w:rStyle w:val="FootnoteReference"/>
        </w:rPr>
        <w:footnoteReference w:id="27"/>
      </w:r>
      <w:r w:rsidR="00006594" w:rsidRPr="00006594">
        <w:t xml:space="preserve"> </w:t>
      </w:r>
    </w:p>
    <w:p w14:paraId="08C842F3" w14:textId="42307915" w:rsidR="001B4040" w:rsidRDefault="002F772C" w:rsidP="004638FC">
      <w:pPr>
        <w:pStyle w:val="ListParagraph"/>
      </w:pPr>
      <w:r>
        <w:t>The Panel</w:t>
      </w:r>
      <w:r w:rsidR="002F6058">
        <w:t>, however,</w:t>
      </w:r>
      <w:r>
        <w:t xml:space="preserve"> has not seen </w:t>
      </w:r>
      <w:r w:rsidR="00A603EF">
        <w:t xml:space="preserve">any </w:t>
      </w:r>
      <w:r w:rsidR="002E54C8">
        <w:t xml:space="preserve">records </w:t>
      </w:r>
      <w:r w:rsidR="00A603EF">
        <w:t xml:space="preserve">or other evidence that </w:t>
      </w:r>
      <w:r w:rsidR="00FC05C4">
        <w:t>address</w:t>
      </w:r>
      <w:r w:rsidR="00BA47DA">
        <w:t xml:space="preserve">es </w:t>
      </w:r>
      <w:r w:rsidR="00FC05C4">
        <w:t xml:space="preserve">HHFT’s familiarity with the </w:t>
      </w:r>
      <w:r w:rsidR="00BE60FB">
        <w:t>seven</w:t>
      </w:r>
      <w:r w:rsidR="00FC05C4">
        <w:t xml:space="preserve"> ‘alternative’ providers </w:t>
      </w:r>
      <w:r w:rsidR="00FA7F40">
        <w:t>that</w:t>
      </w:r>
      <w:r w:rsidR="00FC05C4">
        <w:t xml:space="preserve"> </w:t>
      </w:r>
      <w:r w:rsidR="0061448F">
        <w:t>express</w:t>
      </w:r>
      <w:r w:rsidR="0055530F">
        <w:t xml:space="preserve">ed </w:t>
      </w:r>
      <w:r w:rsidR="0061448F">
        <w:t xml:space="preserve">interest, </w:t>
      </w:r>
      <w:r w:rsidR="00A8445B">
        <w:t>how</w:t>
      </w:r>
      <w:r w:rsidR="00AC18E2">
        <w:t xml:space="preserve"> this familiarity </w:t>
      </w:r>
      <w:r w:rsidR="00A8445B">
        <w:t xml:space="preserve">led </w:t>
      </w:r>
      <w:r w:rsidR="0031218B">
        <w:t xml:space="preserve">HHFT </w:t>
      </w:r>
      <w:r w:rsidR="00A8445B">
        <w:t xml:space="preserve">to </w:t>
      </w:r>
      <w:r w:rsidR="0031218B">
        <w:t>conclude</w:t>
      </w:r>
      <w:r w:rsidR="00A8445B">
        <w:t xml:space="preserve"> that the most suitable provider process remained </w:t>
      </w:r>
      <w:r w:rsidR="006823A7">
        <w:t xml:space="preserve">appropriate, </w:t>
      </w:r>
      <w:r w:rsidR="0061448F">
        <w:t xml:space="preserve">or </w:t>
      </w:r>
      <w:r w:rsidR="002E54C8">
        <w:t>any</w:t>
      </w:r>
      <w:r w:rsidR="0066625E">
        <w:t xml:space="preserve"> consider</w:t>
      </w:r>
      <w:r w:rsidR="002E54C8">
        <w:t>ation by HHFT of</w:t>
      </w:r>
      <w:r w:rsidR="0066625E">
        <w:t xml:space="preserve"> whether the competitive process would be more suitable</w:t>
      </w:r>
      <w:r w:rsidR="00B97477">
        <w:t>.</w:t>
      </w:r>
    </w:p>
    <w:p w14:paraId="5613B907" w14:textId="1C466CF0" w:rsidR="00EC3C4D" w:rsidRPr="00C81DDF" w:rsidRDefault="00C81DDF" w:rsidP="00C81DDF">
      <w:pPr>
        <w:keepNext/>
        <w:spacing w:before="240" w:line="259" w:lineRule="auto"/>
        <w:ind w:left="567" w:hanging="567"/>
        <w:rPr>
          <w:b/>
          <w:bCs/>
        </w:rPr>
      </w:pPr>
      <w:r>
        <w:rPr>
          <w:b/>
          <w:bCs/>
        </w:rPr>
        <w:t>7.1.4 Panel conclusions on HHFT’s decision to use the MSP process</w:t>
      </w:r>
    </w:p>
    <w:p w14:paraId="5D564B71" w14:textId="1BD08350" w:rsidR="00E80B48" w:rsidRDefault="00E80B48" w:rsidP="002C49D8">
      <w:pPr>
        <w:pStyle w:val="ListParagraph"/>
      </w:pPr>
      <w:r>
        <w:t xml:space="preserve">In summary, </w:t>
      </w:r>
      <w:r w:rsidR="00253E94">
        <w:t xml:space="preserve">the Panel has identified two issues with respect to HHFT’s decision to use the MSP process. First, </w:t>
      </w:r>
      <w:r w:rsidR="00C01A85">
        <w:t xml:space="preserve">whether HHFT met the conditions for using the MSP process </w:t>
      </w:r>
      <w:r w:rsidR="009D6EB2">
        <w:t>when initially deciding to use the MSP process</w:t>
      </w:r>
      <w:r w:rsidR="00497E4D">
        <w:t xml:space="preserve"> and after expressions of interest were received</w:t>
      </w:r>
      <w:r w:rsidR="009D6EB2">
        <w:t xml:space="preserve">, </w:t>
      </w:r>
      <w:r w:rsidR="00C01A85">
        <w:t xml:space="preserve">and second, whether HHFT kept sufficient records </w:t>
      </w:r>
      <w:r w:rsidR="0038661A">
        <w:t>regarding its use of the MSP process.</w:t>
      </w:r>
    </w:p>
    <w:p w14:paraId="0F84909F" w14:textId="43BD38B6" w:rsidR="00DF02E2" w:rsidRDefault="00DF02E2" w:rsidP="002C49D8">
      <w:pPr>
        <w:pStyle w:val="ListParagraph"/>
      </w:pPr>
      <w:r>
        <w:t xml:space="preserve">Regarding HHFT’s use of the MSP process, </w:t>
      </w:r>
      <w:r w:rsidR="008A35E5">
        <w:t>the Panel</w:t>
      </w:r>
      <w:r w:rsidR="001A5681">
        <w:t xml:space="preserve">’s view is that, on the evidence available, </w:t>
      </w:r>
      <w:r w:rsidR="002050F5">
        <w:t xml:space="preserve">it was not rational for HHFT </w:t>
      </w:r>
      <w:r w:rsidR="003F0291">
        <w:t xml:space="preserve">to </w:t>
      </w:r>
      <w:r w:rsidR="00CA2AE2">
        <w:t>hold the position</w:t>
      </w:r>
      <w:r w:rsidR="003F0291">
        <w:t xml:space="preserve"> </w:t>
      </w:r>
      <w:r w:rsidR="003F0291" w:rsidRPr="003F0291">
        <w:t xml:space="preserve">that </w:t>
      </w:r>
      <w:r w:rsidR="003F0291" w:rsidRPr="00C564A8">
        <w:t>“taking into account likely providers and all relevant information available to the relevant authority at the time, that it is likely to be able to identify the most suitable provider”</w:t>
      </w:r>
      <w:r w:rsidR="003E5C85">
        <w:t xml:space="preserve"> either at: (a) the point at which HHFT initially decided to </w:t>
      </w:r>
      <w:r w:rsidR="002503A0">
        <w:t>use the MSP process; or (b) after receiving expressions of interest.</w:t>
      </w:r>
    </w:p>
    <w:p w14:paraId="04E0430D" w14:textId="198226A8" w:rsidR="00510E7E" w:rsidRDefault="00510E7E" w:rsidP="002C49D8">
      <w:pPr>
        <w:pStyle w:val="ListParagraph"/>
      </w:pPr>
      <w:r>
        <w:t>As a result, the Panel finds that HHFT, in using the MSP process, breached the PSR regulations</w:t>
      </w:r>
      <w:r w:rsidR="00F7713E">
        <w:t>,</w:t>
      </w:r>
      <w:r>
        <w:t xml:space="preserve"> and in particular Regulation 6(6)(c), which requires the commissioner to be of </w:t>
      </w:r>
      <w:r w:rsidRPr="001113E0">
        <w:t>the view, taking into account likely providers and all relevant information available at the time, that it is likely to be able to identify the most suitable provider</w:t>
      </w:r>
      <w:r>
        <w:t>.</w:t>
      </w:r>
    </w:p>
    <w:p w14:paraId="08467631" w14:textId="5D7E0A17" w:rsidR="004C0484" w:rsidRDefault="00F64EA6" w:rsidP="002C49D8">
      <w:pPr>
        <w:pStyle w:val="ListParagraph"/>
      </w:pPr>
      <w:r>
        <w:t xml:space="preserve">Regarding HHFT’s recordkeeping, </w:t>
      </w:r>
      <w:r w:rsidR="00596DC0">
        <w:t xml:space="preserve">HHFT </w:t>
      </w:r>
      <w:r w:rsidR="000960DF">
        <w:t>has been</w:t>
      </w:r>
      <w:r w:rsidR="00596DC0">
        <w:t xml:space="preserve"> unable to supply the Panel with any </w:t>
      </w:r>
      <w:r w:rsidR="00900B1F">
        <w:t xml:space="preserve">records regarding its decision to use the MSP process or </w:t>
      </w:r>
      <w:r w:rsidR="00751392">
        <w:t>its</w:t>
      </w:r>
      <w:r w:rsidR="00E23605">
        <w:t xml:space="preserve"> continu</w:t>
      </w:r>
      <w:r w:rsidR="00751392">
        <w:t xml:space="preserve">ed </w:t>
      </w:r>
      <w:r w:rsidR="00E23605">
        <w:t>us</w:t>
      </w:r>
      <w:r w:rsidR="0043206E">
        <w:t>e</w:t>
      </w:r>
      <w:r w:rsidR="00E23605">
        <w:t xml:space="preserve"> </w:t>
      </w:r>
      <w:r w:rsidR="00751392">
        <w:t xml:space="preserve">of </w:t>
      </w:r>
      <w:r w:rsidR="00E23605">
        <w:t>the MSP process following the receipt of expressions of interest.</w:t>
      </w:r>
    </w:p>
    <w:p w14:paraId="214E9352" w14:textId="34952A9E" w:rsidR="00900B1F" w:rsidRDefault="00E23605" w:rsidP="002C49D8">
      <w:pPr>
        <w:pStyle w:val="ListParagraph"/>
      </w:pPr>
      <w:r>
        <w:lastRenderedPageBreak/>
        <w:t xml:space="preserve">As a result, the Panel finds that HHFT, in failing to keep records regarding its decision to use the MSP process or </w:t>
      </w:r>
      <w:r w:rsidR="00660BE9">
        <w:t xml:space="preserve">to </w:t>
      </w:r>
      <w:r>
        <w:t>continu</w:t>
      </w:r>
      <w:r w:rsidR="00475104">
        <w:t xml:space="preserve">e </w:t>
      </w:r>
      <w:r>
        <w:t>us</w:t>
      </w:r>
      <w:r w:rsidR="00475104">
        <w:t>ing</w:t>
      </w:r>
      <w:r>
        <w:t xml:space="preserve"> the MSP process following expressions of interest, breached the PSR regulations</w:t>
      </w:r>
      <w:r w:rsidR="009C0B52">
        <w:t>,</w:t>
      </w:r>
      <w:r>
        <w:t xml:space="preserve"> and in particular Regulation</w:t>
      </w:r>
      <w:r w:rsidR="00771C5A">
        <w:t> </w:t>
      </w:r>
      <w:r>
        <w:t>24(g) which requires commissioners to keep a record of the reasons for decisions made under the PSR regulations.</w:t>
      </w:r>
    </w:p>
    <w:p w14:paraId="14BDD9FE" w14:textId="1E21E8F0" w:rsidR="000F46F8" w:rsidRPr="002671A7" w:rsidRDefault="00977856" w:rsidP="00977856">
      <w:pPr>
        <w:pStyle w:val="Heading2"/>
        <w:spacing w:before="240" w:line="276" w:lineRule="auto"/>
      </w:pPr>
      <w:bookmarkStart w:id="23" w:name="_Toc225930406"/>
      <w:r>
        <w:t xml:space="preserve">7.2 </w:t>
      </w:r>
      <w:r w:rsidR="007E5ED1">
        <w:t>HHFT’s c</w:t>
      </w:r>
      <w:r w:rsidR="00FB2B03">
        <w:t xml:space="preserve">onduct of </w:t>
      </w:r>
      <w:r w:rsidR="002C2A6F">
        <w:t xml:space="preserve">the </w:t>
      </w:r>
      <w:r w:rsidR="00702040">
        <w:t>MSP</w:t>
      </w:r>
      <w:r w:rsidR="004939B3">
        <w:t xml:space="preserve"> process</w:t>
      </w:r>
      <w:bookmarkEnd w:id="23"/>
    </w:p>
    <w:p w14:paraId="2D3E27E8" w14:textId="7924EFCA" w:rsidR="007F1CC4" w:rsidRDefault="00052502" w:rsidP="000D533E">
      <w:pPr>
        <w:pStyle w:val="ListParagraph"/>
        <w:contextualSpacing/>
      </w:pPr>
      <w:r w:rsidRPr="002C2A6F">
        <w:t>This section</w:t>
      </w:r>
      <w:r w:rsidR="00794A26" w:rsidRPr="002C2A6F">
        <w:t xml:space="preserve"> sets out </w:t>
      </w:r>
      <w:r w:rsidR="00BC2759" w:rsidRPr="002C2A6F">
        <w:t xml:space="preserve">the Panel’s </w:t>
      </w:r>
      <w:r w:rsidR="00AE7DE2" w:rsidRPr="002C2A6F">
        <w:t xml:space="preserve">assessment of </w:t>
      </w:r>
      <w:r w:rsidR="00873B75">
        <w:t xml:space="preserve">whether </w:t>
      </w:r>
      <w:r w:rsidR="00E568BD">
        <w:t>HHFT’s</w:t>
      </w:r>
      <w:r w:rsidR="00631818">
        <w:t xml:space="preserve"> conduct of </w:t>
      </w:r>
      <w:r w:rsidR="00E41781">
        <w:t xml:space="preserve">its </w:t>
      </w:r>
      <w:r w:rsidR="001B3D0A">
        <w:t xml:space="preserve">MSP </w:t>
      </w:r>
      <w:r w:rsidR="00E568BD">
        <w:t xml:space="preserve">process </w:t>
      </w:r>
      <w:r w:rsidR="00E76E86">
        <w:t>breach</w:t>
      </w:r>
      <w:r w:rsidR="001B3D0A">
        <w:t>ed</w:t>
      </w:r>
      <w:r w:rsidR="00E76E86">
        <w:t xml:space="preserve"> the PSR regulations</w:t>
      </w:r>
      <w:r w:rsidR="005160B3">
        <w:t xml:space="preserve"> as follows</w:t>
      </w:r>
      <w:r w:rsidR="005D735D">
        <w:t>:</w:t>
      </w:r>
    </w:p>
    <w:p w14:paraId="26CB339D" w14:textId="642D8DB3" w:rsidR="007F1CC4" w:rsidRDefault="00694E73" w:rsidP="00BD0BD8">
      <w:pPr>
        <w:pStyle w:val="ListParagraph"/>
        <w:numPr>
          <w:ilvl w:val="0"/>
          <w:numId w:val="9"/>
        </w:numPr>
        <w:ind w:left="1134"/>
        <w:contextualSpacing/>
      </w:pPr>
      <w:r>
        <w:t xml:space="preserve">first, </w:t>
      </w:r>
      <w:r w:rsidR="002209E8">
        <w:t xml:space="preserve">whether HHFT </w:t>
      </w:r>
      <w:r w:rsidR="00EB7EB0">
        <w:t>assess</w:t>
      </w:r>
      <w:r w:rsidR="001C50B0">
        <w:t xml:space="preserve">ed </w:t>
      </w:r>
      <w:r w:rsidR="00C54104">
        <w:t xml:space="preserve">potential </w:t>
      </w:r>
      <w:r w:rsidR="00EB7EB0">
        <w:t>providers</w:t>
      </w:r>
      <w:r w:rsidR="006D6DE6">
        <w:t xml:space="preserve">, </w:t>
      </w:r>
      <w:r w:rsidR="003D019E">
        <w:t>as required by the MSP process</w:t>
      </w:r>
      <w:r w:rsidR="006D6DE6">
        <w:t>,</w:t>
      </w:r>
      <w:r w:rsidR="003D019E">
        <w:t xml:space="preserve"> or assessed providers’ </w:t>
      </w:r>
      <w:r w:rsidR="001C50B0">
        <w:t>offers</w:t>
      </w:r>
      <w:r w:rsidR="006D6DE6">
        <w:t>,</w:t>
      </w:r>
      <w:r w:rsidR="001C50B0">
        <w:t xml:space="preserve"> consistent with a competitive process </w:t>
      </w:r>
      <w:r w:rsidR="00334415">
        <w:t>(Section</w:t>
      </w:r>
      <w:r w:rsidR="0015118E">
        <w:t> </w:t>
      </w:r>
      <w:r w:rsidR="00334415">
        <w:t>7.2.1);</w:t>
      </w:r>
    </w:p>
    <w:p w14:paraId="63216ED0" w14:textId="017DDBE0" w:rsidR="002E44F8" w:rsidRDefault="0015118E" w:rsidP="002E44F8">
      <w:pPr>
        <w:pStyle w:val="ListParagraph"/>
        <w:numPr>
          <w:ilvl w:val="0"/>
          <w:numId w:val="9"/>
        </w:numPr>
        <w:ind w:left="1134" w:hanging="357"/>
        <w:contextualSpacing/>
      </w:pPr>
      <w:r>
        <w:t>second,</w:t>
      </w:r>
      <w:r w:rsidR="000E17C8">
        <w:t xml:space="preserve"> </w:t>
      </w:r>
      <w:r w:rsidR="002209E8">
        <w:t xml:space="preserve">the basis on which providers’ submissions were prepared and HHFT’s decision to select a provider only for the Basingstoke Hospital UTC </w:t>
      </w:r>
      <w:r w:rsidR="002E44F8">
        <w:t>(Section</w:t>
      </w:r>
      <w:r w:rsidR="006B423E">
        <w:t> </w:t>
      </w:r>
      <w:r w:rsidR="002E44F8">
        <w:t>7.2.2);</w:t>
      </w:r>
    </w:p>
    <w:p w14:paraId="74D915E6" w14:textId="105E071E" w:rsidR="006B423E" w:rsidRPr="0046643F" w:rsidRDefault="002E44F8" w:rsidP="006B423E">
      <w:pPr>
        <w:pStyle w:val="ListParagraph"/>
        <w:numPr>
          <w:ilvl w:val="0"/>
          <w:numId w:val="15"/>
        </w:numPr>
        <w:ind w:left="1134"/>
        <w:contextualSpacing/>
      </w:pPr>
      <w:r>
        <w:t xml:space="preserve">third, </w:t>
      </w:r>
      <w:r w:rsidR="006B423E">
        <w:t>the application of the basic selection criteria during the provider selection process (Section 7.2.3); and</w:t>
      </w:r>
    </w:p>
    <w:p w14:paraId="294006BC" w14:textId="47CD7822" w:rsidR="002F4396" w:rsidRDefault="006B423E" w:rsidP="00BD0BD8">
      <w:pPr>
        <w:pStyle w:val="ListParagraph"/>
        <w:numPr>
          <w:ilvl w:val="0"/>
          <w:numId w:val="9"/>
        </w:numPr>
        <w:ind w:left="1134"/>
        <w:contextualSpacing/>
      </w:pPr>
      <w:r>
        <w:t>f</w:t>
      </w:r>
      <w:r w:rsidRPr="0046643F">
        <w:t xml:space="preserve">inally, </w:t>
      </w:r>
      <w:r>
        <w:t>the transparency of the methodology</w:t>
      </w:r>
      <w:r w:rsidRPr="0046643F">
        <w:t xml:space="preserve"> for evaluati</w:t>
      </w:r>
      <w:r>
        <w:t>ng</w:t>
      </w:r>
      <w:r w:rsidRPr="0046643F">
        <w:t xml:space="preserve"> providers’ </w:t>
      </w:r>
      <w:r>
        <w:t xml:space="preserve">submissions </w:t>
      </w:r>
      <w:r w:rsidR="00D25202">
        <w:t>(</w:t>
      </w:r>
      <w:r w:rsidR="00985CDD">
        <w:t>Section 7.2.</w:t>
      </w:r>
      <w:r w:rsidR="00E74D57">
        <w:t>4</w:t>
      </w:r>
      <w:r w:rsidR="00D25202">
        <w:t>)</w:t>
      </w:r>
      <w:r w:rsidR="002F4396">
        <w:t>.</w:t>
      </w:r>
    </w:p>
    <w:p w14:paraId="30D47C99" w14:textId="1A1F58B3" w:rsidR="00A127FD" w:rsidRPr="009F5235" w:rsidRDefault="00C31EBB" w:rsidP="009F5235">
      <w:pPr>
        <w:keepNext/>
        <w:spacing w:before="240"/>
        <w:ind w:left="567" w:hanging="567"/>
        <w:rPr>
          <w:b/>
          <w:bCs/>
        </w:rPr>
      </w:pPr>
      <w:r>
        <w:rPr>
          <w:b/>
          <w:bCs/>
        </w:rPr>
        <w:t xml:space="preserve">7.2.1 </w:t>
      </w:r>
      <w:r w:rsidR="005D22F9" w:rsidRPr="009F5235">
        <w:rPr>
          <w:b/>
          <w:bCs/>
        </w:rPr>
        <w:t xml:space="preserve">Whether </w:t>
      </w:r>
      <w:r w:rsidR="004323B5" w:rsidRPr="009F5235">
        <w:rPr>
          <w:b/>
          <w:bCs/>
        </w:rPr>
        <w:t xml:space="preserve">HHFT </w:t>
      </w:r>
      <w:r w:rsidR="007C4221" w:rsidRPr="009F5235">
        <w:rPr>
          <w:b/>
          <w:bCs/>
        </w:rPr>
        <w:t xml:space="preserve">assessed </w:t>
      </w:r>
      <w:r w:rsidR="004323B5" w:rsidRPr="009F5235">
        <w:rPr>
          <w:b/>
          <w:bCs/>
        </w:rPr>
        <w:t>providers</w:t>
      </w:r>
      <w:r w:rsidR="00FC0257">
        <w:rPr>
          <w:b/>
          <w:bCs/>
        </w:rPr>
        <w:t xml:space="preserve"> or assessed providers’ </w:t>
      </w:r>
      <w:r w:rsidR="0055244E" w:rsidRPr="009F5235">
        <w:rPr>
          <w:b/>
          <w:bCs/>
        </w:rPr>
        <w:t>offers</w:t>
      </w:r>
    </w:p>
    <w:p w14:paraId="39EE0F96" w14:textId="33FEC5AA" w:rsidR="000025E0" w:rsidRDefault="007E72AB" w:rsidP="00D27652">
      <w:pPr>
        <w:pStyle w:val="ListParagraph"/>
      </w:pPr>
      <w:r>
        <w:t xml:space="preserve">This section discusses </w:t>
      </w:r>
      <w:r w:rsidR="004419A2">
        <w:t xml:space="preserve">whether HHFT </w:t>
      </w:r>
      <w:r w:rsidR="003D019E">
        <w:t xml:space="preserve">assessed </w:t>
      </w:r>
      <w:r w:rsidR="00C54104">
        <w:t xml:space="preserve">potential </w:t>
      </w:r>
      <w:r w:rsidR="003D019E">
        <w:t>providers</w:t>
      </w:r>
      <w:r w:rsidR="00E22E73">
        <w:t>,</w:t>
      </w:r>
      <w:r w:rsidR="00C54104">
        <w:t xml:space="preserve"> </w:t>
      </w:r>
      <w:r w:rsidR="003D019E">
        <w:t>as required by the MSP process</w:t>
      </w:r>
      <w:r w:rsidR="00E22E73">
        <w:t>,</w:t>
      </w:r>
      <w:r w:rsidR="003D019E">
        <w:t xml:space="preserve"> or assessed providers’ offers</w:t>
      </w:r>
      <w:r w:rsidR="00E22E73">
        <w:t>,</w:t>
      </w:r>
      <w:r w:rsidR="003D019E">
        <w:t xml:space="preserve"> consistent with a competitive process</w:t>
      </w:r>
      <w:r w:rsidR="007B1345">
        <w:t>.</w:t>
      </w:r>
      <w:r w:rsidR="003C1DFB">
        <w:rPr>
          <w:rStyle w:val="FootnoteReference"/>
        </w:rPr>
        <w:footnoteReference w:id="28"/>
      </w:r>
      <w:r w:rsidR="007B1345">
        <w:t xml:space="preserve"> </w:t>
      </w:r>
      <w:r w:rsidR="0025315A">
        <w:t>T</w:t>
      </w:r>
      <w:r w:rsidR="005C5A8C">
        <w:t>he relevant provisions in the PSR regulations and statutory guidance</w:t>
      </w:r>
      <w:r w:rsidR="00F1486E">
        <w:t xml:space="preserve"> </w:t>
      </w:r>
      <w:r>
        <w:t xml:space="preserve">are </w:t>
      </w:r>
      <w:r w:rsidR="0025315A">
        <w:t xml:space="preserve">first </w:t>
      </w:r>
      <w:r>
        <w:t>set out</w:t>
      </w:r>
      <w:r w:rsidR="005C5A8C">
        <w:t xml:space="preserve">, </w:t>
      </w:r>
      <w:r w:rsidR="007B1345">
        <w:t xml:space="preserve">HHFT’s </w:t>
      </w:r>
      <w:r w:rsidR="00C82250">
        <w:t xml:space="preserve">assessment </w:t>
      </w:r>
      <w:r w:rsidR="007B1345">
        <w:t>of provide</w:t>
      </w:r>
      <w:r w:rsidR="001B71FF">
        <w:t>r</w:t>
      </w:r>
      <w:r w:rsidR="007B1345">
        <w:t xml:space="preserve">s </w:t>
      </w:r>
      <w:r>
        <w:t xml:space="preserve">is </w:t>
      </w:r>
      <w:r w:rsidR="0025315A">
        <w:t xml:space="preserve">then </w:t>
      </w:r>
      <w:r>
        <w:t>reviewed</w:t>
      </w:r>
      <w:r w:rsidR="007B1345">
        <w:t xml:space="preserve">, </w:t>
      </w:r>
      <w:r w:rsidR="001E2D90">
        <w:t xml:space="preserve">followed by </w:t>
      </w:r>
      <w:r w:rsidR="003740EB">
        <w:t xml:space="preserve">the </w:t>
      </w:r>
      <w:r w:rsidR="00DA00ED">
        <w:t>Panel’s conclusions.</w:t>
      </w:r>
    </w:p>
    <w:p w14:paraId="549E01E9" w14:textId="7A740731" w:rsidR="00537D2D" w:rsidRPr="00B113E3" w:rsidRDefault="006429C7" w:rsidP="00B113E3">
      <w:pPr>
        <w:keepNext/>
        <w:spacing w:before="240"/>
        <w:rPr>
          <w:b/>
          <w:bCs/>
        </w:rPr>
      </w:pPr>
      <w:r w:rsidRPr="00B113E3">
        <w:rPr>
          <w:b/>
          <w:bCs/>
        </w:rPr>
        <w:t xml:space="preserve">MSP and </w:t>
      </w:r>
      <w:r w:rsidR="009C5A31">
        <w:rPr>
          <w:b/>
          <w:bCs/>
        </w:rPr>
        <w:t>c</w:t>
      </w:r>
      <w:r w:rsidRPr="00B113E3">
        <w:rPr>
          <w:b/>
          <w:bCs/>
        </w:rPr>
        <w:t xml:space="preserve">ompetitive processes in the </w:t>
      </w:r>
      <w:r w:rsidR="00B113E3" w:rsidRPr="00B113E3">
        <w:rPr>
          <w:b/>
          <w:bCs/>
        </w:rPr>
        <w:t>PSR regulations and statutory guidance</w:t>
      </w:r>
    </w:p>
    <w:p w14:paraId="395C12E5" w14:textId="3B46DD04" w:rsidR="006323D5" w:rsidRDefault="004A5D6C" w:rsidP="00623FD0">
      <w:pPr>
        <w:pStyle w:val="ListParagraph"/>
        <w:contextualSpacing/>
      </w:pPr>
      <w:r>
        <w:t xml:space="preserve">The </w:t>
      </w:r>
      <w:r w:rsidR="00EC5BDC">
        <w:t xml:space="preserve">MSP and competitive processes are two of the five </w:t>
      </w:r>
      <w:r w:rsidR="00C54104">
        <w:t xml:space="preserve">provider selection processes set out in the </w:t>
      </w:r>
      <w:r w:rsidR="00673530">
        <w:t>PSR regulations</w:t>
      </w:r>
      <w:r w:rsidR="005C3AE7">
        <w:t xml:space="preserve">. </w:t>
      </w:r>
      <w:r w:rsidR="000424AA">
        <w:t xml:space="preserve">The </w:t>
      </w:r>
      <w:r w:rsidR="00CE7265">
        <w:t xml:space="preserve">MSP </w:t>
      </w:r>
      <w:r w:rsidR="00C54104">
        <w:t xml:space="preserve">process is distinguished from the </w:t>
      </w:r>
      <w:r w:rsidR="00CE7265">
        <w:t xml:space="preserve">competitive </w:t>
      </w:r>
      <w:r w:rsidR="003C2D12">
        <w:t>process</w:t>
      </w:r>
      <w:r w:rsidR="00C54104">
        <w:t xml:space="preserve"> in the PSR regulations</w:t>
      </w:r>
      <w:r w:rsidR="003C2D12">
        <w:t xml:space="preserve"> </w:t>
      </w:r>
      <w:r w:rsidR="00E2296C">
        <w:t>as follows:</w:t>
      </w:r>
    </w:p>
    <w:p w14:paraId="7F920596" w14:textId="605EA995" w:rsidR="00B261BE" w:rsidRPr="00454206" w:rsidRDefault="003B15DC" w:rsidP="00BD0BD8">
      <w:pPr>
        <w:pStyle w:val="ListParagraph"/>
        <w:numPr>
          <w:ilvl w:val="0"/>
          <w:numId w:val="9"/>
        </w:numPr>
        <w:spacing w:after="120"/>
        <w:ind w:left="1134" w:hanging="417"/>
        <w:contextualSpacing/>
      </w:pPr>
      <w:r>
        <w:t>U</w:t>
      </w:r>
      <w:r w:rsidR="00DC7350">
        <w:t xml:space="preserve">nder </w:t>
      </w:r>
      <w:r w:rsidR="00B261BE" w:rsidRPr="00454206">
        <w:t xml:space="preserve">the MSP process, the </w:t>
      </w:r>
      <w:r w:rsidR="00B261BE">
        <w:t>commissioner</w:t>
      </w:r>
      <w:r w:rsidR="00B261BE" w:rsidRPr="00454206">
        <w:t xml:space="preserve"> </w:t>
      </w:r>
      <w:r w:rsidR="00187C09">
        <w:t xml:space="preserve">“awards any contract without a competition” (Regulation 10(1)(b)) and </w:t>
      </w:r>
      <w:r w:rsidR="00B261BE" w:rsidRPr="00454206">
        <w:t>“</w:t>
      </w:r>
      <w:r w:rsidR="00B261BE" w:rsidRPr="00356F0E">
        <w:rPr>
          <w:i/>
          <w:iCs/>
        </w:rPr>
        <w:t>assesses</w:t>
      </w:r>
      <w:r w:rsidR="00B261BE" w:rsidRPr="005E3256">
        <w:rPr>
          <w:i/>
          <w:iCs/>
        </w:rPr>
        <w:t xml:space="preserve"> </w:t>
      </w:r>
      <w:r w:rsidR="00B261BE" w:rsidRPr="00356F0E">
        <w:rPr>
          <w:i/>
          <w:iCs/>
        </w:rPr>
        <w:t>the potential providers</w:t>
      </w:r>
      <w:r w:rsidR="00B261BE" w:rsidRPr="00454206">
        <w:t xml:space="preserve"> and chooses, taking into account the key criteria and applying the basic selection criteria, the most suitable provider to whom to make an award” (Regulation</w:t>
      </w:r>
      <w:r w:rsidR="00310BF5">
        <w:t> </w:t>
      </w:r>
      <w:r w:rsidR="00B261BE" w:rsidRPr="00454206">
        <w:t>10</w:t>
      </w:r>
      <w:r w:rsidR="005C4AC4">
        <w:t>(6)</w:t>
      </w:r>
      <w:r w:rsidR="00B261BE" w:rsidRPr="00454206">
        <w:t>)</w:t>
      </w:r>
      <w:r w:rsidR="008162B2">
        <w:t>.</w:t>
      </w:r>
    </w:p>
    <w:p w14:paraId="1FED3CDC" w14:textId="1606F0BA" w:rsidR="00B261BE" w:rsidRPr="00454206" w:rsidRDefault="00623FD0" w:rsidP="00BD0BD8">
      <w:pPr>
        <w:pStyle w:val="ListParagraph"/>
        <w:numPr>
          <w:ilvl w:val="0"/>
          <w:numId w:val="9"/>
        </w:numPr>
        <w:ind w:left="1134" w:hanging="417"/>
      </w:pPr>
      <w:r>
        <w:t>U</w:t>
      </w:r>
      <w:r w:rsidR="00D810D3">
        <w:t xml:space="preserve">nder </w:t>
      </w:r>
      <w:r w:rsidR="00B261BE" w:rsidRPr="00454206">
        <w:t xml:space="preserve">the competitive process, the </w:t>
      </w:r>
      <w:r w:rsidR="00B261BE">
        <w:t>commissioner</w:t>
      </w:r>
      <w:r w:rsidR="00B261BE" w:rsidRPr="00454206">
        <w:t xml:space="preserve"> “</w:t>
      </w:r>
      <w:r w:rsidR="00B261BE" w:rsidRPr="00454206">
        <w:rPr>
          <w:i/>
          <w:iCs/>
        </w:rPr>
        <w:t>assesses</w:t>
      </w:r>
      <w:r w:rsidR="00B261BE" w:rsidRPr="00454206">
        <w:t xml:space="preserve"> </w:t>
      </w:r>
      <w:r w:rsidR="00B261BE" w:rsidRPr="00454206">
        <w:rPr>
          <w:i/>
          <w:iCs/>
        </w:rPr>
        <w:t>any offers</w:t>
      </w:r>
      <w:r w:rsidR="00B261BE" w:rsidRPr="00454206">
        <w:t xml:space="preserve"> received in accordance with the contract or framework award criteria” (Regulation</w:t>
      </w:r>
      <w:r w:rsidR="00B261BE">
        <w:t> </w:t>
      </w:r>
      <w:r w:rsidR="00B261BE" w:rsidRPr="00454206">
        <w:t>11</w:t>
      </w:r>
      <w:r w:rsidR="00187C09">
        <w:t>(5)</w:t>
      </w:r>
      <w:r w:rsidR="00B261BE" w:rsidRPr="00454206">
        <w:t>).</w:t>
      </w:r>
    </w:p>
    <w:p w14:paraId="09C82D3A" w14:textId="55F3B145" w:rsidR="00B261BE" w:rsidRDefault="00623FD0" w:rsidP="00BA7BDF">
      <w:pPr>
        <w:pStyle w:val="ListParagraph"/>
        <w:spacing w:after="120"/>
      </w:pPr>
      <w:r>
        <w:t>Th</w:t>
      </w:r>
      <w:r w:rsidR="00A54FBD">
        <w:t>is</w:t>
      </w:r>
      <w:r>
        <w:t xml:space="preserve"> distinction</w:t>
      </w:r>
      <w:r w:rsidR="00A54FBD">
        <w:t>,</w:t>
      </w:r>
      <w:r>
        <w:t xml:space="preserve"> </w:t>
      </w:r>
      <w:r w:rsidR="00EC2621">
        <w:t xml:space="preserve">between assessing potential providers in the MSP process and assessing </w:t>
      </w:r>
      <w:r w:rsidR="00CD7DE6">
        <w:t xml:space="preserve">providers’ </w:t>
      </w:r>
      <w:r w:rsidR="009E7A1F">
        <w:t xml:space="preserve">offers in the </w:t>
      </w:r>
      <w:r w:rsidR="007909D4">
        <w:t>c</w:t>
      </w:r>
      <w:r w:rsidR="008E7CB6">
        <w:t>ompetitive process</w:t>
      </w:r>
      <w:r w:rsidR="00A54FBD">
        <w:t>,</w:t>
      </w:r>
      <w:r w:rsidR="00D9082F">
        <w:t xml:space="preserve"> </w:t>
      </w:r>
      <w:r>
        <w:t xml:space="preserve">is </w:t>
      </w:r>
      <w:r w:rsidR="004F4817">
        <w:t>reinforced in the PSR statutory guidance</w:t>
      </w:r>
      <w:r w:rsidR="00000001">
        <w:t>. Th</w:t>
      </w:r>
      <w:r w:rsidR="007909D4">
        <w:t xml:space="preserve">is </w:t>
      </w:r>
      <w:r w:rsidR="004F4817">
        <w:t>says:</w:t>
      </w:r>
    </w:p>
    <w:p w14:paraId="10E3F178" w14:textId="77777777" w:rsidR="00FB022C" w:rsidRPr="005E3256" w:rsidRDefault="00FB022C" w:rsidP="00FB022C">
      <w:pPr>
        <w:pStyle w:val="ListParagraph"/>
        <w:numPr>
          <w:ilvl w:val="0"/>
          <w:numId w:val="0"/>
        </w:numPr>
        <w:spacing w:after="120" w:line="259" w:lineRule="auto"/>
        <w:ind w:left="851"/>
        <w:rPr>
          <w:sz w:val="21"/>
          <w:szCs w:val="21"/>
        </w:rPr>
      </w:pPr>
      <w:r w:rsidRPr="005E3256">
        <w:rPr>
          <w:sz w:val="21"/>
          <w:szCs w:val="21"/>
        </w:rPr>
        <w:lastRenderedPageBreak/>
        <w:t>“The most suitable provider process is designed to allow relevant authorities to assess which provider (or group of providers) is most suitable for delivering the proposed contracting arrangements, based on consideration of the key criteria and the basic selection criteria, and to award a contract without running a competitive exercise …</w:t>
      </w:r>
    </w:p>
    <w:p w14:paraId="13B34271" w14:textId="77777777" w:rsidR="00FB022C" w:rsidRPr="005E3256" w:rsidRDefault="00FB022C" w:rsidP="00FB022C">
      <w:pPr>
        <w:pStyle w:val="ListParagraph"/>
        <w:numPr>
          <w:ilvl w:val="0"/>
          <w:numId w:val="0"/>
        </w:numPr>
        <w:spacing w:after="120" w:line="259" w:lineRule="auto"/>
        <w:ind w:left="851"/>
        <w:contextualSpacing/>
        <w:rPr>
          <w:sz w:val="21"/>
          <w:szCs w:val="21"/>
        </w:rPr>
      </w:pPr>
      <w:r w:rsidRPr="005E3256">
        <w:rPr>
          <w:sz w:val="21"/>
          <w:szCs w:val="21"/>
        </w:rPr>
        <w:t>“The fundamental difference between the most suitable provider process and the competitive process is that:</w:t>
      </w:r>
    </w:p>
    <w:p w14:paraId="5F08A537" w14:textId="77777777" w:rsidR="00FB022C" w:rsidRPr="005E3256" w:rsidRDefault="00FB022C" w:rsidP="00BD0BD8">
      <w:pPr>
        <w:pStyle w:val="ListParagraph"/>
        <w:numPr>
          <w:ilvl w:val="0"/>
          <w:numId w:val="9"/>
        </w:numPr>
        <w:spacing w:after="120" w:line="259" w:lineRule="auto"/>
        <w:contextualSpacing/>
        <w:rPr>
          <w:sz w:val="21"/>
          <w:szCs w:val="21"/>
        </w:rPr>
      </w:pPr>
      <w:r w:rsidRPr="005E3256">
        <w:rPr>
          <w:sz w:val="21"/>
          <w:szCs w:val="21"/>
        </w:rPr>
        <w:t>in the competitive process each interested provider must submit a bid that is evaluated by the relevant authority to determine which is successful, whereas</w:t>
      </w:r>
    </w:p>
    <w:p w14:paraId="69B729B6" w14:textId="77777777" w:rsidR="00FB022C" w:rsidRPr="005E3256" w:rsidRDefault="00FB022C" w:rsidP="00BD0BD8">
      <w:pPr>
        <w:pStyle w:val="ListParagraph"/>
        <w:numPr>
          <w:ilvl w:val="0"/>
          <w:numId w:val="9"/>
        </w:numPr>
        <w:spacing w:line="259" w:lineRule="auto"/>
        <w:ind w:left="1502" w:hanging="357"/>
        <w:rPr>
          <w:sz w:val="21"/>
          <w:szCs w:val="21"/>
        </w:rPr>
      </w:pPr>
      <w:r w:rsidRPr="005E3256">
        <w:rPr>
          <w:sz w:val="21"/>
          <w:szCs w:val="21"/>
        </w:rPr>
        <w:t>in the most suitable provider process the relevant authority makes a judgement on the suitability of the provider (or group of providers) based on its knowledge of the market”.</w:t>
      </w:r>
      <w:r w:rsidRPr="0020755B">
        <w:rPr>
          <w:rStyle w:val="FootnoteReference"/>
          <w:sz w:val="21"/>
          <w:szCs w:val="21"/>
        </w:rPr>
        <w:footnoteReference w:id="29"/>
      </w:r>
    </w:p>
    <w:p w14:paraId="26C42E30" w14:textId="188C421B" w:rsidR="00B50C8F" w:rsidRDefault="00B50C8F" w:rsidP="00B96596">
      <w:pPr>
        <w:pStyle w:val="ListParagraph"/>
      </w:pPr>
      <w:r w:rsidRPr="00B50C8F">
        <w:t>As a result, if a commissioner is conducting an MSP process it must follow the steps laid out in Regulation 10 and make its assessment of providers by using available information about their capabilities, or request such information from providers that it then assesses.</w:t>
      </w:r>
      <w:r w:rsidR="008A2525">
        <w:t xml:space="preserve"> On the other hand, if a commissioner is conducting a competitive </w:t>
      </w:r>
      <w:proofErr w:type="gramStart"/>
      <w:r w:rsidR="008A2525">
        <w:t>process</w:t>
      </w:r>
      <w:proofErr w:type="gramEnd"/>
      <w:r w:rsidR="008A2525">
        <w:t xml:space="preserve"> it must follow the steps laid out in Regulation 11</w:t>
      </w:r>
      <w:r w:rsidR="00696A2C">
        <w:t xml:space="preserve"> and invite providers to submit offers</w:t>
      </w:r>
      <w:r w:rsidR="00A75CE5">
        <w:t>.</w:t>
      </w:r>
    </w:p>
    <w:p w14:paraId="6D8C2810" w14:textId="62E11463" w:rsidR="007062FE" w:rsidRDefault="007062FE" w:rsidP="00B96596">
      <w:pPr>
        <w:pStyle w:val="ListParagraph"/>
      </w:pPr>
      <w:r>
        <w:t>The Panel also notes that where a commissioner conducts an MSP process</w:t>
      </w:r>
      <w:r w:rsidR="00FE4BB4">
        <w:t xml:space="preserve"> it is not prevented from discussing </w:t>
      </w:r>
      <w:r w:rsidR="00123DE9">
        <w:t xml:space="preserve">and agreeing </w:t>
      </w:r>
      <w:r w:rsidR="00FE4BB4">
        <w:t>the selected provider’s service delivery model</w:t>
      </w:r>
      <w:r w:rsidR="00403632">
        <w:t>, pricing or related matters</w:t>
      </w:r>
      <w:r w:rsidR="009F279E">
        <w:t xml:space="preserve">, ahead of </w:t>
      </w:r>
      <w:r w:rsidR="00123DE9">
        <w:t>contract signature</w:t>
      </w:r>
      <w:r w:rsidR="00403632">
        <w:t>. However, the</w:t>
      </w:r>
      <w:r w:rsidR="00B72D6A">
        <w:t xml:space="preserve"> Panel’s expect</w:t>
      </w:r>
      <w:r w:rsidR="00412105">
        <w:t>ation is</w:t>
      </w:r>
      <w:r w:rsidR="00B72D6A">
        <w:t xml:space="preserve"> that the</w:t>
      </w:r>
      <w:r w:rsidR="00403632">
        <w:t xml:space="preserve">se discussions will come after the </w:t>
      </w:r>
      <w:r w:rsidR="00FC6972">
        <w:t xml:space="preserve">most suitable </w:t>
      </w:r>
      <w:r w:rsidR="00403632">
        <w:t>provider has been selected</w:t>
      </w:r>
      <w:r w:rsidR="00EB5EC6">
        <w:t>,</w:t>
      </w:r>
      <w:r w:rsidR="00B72D6A">
        <w:t xml:space="preserve"> so as to ensure that the</w:t>
      </w:r>
      <w:r w:rsidR="004C37FA">
        <w:t>se discussions</w:t>
      </w:r>
      <w:r w:rsidR="001A17EB">
        <w:t xml:space="preserve"> have not influenced the choice of provider</w:t>
      </w:r>
      <w:r w:rsidR="00403632">
        <w:t>.</w:t>
      </w:r>
    </w:p>
    <w:p w14:paraId="2C22C8FC" w14:textId="65C9FFD3" w:rsidR="009A3B79" w:rsidRPr="005E3256" w:rsidRDefault="00C80808" w:rsidP="005E3256">
      <w:pPr>
        <w:keepNext/>
        <w:spacing w:before="240"/>
        <w:rPr>
          <w:b/>
          <w:bCs/>
        </w:rPr>
      </w:pPr>
      <w:r>
        <w:rPr>
          <w:b/>
          <w:bCs/>
        </w:rPr>
        <w:t xml:space="preserve">HHFT’s </w:t>
      </w:r>
      <w:r w:rsidR="00BC569B">
        <w:rPr>
          <w:b/>
          <w:bCs/>
        </w:rPr>
        <w:t>provider assessment process</w:t>
      </w:r>
    </w:p>
    <w:p w14:paraId="5D3A0DF7" w14:textId="5475DD7B" w:rsidR="005C7CA6" w:rsidRDefault="005C7CA6" w:rsidP="00C92FBB">
      <w:pPr>
        <w:pStyle w:val="ListParagraph"/>
      </w:pPr>
      <w:r>
        <w:t xml:space="preserve">To </w:t>
      </w:r>
      <w:r w:rsidR="00D7195D">
        <w:t xml:space="preserve">determine </w:t>
      </w:r>
      <w:r w:rsidR="00CE3054">
        <w:t>whether HHFT assess</w:t>
      </w:r>
      <w:r w:rsidR="002E3BFD">
        <w:t xml:space="preserve">ed </w:t>
      </w:r>
      <w:r w:rsidR="00CE3054">
        <w:t>providers</w:t>
      </w:r>
      <w:r w:rsidR="00F43DCC">
        <w:t>,</w:t>
      </w:r>
      <w:r w:rsidR="00CE3054">
        <w:t xml:space="preserve"> consistent with the MSP process, or assess</w:t>
      </w:r>
      <w:r w:rsidR="002E3BFD">
        <w:t xml:space="preserve">ed </w:t>
      </w:r>
      <w:r w:rsidR="00CE3054">
        <w:t>providers’ offers</w:t>
      </w:r>
      <w:r w:rsidR="00F43DCC">
        <w:t>,</w:t>
      </w:r>
      <w:r w:rsidR="00CE3054">
        <w:t xml:space="preserve"> consistent with </w:t>
      </w:r>
      <w:r w:rsidR="00083D14">
        <w:t xml:space="preserve">the </w:t>
      </w:r>
      <w:r w:rsidR="00E33353">
        <w:t>c</w:t>
      </w:r>
      <w:r w:rsidR="00CE3054">
        <w:t>ompetitive process</w:t>
      </w:r>
      <w:r>
        <w:t xml:space="preserve">, the Panel </w:t>
      </w:r>
      <w:r w:rsidR="00D9490F">
        <w:t xml:space="preserve">reviewed </w:t>
      </w:r>
      <w:r w:rsidR="00272DE0">
        <w:t>HHFT’s</w:t>
      </w:r>
      <w:r>
        <w:t xml:space="preserve"> </w:t>
      </w:r>
      <w:r w:rsidR="0024675F">
        <w:t>tender documentation</w:t>
      </w:r>
      <w:r w:rsidR="00D9490F">
        <w:t xml:space="preserve"> and in particular its “</w:t>
      </w:r>
      <w:r w:rsidR="008E1C7A">
        <w:t>p</w:t>
      </w:r>
      <w:r>
        <w:t xml:space="preserve">rovider </w:t>
      </w:r>
      <w:r w:rsidR="008E1C7A">
        <w:t>a</w:t>
      </w:r>
      <w:r>
        <w:t xml:space="preserve">ssessment </w:t>
      </w:r>
      <w:r w:rsidR="008E1C7A">
        <w:t>d</w:t>
      </w:r>
      <w:r w:rsidR="004C1001">
        <w:t>ocument</w:t>
      </w:r>
      <w:r w:rsidR="00D9490F">
        <w:t>”</w:t>
      </w:r>
      <w:r w:rsidR="0004609B">
        <w:t>.</w:t>
      </w:r>
      <w:r w:rsidR="0001755D">
        <w:rPr>
          <w:rStyle w:val="FootnoteReference"/>
        </w:rPr>
        <w:footnoteReference w:id="30"/>
      </w:r>
    </w:p>
    <w:p w14:paraId="5AC2C66B" w14:textId="524B5314" w:rsidR="00FC4697" w:rsidRDefault="00326393" w:rsidP="006A0DDF">
      <w:pPr>
        <w:pStyle w:val="ListParagraph"/>
      </w:pPr>
      <w:r>
        <w:t>HHFT’s</w:t>
      </w:r>
      <w:r w:rsidR="00EE3087">
        <w:t xml:space="preserve"> </w:t>
      </w:r>
      <w:r w:rsidR="00DC7EA9" w:rsidRPr="00E6116E">
        <w:t>provider assessment document</w:t>
      </w:r>
      <w:r w:rsidR="00FE5514">
        <w:t xml:space="preserve"> </w:t>
      </w:r>
      <w:r w:rsidR="00C31BA8">
        <w:t xml:space="preserve">included </w:t>
      </w:r>
      <w:r w:rsidR="00DC7EA9">
        <w:t xml:space="preserve">questions </w:t>
      </w:r>
      <w:r w:rsidR="00E97A4D">
        <w:t xml:space="preserve">for providers </w:t>
      </w:r>
      <w:r w:rsidR="00677769">
        <w:t xml:space="preserve">under each of </w:t>
      </w:r>
      <w:r w:rsidR="00A8227F">
        <w:t xml:space="preserve">the five </w:t>
      </w:r>
      <w:r w:rsidR="00DC7EA9">
        <w:t>key criteria</w:t>
      </w:r>
      <w:r w:rsidR="00A2409F">
        <w:t>, namely (</w:t>
      </w:r>
      <w:proofErr w:type="spellStart"/>
      <w:r w:rsidR="00A2409F">
        <w:t>i</w:t>
      </w:r>
      <w:proofErr w:type="spellEnd"/>
      <w:r w:rsidR="00A2409F">
        <w:t>) Quality and innovation; (ii) Integration, collaboration and service sustainability; (iii) Improving access, reducing health inequalities and facilitating choice; (iv) Social value</w:t>
      </w:r>
      <w:r w:rsidR="00396762">
        <w:t>; and (v) Value</w:t>
      </w:r>
      <w:r w:rsidR="00EE3087">
        <w:t>.</w:t>
      </w:r>
      <w:r w:rsidR="005D6C52">
        <w:rPr>
          <w:rStyle w:val="FootnoteReference"/>
        </w:rPr>
        <w:footnoteReference w:id="31"/>
      </w:r>
      <w:r w:rsidR="00396762">
        <w:t xml:space="preserve"> </w:t>
      </w:r>
      <w:r w:rsidR="005743C3">
        <w:t>Q</w:t>
      </w:r>
      <w:r w:rsidR="00EE3087">
        <w:t xml:space="preserve">uestions </w:t>
      </w:r>
      <w:r w:rsidR="006C698A">
        <w:t xml:space="preserve">from the provider assessment document </w:t>
      </w:r>
      <w:r w:rsidR="00094965">
        <w:t>in relation to</w:t>
      </w:r>
      <w:r w:rsidR="00066735">
        <w:t xml:space="preserve"> </w:t>
      </w:r>
      <w:r w:rsidR="00396762">
        <w:t xml:space="preserve">the first four criteria </w:t>
      </w:r>
      <w:r w:rsidR="00066735">
        <w:t xml:space="preserve">are </w:t>
      </w:r>
      <w:r w:rsidR="006C698A">
        <w:t xml:space="preserve">replicated </w:t>
      </w:r>
      <w:r w:rsidR="00066735">
        <w:t>in the table below.</w:t>
      </w:r>
    </w:p>
    <w:p w14:paraId="353C2FB6" w14:textId="5A59862A" w:rsidR="005A0B0E" w:rsidRPr="005E3256" w:rsidRDefault="00990CDD" w:rsidP="005E3256">
      <w:pPr>
        <w:keepNext/>
        <w:spacing w:before="240" w:after="120"/>
        <w:rPr>
          <w:b/>
          <w:bCs/>
          <w:sz w:val="20"/>
          <w:szCs w:val="20"/>
        </w:rPr>
      </w:pPr>
      <w:r w:rsidRPr="005E3256">
        <w:rPr>
          <w:b/>
          <w:bCs/>
          <w:sz w:val="20"/>
          <w:szCs w:val="20"/>
        </w:rPr>
        <w:t xml:space="preserve">Table: </w:t>
      </w:r>
      <w:r w:rsidR="00CF3E82" w:rsidRPr="005E3256">
        <w:rPr>
          <w:b/>
          <w:bCs/>
          <w:sz w:val="20"/>
          <w:szCs w:val="20"/>
        </w:rPr>
        <w:t xml:space="preserve">Questions for providers in the </w:t>
      </w:r>
      <w:r w:rsidR="00002A01">
        <w:rPr>
          <w:b/>
          <w:bCs/>
          <w:sz w:val="20"/>
          <w:szCs w:val="20"/>
        </w:rPr>
        <w:t>p</w:t>
      </w:r>
      <w:r w:rsidR="00CF3E82" w:rsidRPr="005E3256">
        <w:rPr>
          <w:b/>
          <w:bCs/>
          <w:sz w:val="20"/>
          <w:szCs w:val="20"/>
        </w:rPr>
        <w:t xml:space="preserve">rovider </w:t>
      </w:r>
      <w:r w:rsidR="00002A01">
        <w:rPr>
          <w:b/>
          <w:bCs/>
          <w:sz w:val="20"/>
          <w:szCs w:val="20"/>
        </w:rPr>
        <w:t>a</w:t>
      </w:r>
      <w:r w:rsidR="00CF3E82" w:rsidRPr="005E3256">
        <w:rPr>
          <w:b/>
          <w:bCs/>
          <w:sz w:val="20"/>
          <w:szCs w:val="20"/>
        </w:rPr>
        <w:t xml:space="preserve">ssessment </w:t>
      </w:r>
      <w:r w:rsidR="00002A01">
        <w:rPr>
          <w:b/>
          <w:bCs/>
          <w:sz w:val="20"/>
          <w:szCs w:val="20"/>
        </w:rPr>
        <w:t>d</w:t>
      </w:r>
      <w:r w:rsidR="003F5CEC">
        <w:rPr>
          <w:b/>
          <w:bCs/>
          <w:sz w:val="20"/>
          <w:szCs w:val="20"/>
        </w:rPr>
        <w:t>ocument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6611"/>
      </w:tblGrid>
      <w:tr w:rsidR="00F414D9" w:rsidRPr="005E3256" w14:paraId="3321A71A" w14:textId="77777777" w:rsidTr="00BA0790">
        <w:tc>
          <w:tcPr>
            <w:tcW w:w="2405" w:type="dxa"/>
            <w:shd w:val="clear" w:color="auto" w:fill="F2F2F2" w:themeFill="background1" w:themeFillShade="F2"/>
          </w:tcPr>
          <w:p w14:paraId="1766B627" w14:textId="7B52B991" w:rsidR="00990CDD" w:rsidRPr="005E3256" w:rsidRDefault="00C366FE" w:rsidP="005E3256">
            <w:pPr>
              <w:spacing w:before="60" w:after="60"/>
              <w:rPr>
                <w:b/>
                <w:bCs/>
                <w:sz w:val="18"/>
                <w:szCs w:val="18"/>
              </w:rPr>
            </w:pPr>
            <w:r w:rsidRPr="005E3256">
              <w:rPr>
                <w:b/>
                <w:bCs/>
                <w:sz w:val="18"/>
                <w:szCs w:val="18"/>
              </w:rPr>
              <w:t>Key Criterion</w:t>
            </w:r>
          </w:p>
        </w:tc>
        <w:tc>
          <w:tcPr>
            <w:tcW w:w="6611" w:type="dxa"/>
            <w:shd w:val="clear" w:color="auto" w:fill="F2F2F2" w:themeFill="background1" w:themeFillShade="F2"/>
          </w:tcPr>
          <w:p w14:paraId="5A66C1B2" w14:textId="0833A8F4" w:rsidR="00990CDD" w:rsidRPr="005E3256" w:rsidRDefault="00C366FE" w:rsidP="005E3256">
            <w:pPr>
              <w:spacing w:before="60" w:after="60"/>
              <w:rPr>
                <w:b/>
                <w:bCs/>
                <w:sz w:val="18"/>
                <w:szCs w:val="18"/>
              </w:rPr>
            </w:pPr>
            <w:r w:rsidRPr="005E3256">
              <w:rPr>
                <w:b/>
                <w:bCs/>
                <w:sz w:val="18"/>
                <w:szCs w:val="18"/>
              </w:rPr>
              <w:t>Question</w:t>
            </w:r>
          </w:p>
        </w:tc>
      </w:tr>
      <w:tr w:rsidR="006F5360" w:rsidRPr="005E3256" w14:paraId="0B343EDB" w14:textId="77777777" w:rsidTr="00BA0790">
        <w:tc>
          <w:tcPr>
            <w:tcW w:w="2405" w:type="dxa"/>
          </w:tcPr>
          <w:p w14:paraId="2D145754" w14:textId="1A2DD8C4" w:rsidR="00990CDD" w:rsidRPr="005E3256" w:rsidRDefault="006A3CC7" w:rsidP="005E3256">
            <w:pPr>
              <w:spacing w:before="60" w:after="60"/>
              <w:rPr>
                <w:sz w:val="18"/>
                <w:szCs w:val="18"/>
              </w:rPr>
            </w:pPr>
            <w:r>
              <w:rPr>
                <w:sz w:val="18"/>
                <w:szCs w:val="18"/>
              </w:rPr>
              <w:t xml:space="preserve">Quality </w:t>
            </w:r>
            <w:r w:rsidR="00430894">
              <w:rPr>
                <w:sz w:val="18"/>
                <w:szCs w:val="18"/>
              </w:rPr>
              <w:t>and</w:t>
            </w:r>
            <w:r>
              <w:rPr>
                <w:sz w:val="18"/>
                <w:szCs w:val="18"/>
              </w:rPr>
              <w:t xml:space="preserve"> </w:t>
            </w:r>
            <w:r w:rsidR="00430894">
              <w:rPr>
                <w:sz w:val="18"/>
                <w:szCs w:val="18"/>
              </w:rPr>
              <w:t>i</w:t>
            </w:r>
            <w:r>
              <w:rPr>
                <w:sz w:val="18"/>
                <w:szCs w:val="18"/>
              </w:rPr>
              <w:t>nnovation</w:t>
            </w:r>
          </w:p>
        </w:tc>
        <w:tc>
          <w:tcPr>
            <w:tcW w:w="6611" w:type="dxa"/>
          </w:tcPr>
          <w:p w14:paraId="006704EA" w14:textId="4F3FEFE9" w:rsidR="006A3CC7" w:rsidRPr="005E3256" w:rsidRDefault="006A3CC7" w:rsidP="005E3256">
            <w:pPr>
              <w:spacing w:before="60" w:after="60"/>
              <w:rPr>
                <w:sz w:val="18"/>
                <w:szCs w:val="18"/>
              </w:rPr>
            </w:pPr>
            <w:r w:rsidRPr="005E3256">
              <w:rPr>
                <w:sz w:val="18"/>
                <w:szCs w:val="18"/>
              </w:rPr>
              <w:t>Describe in no more than 500 words how your organisation will deliver Quality and Innovation in partnership with the Trust</w:t>
            </w:r>
            <w:r>
              <w:rPr>
                <w:sz w:val="18"/>
                <w:szCs w:val="18"/>
              </w:rPr>
              <w:t>, in each section please outline how you as a provider will:</w:t>
            </w:r>
            <w:r>
              <w:rPr>
                <w:sz w:val="18"/>
                <w:szCs w:val="18"/>
              </w:rPr>
              <w:br/>
              <w:t>* ensure fundamental utility and performance?</w:t>
            </w:r>
            <w:r>
              <w:rPr>
                <w:sz w:val="18"/>
                <w:szCs w:val="18"/>
              </w:rPr>
              <w:br/>
            </w:r>
            <w:r>
              <w:rPr>
                <w:sz w:val="18"/>
                <w:szCs w:val="18"/>
              </w:rPr>
              <w:lastRenderedPageBreak/>
              <w:t xml:space="preserve">* </w:t>
            </w:r>
            <w:r w:rsidR="00530BD5">
              <w:rPr>
                <w:sz w:val="18"/>
                <w:szCs w:val="18"/>
              </w:rPr>
              <w:t>offer innovation and improvement?</w:t>
            </w:r>
            <w:r w:rsidR="00530BD5">
              <w:rPr>
                <w:sz w:val="18"/>
                <w:szCs w:val="18"/>
              </w:rPr>
              <w:br/>
              <w:t>* establish desired outcomes?</w:t>
            </w:r>
            <w:r w:rsidR="00530BD5">
              <w:rPr>
                <w:sz w:val="18"/>
                <w:szCs w:val="18"/>
              </w:rPr>
              <w:br/>
              <w:t>* maximise outcomes?</w:t>
            </w:r>
          </w:p>
        </w:tc>
      </w:tr>
      <w:tr w:rsidR="006F5360" w:rsidRPr="005E3256" w14:paraId="53056290" w14:textId="77777777" w:rsidTr="00BA0790">
        <w:tc>
          <w:tcPr>
            <w:tcW w:w="2405" w:type="dxa"/>
          </w:tcPr>
          <w:p w14:paraId="6E5C13BA" w14:textId="7A888714" w:rsidR="00990CDD" w:rsidRPr="005E3256" w:rsidRDefault="00530BD5" w:rsidP="005E3256">
            <w:pPr>
              <w:spacing w:before="60" w:after="60"/>
              <w:rPr>
                <w:sz w:val="18"/>
                <w:szCs w:val="18"/>
              </w:rPr>
            </w:pPr>
            <w:r>
              <w:rPr>
                <w:sz w:val="18"/>
                <w:szCs w:val="18"/>
              </w:rPr>
              <w:lastRenderedPageBreak/>
              <w:t>Integration, collaboration and service sustainability</w:t>
            </w:r>
          </w:p>
        </w:tc>
        <w:tc>
          <w:tcPr>
            <w:tcW w:w="6611" w:type="dxa"/>
          </w:tcPr>
          <w:p w14:paraId="5D6DA951" w14:textId="1150A974" w:rsidR="00FA2E40" w:rsidRPr="005E3256" w:rsidRDefault="00FA2E40" w:rsidP="005E3256">
            <w:pPr>
              <w:spacing w:before="60" w:after="60"/>
              <w:rPr>
                <w:sz w:val="18"/>
                <w:szCs w:val="18"/>
              </w:rPr>
            </w:pPr>
            <w:r w:rsidRPr="005E3256">
              <w:rPr>
                <w:sz w:val="18"/>
                <w:szCs w:val="18"/>
              </w:rPr>
              <w:t>Describe in no more than 500 words how your organisation will integrate, collaborate and provide service sustainability to HHFT, evidencing the ability to deliver</w:t>
            </w:r>
            <w:r>
              <w:rPr>
                <w:sz w:val="18"/>
                <w:szCs w:val="18"/>
              </w:rPr>
              <w:t>:</w:t>
            </w:r>
            <w:r>
              <w:rPr>
                <w:sz w:val="18"/>
                <w:szCs w:val="18"/>
              </w:rPr>
              <w:br/>
              <w:t>* a patient centred approach?</w:t>
            </w:r>
            <w:r>
              <w:rPr>
                <w:sz w:val="18"/>
                <w:szCs w:val="18"/>
              </w:rPr>
              <w:br/>
              <w:t>* successfully develop an integrated care pathway?</w:t>
            </w:r>
            <w:r>
              <w:rPr>
                <w:sz w:val="18"/>
                <w:szCs w:val="18"/>
              </w:rPr>
              <w:br/>
              <w:t>* aid NHS organisations in long-term planning?</w:t>
            </w:r>
          </w:p>
        </w:tc>
      </w:tr>
      <w:tr w:rsidR="006F5360" w:rsidRPr="005E3256" w14:paraId="654A87BD" w14:textId="77777777" w:rsidTr="00BA0790">
        <w:tc>
          <w:tcPr>
            <w:tcW w:w="2405" w:type="dxa"/>
          </w:tcPr>
          <w:p w14:paraId="10A31BDC" w14:textId="666FF539" w:rsidR="00990CDD" w:rsidRPr="005E3256" w:rsidRDefault="002A7087" w:rsidP="005E3256">
            <w:pPr>
              <w:spacing w:before="60" w:after="60"/>
              <w:rPr>
                <w:sz w:val="18"/>
                <w:szCs w:val="18"/>
              </w:rPr>
            </w:pPr>
            <w:r>
              <w:rPr>
                <w:sz w:val="18"/>
                <w:szCs w:val="18"/>
              </w:rPr>
              <w:t>Improving access, reducing health inequalities and facilitating choice</w:t>
            </w:r>
          </w:p>
        </w:tc>
        <w:tc>
          <w:tcPr>
            <w:tcW w:w="6611" w:type="dxa"/>
          </w:tcPr>
          <w:p w14:paraId="5C708FD3" w14:textId="24A33D42" w:rsidR="00990CDD" w:rsidRPr="005E3256" w:rsidRDefault="002A7087" w:rsidP="005E3256">
            <w:pPr>
              <w:spacing w:before="60" w:after="60"/>
              <w:rPr>
                <w:sz w:val="18"/>
                <w:szCs w:val="18"/>
              </w:rPr>
            </w:pPr>
            <w:r w:rsidRPr="005E3256">
              <w:rPr>
                <w:sz w:val="18"/>
                <w:szCs w:val="18"/>
              </w:rPr>
              <w:t>Please describe in no more than 500 words, referencing other Urgent Treatment Centre locations where you have improved access by reducing barriers and improved patient pathways?</w:t>
            </w:r>
          </w:p>
        </w:tc>
      </w:tr>
      <w:tr w:rsidR="00292CE1" w:rsidRPr="005E3256" w14:paraId="44B7AD5C" w14:textId="77777777" w:rsidTr="00BA0790">
        <w:tc>
          <w:tcPr>
            <w:tcW w:w="2405" w:type="dxa"/>
          </w:tcPr>
          <w:p w14:paraId="35B8E2CF" w14:textId="3AE15C2E" w:rsidR="00990CDD" w:rsidRPr="005E3256" w:rsidRDefault="002A7087" w:rsidP="00990CDD">
            <w:pPr>
              <w:spacing w:before="60" w:after="60"/>
              <w:rPr>
                <w:sz w:val="18"/>
                <w:szCs w:val="18"/>
              </w:rPr>
            </w:pPr>
            <w:r>
              <w:rPr>
                <w:sz w:val="18"/>
                <w:szCs w:val="18"/>
              </w:rPr>
              <w:t>Social value</w:t>
            </w:r>
          </w:p>
        </w:tc>
        <w:tc>
          <w:tcPr>
            <w:tcW w:w="6611" w:type="dxa"/>
          </w:tcPr>
          <w:p w14:paraId="10E1E26A" w14:textId="7D9BB9DA" w:rsidR="00990CDD" w:rsidRPr="005E3256" w:rsidRDefault="007D7B7F" w:rsidP="007D7B7F">
            <w:pPr>
              <w:spacing w:before="60" w:after="60"/>
              <w:rPr>
                <w:sz w:val="18"/>
                <w:szCs w:val="18"/>
              </w:rPr>
            </w:pPr>
            <w:r w:rsidRPr="005E3256">
              <w:rPr>
                <w:sz w:val="18"/>
                <w:szCs w:val="18"/>
              </w:rPr>
              <w:t>Please outline in no more than 500 words, your organisation’s commitment to Social Value, specifically in tackling economic inequality, supporting equal opportunities, and investing in local communities.</w:t>
            </w:r>
          </w:p>
        </w:tc>
      </w:tr>
    </w:tbl>
    <w:p w14:paraId="19A7CD88" w14:textId="60AAEF85" w:rsidR="005A0B0E" w:rsidRPr="005E3256" w:rsidRDefault="00F718DC" w:rsidP="005E3256">
      <w:pPr>
        <w:spacing w:before="60" w:after="360" w:line="240" w:lineRule="auto"/>
        <w:rPr>
          <w:sz w:val="16"/>
          <w:szCs w:val="16"/>
        </w:rPr>
      </w:pPr>
      <w:r>
        <w:rPr>
          <w:sz w:val="16"/>
          <w:szCs w:val="16"/>
        </w:rPr>
        <w:t xml:space="preserve">Source: </w:t>
      </w:r>
      <w:r w:rsidRPr="008E532B">
        <w:rPr>
          <w:sz w:val="16"/>
          <w:szCs w:val="16"/>
        </w:rPr>
        <w:t xml:space="preserve">HHFT, </w:t>
      </w:r>
      <w:r w:rsidRPr="008E532B">
        <w:rPr>
          <w:i/>
          <w:iCs/>
          <w:sz w:val="16"/>
          <w:szCs w:val="16"/>
        </w:rPr>
        <w:t>UTC Service Provider Assessment Document</w:t>
      </w:r>
      <w:r w:rsidRPr="008E532B">
        <w:rPr>
          <w:sz w:val="16"/>
          <w:szCs w:val="16"/>
        </w:rPr>
        <w:t>, October 2025.</w:t>
      </w:r>
    </w:p>
    <w:p w14:paraId="62012388" w14:textId="2C72F8C1" w:rsidR="00615E4E" w:rsidRPr="00925705" w:rsidRDefault="00615E4E" w:rsidP="00615E4E">
      <w:pPr>
        <w:pStyle w:val="ListParagraph"/>
      </w:pPr>
      <w:r w:rsidRPr="00925705">
        <w:t>In relation to Value</w:t>
      </w:r>
      <w:r w:rsidR="0020097D">
        <w:t xml:space="preserve">, </w:t>
      </w:r>
      <w:r w:rsidRPr="00925705">
        <w:t xml:space="preserve">providers were asked to confirm their annual pricing and </w:t>
      </w:r>
      <w:r w:rsidR="00CB286B">
        <w:t xml:space="preserve">provide </w:t>
      </w:r>
      <w:r w:rsidRPr="00925705">
        <w:t>a “line-by-line breakdown” of their pricing in relation to specified</w:t>
      </w:r>
      <w:r>
        <w:t xml:space="preserve"> </w:t>
      </w:r>
      <w:r w:rsidRPr="00925705">
        <w:t>staff</w:t>
      </w:r>
      <w:r>
        <w:t xml:space="preserve"> </w:t>
      </w:r>
      <w:r w:rsidRPr="00925705">
        <w:t>roles.</w:t>
      </w:r>
      <w:r>
        <w:t xml:space="preserve"> </w:t>
      </w:r>
      <w:r w:rsidR="00B635B9">
        <w:t>P</w:t>
      </w:r>
      <w:r w:rsidRPr="00925705">
        <w:t xml:space="preserve">roviders </w:t>
      </w:r>
      <w:r w:rsidR="00B635B9">
        <w:t xml:space="preserve">that included in their submission </w:t>
      </w:r>
      <w:r w:rsidRPr="00925705">
        <w:t>a variant proposal</w:t>
      </w:r>
      <w:r w:rsidR="00051B4E">
        <w:t xml:space="preserve"> </w:t>
      </w:r>
      <w:r w:rsidR="00346935">
        <w:t xml:space="preserve">for </w:t>
      </w:r>
      <w:r w:rsidR="00700EEB">
        <w:t>an alternative model</w:t>
      </w:r>
      <w:r w:rsidR="004B3322">
        <w:t xml:space="preserve"> </w:t>
      </w:r>
      <w:r w:rsidR="00B635B9">
        <w:t xml:space="preserve">of care </w:t>
      </w:r>
      <w:r w:rsidR="004B3322">
        <w:t xml:space="preserve">(see paragraph </w:t>
      </w:r>
      <w:r w:rsidR="00376913">
        <w:t>30</w:t>
      </w:r>
      <w:r w:rsidR="004B3322">
        <w:t>)</w:t>
      </w:r>
      <w:r w:rsidRPr="00925705">
        <w:t xml:space="preserve"> were asked to </w:t>
      </w:r>
      <w:r w:rsidR="005F27FC">
        <w:t xml:space="preserve">set out this </w:t>
      </w:r>
      <w:r w:rsidRPr="00925705">
        <w:t>model and describe (in no more than 500 words) “how the service will work based on your variant bid” and “the enhanced benefits and Value for Money that your variant bid will provide for the Trust”.</w:t>
      </w:r>
      <w:r>
        <w:rPr>
          <w:rStyle w:val="FootnoteReference"/>
        </w:rPr>
        <w:footnoteReference w:id="32"/>
      </w:r>
    </w:p>
    <w:p w14:paraId="09532ADB" w14:textId="105A013B" w:rsidR="009714EC" w:rsidRDefault="00311F81" w:rsidP="009714EC">
      <w:pPr>
        <w:pStyle w:val="ListParagraph"/>
        <w:spacing w:after="120"/>
      </w:pPr>
      <w:r>
        <w:t xml:space="preserve">After receiving the </w:t>
      </w:r>
      <w:r w:rsidR="00820F5B">
        <w:t>provider assessment document</w:t>
      </w:r>
      <w:r>
        <w:t xml:space="preserve">, providers asked </w:t>
      </w:r>
      <w:r w:rsidR="006B3050">
        <w:t>HHFT</w:t>
      </w:r>
      <w:r>
        <w:t xml:space="preserve"> </w:t>
      </w:r>
      <w:r w:rsidR="002B0F61">
        <w:t xml:space="preserve">several clarification questions about </w:t>
      </w:r>
      <w:r w:rsidR="00D23049">
        <w:t>the provider selection process</w:t>
      </w:r>
      <w:r w:rsidR="008F2672">
        <w:t xml:space="preserve">, including requests for information on </w:t>
      </w:r>
      <w:r w:rsidR="0085543F">
        <w:t>scoring criteria, weightings and evaluation</w:t>
      </w:r>
      <w:r w:rsidR="00AB6798">
        <w:t>, and whether HHFT</w:t>
      </w:r>
      <w:r w:rsidR="00D23049">
        <w:t xml:space="preserve"> </w:t>
      </w:r>
      <w:r w:rsidR="002B0F61">
        <w:t xml:space="preserve">was </w:t>
      </w:r>
      <w:r w:rsidR="00AB6798">
        <w:t>running</w:t>
      </w:r>
      <w:r w:rsidR="002B0F61">
        <w:t xml:space="preserve"> an MSP process or </w:t>
      </w:r>
      <w:r w:rsidR="00D23049">
        <w:t xml:space="preserve">a </w:t>
      </w:r>
      <w:r w:rsidR="002B0F61">
        <w:t xml:space="preserve">competitive process. As a result, </w:t>
      </w:r>
      <w:r w:rsidR="00C105A5">
        <w:t xml:space="preserve">HHFT </w:t>
      </w:r>
      <w:r w:rsidR="00A674A7">
        <w:t xml:space="preserve">issued a note </w:t>
      </w:r>
      <w:r w:rsidR="00AB6798">
        <w:t xml:space="preserve">in the clarification </w:t>
      </w:r>
      <w:r w:rsidR="00634364">
        <w:t xml:space="preserve">questions </w:t>
      </w:r>
      <w:r w:rsidR="00E04EAC">
        <w:t xml:space="preserve">log, </w:t>
      </w:r>
      <w:r w:rsidR="009714EC">
        <w:t>on 27</w:t>
      </w:r>
      <w:r w:rsidR="00683A12">
        <w:t> </w:t>
      </w:r>
      <w:r w:rsidR="009714EC">
        <w:t>November 2025</w:t>
      </w:r>
      <w:r w:rsidR="00E04EAC">
        <w:t>,</w:t>
      </w:r>
      <w:r w:rsidR="009714EC">
        <w:t xml:space="preserve"> </w:t>
      </w:r>
      <w:r w:rsidR="002B0F61">
        <w:t>saying</w:t>
      </w:r>
      <w:r w:rsidR="009714EC">
        <w:t>:</w:t>
      </w:r>
    </w:p>
    <w:p w14:paraId="569FB74C" w14:textId="77777777" w:rsidR="009714EC" w:rsidRPr="006A7B50" w:rsidRDefault="009714EC" w:rsidP="009714EC">
      <w:pPr>
        <w:pStyle w:val="ListParagraph"/>
        <w:numPr>
          <w:ilvl w:val="0"/>
          <w:numId w:val="0"/>
        </w:numPr>
        <w:spacing w:line="259" w:lineRule="auto"/>
        <w:ind w:left="851"/>
        <w:rPr>
          <w:sz w:val="21"/>
          <w:szCs w:val="21"/>
        </w:rPr>
      </w:pPr>
      <w:r w:rsidRPr="006A7B50">
        <w:rPr>
          <w:sz w:val="21"/>
          <w:szCs w:val="21"/>
        </w:rPr>
        <w:t>“To be clear, HHFT plans to award any new contract for this service under the Provider Selection Regime, using the ‘most suitable provider’ route. Please note, this is not a tender process and as such any references in questions to things such as ‘ITT’, ‘Bidders’, ‘Evaluation weightings’ etc will therefore not be applicable”.</w:t>
      </w:r>
      <w:r w:rsidRPr="006A7B50">
        <w:rPr>
          <w:rStyle w:val="FootnoteReference"/>
          <w:sz w:val="21"/>
          <w:szCs w:val="21"/>
        </w:rPr>
        <w:footnoteReference w:id="33"/>
      </w:r>
    </w:p>
    <w:p w14:paraId="08D16FFD" w14:textId="756C55A4" w:rsidR="00BC4CA0" w:rsidRDefault="003F599B" w:rsidP="00451394">
      <w:pPr>
        <w:pStyle w:val="ListParagraph"/>
        <w:spacing w:after="120"/>
      </w:pPr>
      <w:r>
        <w:t xml:space="preserve">NHUC in its representations to HHFT, after the most suitable provider had been selected, </w:t>
      </w:r>
      <w:r w:rsidR="00451394">
        <w:t xml:space="preserve">said that HHFT </w:t>
      </w:r>
      <w:bookmarkStart w:id="24" w:name="_Ref224499159"/>
      <w:r w:rsidR="00411B62">
        <w:t xml:space="preserve">had conducted </w:t>
      </w:r>
      <w:r w:rsidR="00C105A5">
        <w:t>a competitive process</w:t>
      </w:r>
      <w:r w:rsidR="00411604">
        <w:t xml:space="preserve"> rather than an MSP process</w:t>
      </w:r>
      <w:r w:rsidR="00451394">
        <w:t>. HHFT, in responding</w:t>
      </w:r>
      <w:r w:rsidR="00826BC5">
        <w:t xml:space="preserve">, </w:t>
      </w:r>
      <w:r w:rsidR="00411604">
        <w:t>denied that this was the case, saying</w:t>
      </w:r>
      <w:r w:rsidR="0046165A">
        <w:t>:</w:t>
      </w:r>
      <w:bookmarkEnd w:id="24"/>
    </w:p>
    <w:p w14:paraId="119FEAA5" w14:textId="5009C9FA" w:rsidR="00ED0E8B" w:rsidRPr="00C57E47" w:rsidRDefault="00C57E47" w:rsidP="00C57E47">
      <w:pPr>
        <w:pStyle w:val="ListParagraph"/>
        <w:numPr>
          <w:ilvl w:val="0"/>
          <w:numId w:val="0"/>
        </w:numPr>
        <w:spacing w:after="120" w:line="259" w:lineRule="auto"/>
        <w:ind w:left="851"/>
        <w:rPr>
          <w:sz w:val="21"/>
          <w:szCs w:val="21"/>
        </w:rPr>
      </w:pPr>
      <w:r w:rsidRPr="00C57E47">
        <w:rPr>
          <w:sz w:val="21"/>
          <w:szCs w:val="21"/>
        </w:rPr>
        <w:t>“</w:t>
      </w:r>
      <w:r w:rsidR="00ED0E8B" w:rsidRPr="00C57E47">
        <w:rPr>
          <w:sz w:val="21"/>
          <w:szCs w:val="21"/>
        </w:rPr>
        <w:t>Firstly, I should apologise that some of the terminology used in this process have been suboptimal. This is a new process and as, yet we have not developed process specific standard documentation and accordingly there are times when we have used the documents currently available to us in order to meet our immediate needs. You will note that this is common in respect of PSR processes and particularly that standard notice formats have not been made available to authorities in time to meet the requirements of the regulations. Accordingly, it would seem appropriate to apply an element of leniency in this respect. We do not consider that the nomenclature used at any point in this process has had negative impact on the process or is inconsistent with the process described in reg 10.</w:t>
      </w:r>
    </w:p>
    <w:p w14:paraId="7319A7F2" w14:textId="35C1C429" w:rsidR="0015701B" w:rsidRPr="00C57E47" w:rsidRDefault="00C57E47" w:rsidP="00A20944">
      <w:pPr>
        <w:pStyle w:val="ListParagraph"/>
        <w:numPr>
          <w:ilvl w:val="0"/>
          <w:numId w:val="0"/>
        </w:numPr>
        <w:spacing w:line="259" w:lineRule="auto"/>
        <w:ind w:left="851"/>
        <w:rPr>
          <w:sz w:val="21"/>
          <w:szCs w:val="21"/>
        </w:rPr>
      </w:pPr>
      <w:r w:rsidRPr="00C57E47">
        <w:rPr>
          <w:sz w:val="21"/>
          <w:szCs w:val="21"/>
        </w:rPr>
        <w:t>“</w:t>
      </w:r>
      <w:r w:rsidR="0015701B" w:rsidRPr="00C57E47">
        <w:rPr>
          <w:sz w:val="21"/>
          <w:szCs w:val="21"/>
        </w:rPr>
        <w:t xml:space="preserve">Secondly, it is somewhat naïve to assume that a robust decision as to Most Appropriate Provider can be made based on pre-existing market knowledge alone. As </w:t>
      </w:r>
      <w:r w:rsidR="0015701B" w:rsidRPr="00C57E47">
        <w:rPr>
          <w:sz w:val="21"/>
          <w:szCs w:val="21"/>
        </w:rPr>
        <w:lastRenderedPageBreak/>
        <w:t xml:space="preserve">the current provider for this service, you will be aware of its complexities, alternative models in respect of delivery and the implications that this will have on cost. Accordingly, it is entirely appropriate to ask </w:t>
      </w:r>
      <w:r w:rsidR="00383620" w:rsidRPr="00C57E47">
        <w:rPr>
          <w:sz w:val="21"/>
          <w:szCs w:val="21"/>
        </w:rPr>
        <w:t>providers to explain how they intend to deliver the service and how they would charge for that service. Whether or not this may have been described as a “Bid” or a “Request for Information” by any person involved in the process is largely irrelevant and does not generate any conflict with the requirements of a MSP process. Our application of the criteria is an assessment of the potential providers rather than a more in-depth review and assessment of their proposal for service</w:t>
      </w:r>
      <w:r w:rsidRPr="00C57E47">
        <w:rPr>
          <w:sz w:val="21"/>
          <w:szCs w:val="21"/>
        </w:rPr>
        <w:t>.”</w:t>
      </w:r>
      <w:r w:rsidR="00946890">
        <w:rPr>
          <w:rStyle w:val="FootnoteReference"/>
          <w:sz w:val="21"/>
          <w:szCs w:val="21"/>
        </w:rPr>
        <w:footnoteReference w:id="34"/>
      </w:r>
    </w:p>
    <w:p w14:paraId="78994A3A" w14:textId="3921373F" w:rsidR="00AD35D7" w:rsidRDefault="00446C5C" w:rsidP="00491DD0">
      <w:pPr>
        <w:pStyle w:val="ListParagraph"/>
      </w:pPr>
      <w:r>
        <w:t xml:space="preserve">HHFT </w:t>
      </w:r>
      <w:r w:rsidR="00340F9C">
        <w:t xml:space="preserve">similarly </w:t>
      </w:r>
      <w:r>
        <w:t xml:space="preserve">told </w:t>
      </w:r>
      <w:r w:rsidR="000D0BD8">
        <w:t>the Panel</w:t>
      </w:r>
      <w:r>
        <w:t xml:space="preserve"> </w:t>
      </w:r>
      <w:r w:rsidR="00340F9C">
        <w:t xml:space="preserve">during this review </w:t>
      </w:r>
      <w:r w:rsidR="000D0BD8">
        <w:t>that it did not believe that its provider selection process amounted to a competitive process.</w:t>
      </w:r>
      <w:r w:rsidR="001B2A48">
        <w:rPr>
          <w:rStyle w:val="FootnoteReference"/>
        </w:rPr>
        <w:footnoteReference w:id="35"/>
      </w:r>
    </w:p>
    <w:p w14:paraId="10A3D32B" w14:textId="24711929" w:rsidR="00B07DF3" w:rsidRDefault="00AD35D7" w:rsidP="009F5235">
      <w:pPr>
        <w:pStyle w:val="ListParagraph"/>
        <w:contextualSpacing/>
      </w:pPr>
      <w:r>
        <w:t xml:space="preserve">The </w:t>
      </w:r>
      <w:r w:rsidR="00491DD0" w:rsidRPr="0071376F">
        <w:t>Panel</w:t>
      </w:r>
      <w:r w:rsidR="00B05ACF">
        <w:t xml:space="preserve">, having reviewed the provider assessment document, </w:t>
      </w:r>
      <w:r w:rsidR="00491DD0">
        <w:t xml:space="preserve">notes that </w:t>
      </w:r>
      <w:r w:rsidR="00467465">
        <w:t>the</w:t>
      </w:r>
      <w:r w:rsidR="00491DD0">
        <w:t xml:space="preserve"> questions on (</w:t>
      </w:r>
      <w:proofErr w:type="spellStart"/>
      <w:r w:rsidR="00491DD0">
        <w:t>i</w:t>
      </w:r>
      <w:proofErr w:type="spellEnd"/>
      <w:r w:rsidR="00491DD0">
        <w:t xml:space="preserve">) Value, (ii) Quality and innovation and (iii) Integration, collaboration and service sustainability </w:t>
      </w:r>
      <w:r w:rsidR="006B659A">
        <w:t xml:space="preserve">all seek information from providers about </w:t>
      </w:r>
      <w:r w:rsidR="00B07DF3">
        <w:t>how the UTC service will be delivered</w:t>
      </w:r>
      <w:r w:rsidR="009645B6">
        <w:t>.</w:t>
      </w:r>
    </w:p>
    <w:p w14:paraId="05450686" w14:textId="467A6D5A" w:rsidR="00B07DF3" w:rsidRDefault="009645B6" w:rsidP="00BD0BD8">
      <w:pPr>
        <w:pStyle w:val="ListParagraph"/>
        <w:numPr>
          <w:ilvl w:val="0"/>
          <w:numId w:val="9"/>
        </w:numPr>
        <w:ind w:left="1276"/>
        <w:contextualSpacing/>
      </w:pPr>
      <w:r>
        <w:t>T</w:t>
      </w:r>
      <w:r w:rsidR="00B07DF3">
        <w:t xml:space="preserve">he Value question asks </w:t>
      </w:r>
      <w:r w:rsidR="00F83E12">
        <w:t>for</w:t>
      </w:r>
      <w:r w:rsidR="00B07DF3">
        <w:t xml:space="preserve"> the price for delivering the service</w:t>
      </w:r>
      <w:r>
        <w:t>.</w:t>
      </w:r>
    </w:p>
    <w:p w14:paraId="43C7F65C" w14:textId="3F26941E" w:rsidR="00B07DF3" w:rsidRDefault="009645B6" w:rsidP="00BD0BD8">
      <w:pPr>
        <w:pStyle w:val="ListParagraph"/>
        <w:numPr>
          <w:ilvl w:val="0"/>
          <w:numId w:val="9"/>
        </w:numPr>
        <w:ind w:left="1276"/>
        <w:contextualSpacing/>
      </w:pPr>
      <w:r>
        <w:t>T</w:t>
      </w:r>
      <w:r w:rsidR="00B07DF3">
        <w:t xml:space="preserve">he Quality and innovation question asks </w:t>
      </w:r>
      <w:r>
        <w:t xml:space="preserve">providers how they </w:t>
      </w:r>
      <w:r w:rsidR="00F83E12">
        <w:t xml:space="preserve">will </w:t>
      </w:r>
      <w:r w:rsidR="00B82222">
        <w:t>“ensure fundamental utility and performance”, “offer innovation and improvement”</w:t>
      </w:r>
      <w:r>
        <w:t xml:space="preserve">, </w:t>
      </w:r>
      <w:r w:rsidR="00F83E12">
        <w:t>“establish desired outcomes” and “maximise outcomes</w:t>
      </w:r>
      <w:r w:rsidR="00B82222">
        <w:t>”</w:t>
      </w:r>
      <w:r>
        <w:t>, all of which relate to how the service will be delivered.</w:t>
      </w:r>
    </w:p>
    <w:p w14:paraId="2AFA0D68" w14:textId="2B24BE46" w:rsidR="009645B6" w:rsidRDefault="009645B6" w:rsidP="00BD0BD8">
      <w:pPr>
        <w:pStyle w:val="ListParagraph"/>
        <w:numPr>
          <w:ilvl w:val="0"/>
          <w:numId w:val="9"/>
        </w:numPr>
        <w:ind w:left="1276"/>
      </w:pPr>
      <w:r>
        <w:t xml:space="preserve">The Integration, collaboration and service sustainability asks providers how </w:t>
      </w:r>
      <w:r w:rsidR="00A9525B">
        <w:t>they will deliver “a patient centred approach”, “successfully develop and integrated care pathway” and “aid NHS organisations in long-term planning”, all of which relate to how the service will be delivered.</w:t>
      </w:r>
    </w:p>
    <w:p w14:paraId="53A1ADAF" w14:textId="4C1D5713" w:rsidR="00927B46" w:rsidRDefault="00054EED" w:rsidP="00491DD0">
      <w:pPr>
        <w:pStyle w:val="ListParagraph"/>
      </w:pPr>
      <w:r>
        <w:t>In</w:t>
      </w:r>
      <w:r w:rsidR="00927B46">
        <w:t xml:space="preserve"> asking providers how they will deliver the service, HHFT, in effect, invited offers from providers</w:t>
      </w:r>
      <w:r w:rsidR="003E78FC">
        <w:t>, which it then assess</w:t>
      </w:r>
      <w:r w:rsidR="000B16B9">
        <w:t>ed</w:t>
      </w:r>
      <w:r w:rsidR="003E78FC">
        <w:t xml:space="preserve"> </w:t>
      </w:r>
      <w:r w:rsidR="00FA6387">
        <w:t>in order to</w:t>
      </w:r>
      <w:r w:rsidR="003E78FC">
        <w:t xml:space="preserve"> select its preferred provider.</w:t>
      </w:r>
    </w:p>
    <w:p w14:paraId="67E9D6E4" w14:textId="082D6178" w:rsidR="003E78FC" w:rsidRDefault="003E78FC" w:rsidP="003E78FC">
      <w:pPr>
        <w:pStyle w:val="ListParagraph"/>
      </w:pPr>
      <w:r>
        <w:t xml:space="preserve">The Panel </w:t>
      </w:r>
      <w:r w:rsidR="003010C5">
        <w:t xml:space="preserve">also </w:t>
      </w:r>
      <w:r>
        <w:t xml:space="preserve">notes that the invitation for providers to submit variant proposals </w:t>
      </w:r>
      <w:r w:rsidR="008E09C2">
        <w:t>with alternative models of care for the delivery of the service</w:t>
      </w:r>
      <w:r w:rsidR="003010C5">
        <w:t xml:space="preserve"> was</w:t>
      </w:r>
      <w:r w:rsidR="008E09C2">
        <w:t xml:space="preserve">, in effect, </w:t>
      </w:r>
      <w:r w:rsidR="002F2085">
        <w:t xml:space="preserve">an invitation for </w:t>
      </w:r>
      <w:r w:rsidR="00110C57">
        <w:t xml:space="preserve">providers </w:t>
      </w:r>
      <w:r w:rsidR="002F2085">
        <w:t xml:space="preserve">to make </w:t>
      </w:r>
      <w:r w:rsidR="00DF391C">
        <w:t xml:space="preserve">offers regarding </w:t>
      </w:r>
      <w:r w:rsidR="008E09C2">
        <w:t xml:space="preserve">their delivery </w:t>
      </w:r>
      <w:r w:rsidR="00F5530E">
        <w:t xml:space="preserve">model for </w:t>
      </w:r>
      <w:r w:rsidR="00110C57">
        <w:t>the service.</w:t>
      </w:r>
    </w:p>
    <w:p w14:paraId="33F16919" w14:textId="70087E32" w:rsidR="00501D4D" w:rsidRDefault="00501D4D" w:rsidP="00491DD0">
      <w:pPr>
        <w:pStyle w:val="ListParagraph"/>
      </w:pPr>
      <w:r>
        <w:t xml:space="preserve">The Panel </w:t>
      </w:r>
      <w:r w:rsidR="00EA66F5">
        <w:t xml:space="preserve">further </w:t>
      </w:r>
      <w:r>
        <w:t xml:space="preserve">notes that the </w:t>
      </w:r>
      <w:r w:rsidR="0092106E">
        <w:t xml:space="preserve">questions regarding the </w:t>
      </w:r>
      <w:r>
        <w:t xml:space="preserve">remaining two </w:t>
      </w:r>
      <w:r w:rsidR="0092106E">
        <w:t xml:space="preserve">key criteria </w:t>
      </w:r>
      <w:r w:rsidR="002C0C6D">
        <w:t>were</w:t>
      </w:r>
      <w:r w:rsidR="00A11C00">
        <w:t xml:space="preserve"> </w:t>
      </w:r>
      <w:r w:rsidR="002C0C6D">
        <w:t xml:space="preserve">consistent with an assessment of providers, asking about their previous experience </w:t>
      </w:r>
      <w:r w:rsidR="0013414B">
        <w:t>with UTCs and their commitment to social value.</w:t>
      </w:r>
    </w:p>
    <w:p w14:paraId="654FD57D" w14:textId="7520EEA1" w:rsidR="00A63CA9" w:rsidRDefault="000A3CF8" w:rsidP="00843ED9">
      <w:pPr>
        <w:pStyle w:val="ListParagraph"/>
      </w:pPr>
      <w:r>
        <w:t xml:space="preserve">In summary, HHFT’s provider assessment process included </w:t>
      </w:r>
      <w:r w:rsidR="008C51E5">
        <w:t xml:space="preserve">a combination of assessing providers’ offers </w:t>
      </w:r>
      <w:r w:rsidR="00413099">
        <w:t xml:space="preserve">(three questions and the variant proposal invitation) </w:t>
      </w:r>
      <w:r w:rsidR="008C51E5">
        <w:t>and assessing providers (</w:t>
      </w:r>
      <w:r w:rsidR="006B11E7">
        <w:t>two questions</w:t>
      </w:r>
      <w:r w:rsidR="00413099">
        <w:t xml:space="preserve">). </w:t>
      </w:r>
      <w:r w:rsidR="006B11E7">
        <w:t xml:space="preserve">That is, given the equal weighting for each of the key criteria, 60 per cent of HHFT’s provider assessment </w:t>
      </w:r>
      <w:r w:rsidR="008818CA">
        <w:t>was based on an evaluation of providers’ offers</w:t>
      </w:r>
      <w:r w:rsidR="004D5CBD">
        <w:t>, consistent with a competitive process</w:t>
      </w:r>
      <w:r w:rsidR="00B868AF">
        <w:t>.</w:t>
      </w:r>
      <w:r w:rsidR="003D4DE0">
        <w:t xml:space="preserve"> </w:t>
      </w:r>
      <w:r w:rsidR="009525C1">
        <w:t>The Panel</w:t>
      </w:r>
      <w:r w:rsidR="00B338EB">
        <w:t xml:space="preserve"> </w:t>
      </w:r>
      <w:r w:rsidR="006D2000">
        <w:t xml:space="preserve">does not agree </w:t>
      </w:r>
      <w:r w:rsidR="00257457">
        <w:t>with HHFT</w:t>
      </w:r>
      <w:r w:rsidR="003408B8">
        <w:t xml:space="preserve">’s suggestion that any appearance of a competitive process was a matter of </w:t>
      </w:r>
      <w:r w:rsidR="00B8731A">
        <w:t xml:space="preserve">errant terminology </w:t>
      </w:r>
      <w:r w:rsidR="003408B8">
        <w:t>rather than substance</w:t>
      </w:r>
      <w:r w:rsidR="005E138F">
        <w:t>.</w:t>
      </w:r>
    </w:p>
    <w:p w14:paraId="52F49632" w14:textId="4C63485D" w:rsidR="0077418C" w:rsidRPr="0077418C" w:rsidRDefault="0077418C" w:rsidP="00843ED9">
      <w:pPr>
        <w:pStyle w:val="ListParagraph"/>
      </w:pPr>
      <w:r w:rsidRPr="00C564A8">
        <w:t xml:space="preserve">Regarding HHFT’s view that it is not possible to carry out an MSP process without asking providers how they intend to deliver the service (see paragraph </w:t>
      </w:r>
      <w:r w:rsidR="00376913">
        <w:t>75</w:t>
      </w:r>
      <w:r w:rsidRPr="00C564A8">
        <w:t xml:space="preserve">), the Panel notes that the PSR regulations are clear that, when using the MSP process, the </w:t>
      </w:r>
      <w:r w:rsidRPr="00C564A8">
        <w:lastRenderedPageBreak/>
        <w:t>selection of the preferred provider must be based on an assessment of the provider not on any offer made by the provider. If HHFT believed that it was unable to select a provider on this basis, then it should have carried out a competitive process rather than an MSP process.</w:t>
      </w:r>
    </w:p>
    <w:p w14:paraId="0AFD4CE1" w14:textId="58EF6045" w:rsidR="00170FC2" w:rsidRPr="001228B5" w:rsidRDefault="001228B5" w:rsidP="001228B5">
      <w:pPr>
        <w:keepNext/>
        <w:spacing w:before="240"/>
        <w:rPr>
          <w:b/>
          <w:bCs/>
        </w:rPr>
      </w:pPr>
      <w:r>
        <w:rPr>
          <w:b/>
          <w:bCs/>
        </w:rPr>
        <w:t xml:space="preserve">Panel conclusion on </w:t>
      </w:r>
      <w:r w:rsidR="00A95A6C">
        <w:rPr>
          <w:b/>
          <w:bCs/>
        </w:rPr>
        <w:t xml:space="preserve">HHFT’s provider assessment </w:t>
      </w:r>
      <w:r w:rsidR="00E14FD3">
        <w:rPr>
          <w:b/>
          <w:bCs/>
        </w:rPr>
        <w:t>process</w:t>
      </w:r>
    </w:p>
    <w:p w14:paraId="4B5A18B1" w14:textId="72C64998" w:rsidR="00A95A6C" w:rsidRDefault="00A95A6C" w:rsidP="001F3EE8">
      <w:pPr>
        <w:pStyle w:val="ListParagraph"/>
      </w:pPr>
      <w:r>
        <w:t>T</w:t>
      </w:r>
      <w:r w:rsidR="002E6F3E">
        <w:t>he Panel’s view is that HHFT</w:t>
      </w:r>
      <w:r w:rsidR="003B2391">
        <w:t xml:space="preserve">’s </w:t>
      </w:r>
      <w:r w:rsidR="00810017">
        <w:t xml:space="preserve">provider </w:t>
      </w:r>
      <w:r w:rsidR="004E6B7F">
        <w:t xml:space="preserve">assessment </w:t>
      </w:r>
      <w:r w:rsidR="003B2391">
        <w:t xml:space="preserve">for its UTC service </w:t>
      </w:r>
      <w:r w:rsidR="004E6B7F">
        <w:t>was</w:t>
      </w:r>
      <w:r w:rsidR="00E93941">
        <w:t xml:space="preserve">, in </w:t>
      </w:r>
      <w:r w:rsidR="000531ED">
        <w:t xml:space="preserve">the majority, an assessment of </w:t>
      </w:r>
      <w:r w:rsidR="00385A32">
        <w:t xml:space="preserve">providers’ </w:t>
      </w:r>
      <w:r w:rsidR="00DF391C">
        <w:t xml:space="preserve">offers </w:t>
      </w:r>
      <w:r w:rsidR="00385A32">
        <w:t>for deliver</w:t>
      </w:r>
      <w:r w:rsidR="00810017">
        <w:t xml:space="preserve">ing the </w:t>
      </w:r>
      <w:r w:rsidR="00385A32">
        <w:t>service</w:t>
      </w:r>
      <w:r w:rsidR="008C17BA">
        <w:t xml:space="preserve"> rather than </w:t>
      </w:r>
      <w:r w:rsidR="000531ED">
        <w:t>an assessment of providers themselves</w:t>
      </w:r>
      <w:r w:rsidR="008C17BA">
        <w:t>.</w:t>
      </w:r>
    </w:p>
    <w:p w14:paraId="621B9EB0" w14:textId="7478C993" w:rsidR="001F3EE8" w:rsidRDefault="008C17BA" w:rsidP="001F3EE8">
      <w:pPr>
        <w:pStyle w:val="ListParagraph"/>
      </w:pPr>
      <w:r>
        <w:t>A</w:t>
      </w:r>
      <w:r w:rsidR="00CF58FC">
        <w:t xml:space="preserve">s a result, the Panel finds that </w:t>
      </w:r>
      <w:r>
        <w:t>HHFT</w:t>
      </w:r>
      <w:r w:rsidR="009672DD">
        <w:t xml:space="preserve">, in carrying out the </w:t>
      </w:r>
      <w:r w:rsidR="00361115">
        <w:t xml:space="preserve">MSP </w:t>
      </w:r>
      <w:r w:rsidR="009672DD">
        <w:t>process,</w:t>
      </w:r>
      <w:r>
        <w:t xml:space="preserve"> breached the PSR regulations</w:t>
      </w:r>
      <w:r w:rsidR="00174E99">
        <w:t>,</w:t>
      </w:r>
      <w:r>
        <w:t xml:space="preserve"> and in particular Regulation</w:t>
      </w:r>
      <w:r w:rsidR="00911839">
        <w:t>s</w:t>
      </w:r>
      <w:r w:rsidR="006977B0">
        <w:t xml:space="preserve"> 10(1)(b)</w:t>
      </w:r>
      <w:r w:rsidR="00911839">
        <w:t xml:space="preserve"> and</w:t>
      </w:r>
      <w:r>
        <w:t xml:space="preserve"> </w:t>
      </w:r>
      <w:r w:rsidR="00FE2082">
        <w:t>10(6)</w:t>
      </w:r>
      <w:r w:rsidR="003B7298">
        <w:t xml:space="preserve"> which requires commissioners to assess potential providers</w:t>
      </w:r>
      <w:r w:rsidR="00191BDB">
        <w:t xml:space="preserve"> </w:t>
      </w:r>
      <w:r w:rsidR="002F1062">
        <w:t xml:space="preserve">without a </w:t>
      </w:r>
      <w:proofErr w:type="gramStart"/>
      <w:r w:rsidR="002F1062">
        <w:t>competition</w:t>
      </w:r>
      <w:proofErr w:type="gramEnd"/>
      <w:r w:rsidR="00FA136D">
        <w:t xml:space="preserve"> or an assessment of providers’ offers</w:t>
      </w:r>
      <w:r w:rsidR="00191BDB">
        <w:t>.</w:t>
      </w:r>
    </w:p>
    <w:p w14:paraId="1D15E019" w14:textId="3F5A5501" w:rsidR="00143C45" w:rsidRPr="005E3256" w:rsidRDefault="000275F7" w:rsidP="005E3256">
      <w:pPr>
        <w:keepNext/>
        <w:spacing w:before="240"/>
        <w:rPr>
          <w:b/>
          <w:bCs/>
        </w:rPr>
      </w:pPr>
      <w:r>
        <w:rPr>
          <w:b/>
          <w:bCs/>
        </w:rPr>
        <w:t xml:space="preserve">7.2.2 </w:t>
      </w:r>
      <w:r w:rsidR="00EA03ED">
        <w:rPr>
          <w:b/>
          <w:bCs/>
        </w:rPr>
        <w:t xml:space="preserve">Providers’ submissions </w:t>
      </w:r>
      <w:r w:rsidR="00ED07DC">
        <w:rPr>
          <w:b/>
          <w:bCs/>
        </w:rPr>
        <w:t xml:space="preserve">and </w:t>
      </w:r>
      <w:r w:rsidR="00080759">
        <w:rPr>
          <w:b/>
          <w:bCs/>
        </w:rPr>
        <w:t>HHFT’s contract award decision</w:t>
      </w:r>
    </w:p>
    <w:p w14:paraId="0E086788" w14:textId="3316E021" w:rsidR="00745B16" w:rsidRDefault="00966C24" w:rsidP="00605FEE">
      <w:pPr>
        <w:pStyle w:val="ListParagraph"/>
      </w:pPr>
      <w:r>
        <w:t xml:space="preserve">This section discusses </w:t>
      </w:r>
      <w:r w:rsidR="0016100C">
        <w:t xml:space="preserve">the basis on which providers’ submissions were prepared and </w:t>
      </w:r>
      <w:r w:rsidR="00EE67E4">
        <w:t>HHFT’s decision to select a provider only for the Basingstoke Hospital UTC</w:t>
      </w:r>
      <w:r w:rsidR="00DE5CF1">
        <w:t>.</w:t>
      </w:r>
    </w:p>
    <w:p w14:paraId="37CEE86E" w14:textId="60CD09C2" w:rsidR="00F32745" w:rsidRDefault="009F6259" w:rsidP="00605FEE">
      <w:pPr>
        <w:pStyle w:val="ListParagraph"/>
      </w:pPr>
      <w:r>
        <w:t xml:space="preserve">To recap on </w:t>
      </w:r>
      <w:r w:rsidR="0016100C">
        <w:t xml:space="preserve">background, </w:t>
      </w:r>
      <w:r w:rsidR="00223ACF">
        <w:t>HHFT</w:t>
      </w:r>
      <w:r w:rsidR="00DD5658">
        <w:t xml:space="preserve"> published a </w:t>
      </w:r>
      <w:r w:rsidR="0055310F">
        <w:t>notice</w:t>
      </w:r>
      <w:r w:rsidR="00A92693">
        <w:t xml:space="preserve"> </w:t>
      </w:r>
      <w:r w:rsidR="00AE2174">
        <w:t>on 26 September 2025,</w:t>
      </w:r>
      <w:r w:rsidR="00A92693">
        <w:t xml:space="preserve"> </w:t>
      </w:r>
      <w:r w:rsidR="002F3F8D">
        <w:t>invit</w:t>
      </w:r>
      <w:r w:rsidR="00DD5658">
        <w:t>ing</w:t>
      </w:r>
      <w:r w:rsidR="002F3F8D">
        <w:t xml:space="preserve"> expressions of interest in providing </w:t>
      </w:r>
      <w:r w:rsidR="00682097">
        <w:t>the UTC service at Basingstoke Hospital. The notice said that</w:t>
      </w:r>
      <w:r w:rsidR="00F16727">
        <w:t xml:space="preserve">, for information, a second UTC at </w:t>
      </w:r>
      <w:r w:rsidR="00AC39B6">
        <w:t xml:space="preserve">Royal </w:t>
      </w:r>
      <w:r w:rsidR="00F16727">
        <w:t>Hampshire Hospital “is in planning and the construction process underway</w:t>
      </w:r>
      <w:r w:rsidR="009053D7">
        <w:t xml:space="preserve">, this facility is expected to open in Autumn 2026. HHFT will be seeking variant proposals from interested providers that extend to include potential services </w:t>
      </w:r>
      <w:r w:rsidR="002F3F8D">
        <w:t>into this facility also”</w:t>
      </w:r>
      <w:r w:rsidR="00192A58">
        <w:t xml:space="preserve"> (see paragraph </w:t>
      </w:r>
      <w:r w:rsidR="00376913">
        <w:t>28</w:t>
      </w:r>
      <w:r w:rsidR="00192A58">
        <w:t>)</w:t>
      </w:r>
      <w:r w:rsidR="002F3F8D">
        <w:t>.</w:t>
      </w:r>
      <w:r w:rsidR="001A0F75">
        <w:rPr>
          <w:rStyle w:val="FootnoteReference"/>
        </w:rPr>
        <w:footnoteReference w:id="36"/>
      </w:r>
    </w:p>
    <w:p w14:paraId="3CB8CA00" w14:textId="53072584" w:rsidR="00D75524" w:rsidRDefault="007C3FB2" w:rsidP="00605FEE">
      <w:pPr>
        <w:pStyle w:val="ListParagraph"/>
      </w:pPr>
      <w:r>
        <w:t xml:space="preserve">The </w:t>
      </w:r>
      <w:r w:rsidR="008C0CDF">
        <w:t xml:space="preserve">Panel notes that </w:t>
      </w:r>
      <w:r w:rsidR="00C66C85">
        <w:t xml:space="preserve">HHFT’s </w:t>
      </w:r>
      <w:r>
        <w:t xml:space="preserve">notice </w:t>
      </w:r>
      <w:r w:rsidR="008C0CDF">
        <w:t>infer</w:t>
      </w:r>
      <w:r w:rsidR="00306999">
        <w:t>s</w:t>
      </w:r>
      <w:r w:rsidR="008C0CDF" w:rsidRPr="00B42069">
        <w:t xml:space="preserve"> </w:t>
      </w:r>
      <w:r w:rsidRPr="00B42069">
        <w:t xml:space="preserve">that </w:t>
      </w:r>
      <w:r w:rsidR="00C66C85">
        <w:t>it</w:t>
      </w:r>
      <w:r w:rsidR="00C66C85" w:rsidRPr="00B42069">
        <w:t xml:space="preserve"> </w:t>
      </w:r>
      <w:r w:rsidR="00F32745" w:rsidRPr="009F5235">
        <w:t xml:space="preserve">would </w:t>
      </w:r>
      <w:r w:rsidR="00C66C85">
        <w:t xml:space="preserve">be </w:t>
      </w:r>
      <w:r w:rsidR="00B42069" w:rsidRPr="009F5235">
        <w:t>select</w:t>
      </w:r>
      <w:r w:rsidR="00C66C85">
        <w:t>ing</w:t>
      </w:r>
      <w:r w:rsidR="00B42069" w:rsidRPr="009F5235">
        <w:t xml:space="preserve"> a single provider </w:t>
      </w:r>
      <w:r w:rsidR="00C66C85">
        <w:t xml:space="preserve">for the UTCs at </w:t>
      </w:r>
      <w:r w:rsidRPr="00B42069">
        <w:t xml:space="preserve">both </w:t>
      </w:r>
      <w:r w:rsidR="00C66C85">
        <w:t xml:space="preserve">hospitals </w:t>
      </w:r>
      <w:r w:rsidR="00F32745">
        <w:t>provided</w:t>
      </w:r>
      <w:r w:rsidR="00DD5658">
        <w:t xml:space="preserve"> that an acceptable variant proposal was made with respect to the UTC service at Royal Hampshire Hospital</w:t>
      </w:r>
      <w:r>
        <w:t>.</w:t>
      </w:r>
    </w:p>
    <w:p w14:paraId="5ED72A11" w14:textId="77777777" w:rsidR="007C6395" w:rsidRDefault="00F32745" w:rsidP="004641F6">
      <w:pPr>
        <w:pStyle w:val="ListParagraph"/>
      </w:pPr>
      <w:r>
        <w:t xml:space="preserve">On 4 November 2025, HHFT issued </w:t>
      </w:r>
      <w:r w:rsidR="00F214F7">
        <w:t>the service specification and provider assessment document to interested providers.</w:t>
      </w:r>
    </w:p>
    <w:p w14:paraId="47E1ED0A" w14:textId="066C3450" w:rsidR="008B7094" w:rsidRDefault="008B7094" w:rsidP="004641F6">
      <w:pPr>
        <w:pStyle w:val="ListParagraph"/>
      </w:pPr>
      <w:r>
        <w:t xml:space="preserve">The service specification invited proposals “to provide the service at both BNHH [Basingstoke Hospital] and RHCH [Royal Hampshire Hospital]”. </w:t>
      </w:r>
      <w:r w:rsidR="007C6395">
        <w:t xml:space="preserve">The Panel notes that HHFT’s </w:t>
      </w:r>
      <w:r>
        <w:t xml:space="preserve">service specification </w:t>
      </w:r>
      <w:r w:rsidR="007C6395">
        <w:t>infer</w:t>
      </w:r>
      <w:r w:rsidR="008D0C3F">
        <w:t>s</w:t>
      </w:r>
      <w:r w:rsidR="007C6395">
        <w:t xml:space="preserve"> </w:t>
      </w:r>
      <w:r>
        <w:t>that HHFT was seeking a single provider to operate both UTCs.</w:t>
      </w:r>
      <w:r>
        <w:rPr>
          <w:rStyle w:val="FootnoteReference"/>
        </w:rPr>
        <w:footnoteReference w:id="37"/>
      </w:r>
    </w:p>
    <w:p w14:paraId="2669655A" w14:textId="28DB6797" w:rsidR="00213F57" w:rsidRDefault="00696808" w:rsidP="003E32E5">
      <w:pPr>
        <w:pStyle w:val="ListParagraph"/>
      </w:pPr>
      <w:r>
        <w:t xml:space="preserve">The </w:t>
      </w:r>
      <w:r w:rsidR="008B7094">
        <w:t>provider assessment document</w:t>
      </w:r>
      <w:r>
        <w:t xml:space="preserve"> identified two lots</w:t>
      </w:r>
      <w:r w:rsidRPr="00D26940">
        <w:t xml:space="preserve">, </w:t>
      </w:r>
      <w:r>
        <w:t xml:space="preserve">where Lot 1 was for </w:t>
      </w:r>
      <w:r w:rsidRPr="00D26940">
        <w:t xml:space="preserve">the UTC </w:t>
      </w:r>
      <w:r>
        <w:t>service</w:t>
      </w:r>
      <w:r w:rsidRPr="00D26940">
        <w:t xml:space="preserve"> </w:t>
      </w:r>
      <w:r>
        <w:t>at</w:t>
      </w:r>
      <w:r w:rsidRPr="00D26940">
        <w:t xml:space="preserve"> Basingstoke </w:t>
      </w:r>
      <w:r>
        <w:t xml:space="preserve">Hospital </w:t>
      </w:r>
      <w:r w:rsidRPr="00D26940">
        <w:t xml:space="preserve">and </w:t>
      </w:r>
      <w:r>
        <w:t xml:space="preserve">Lot 2 was for the yet to be established </w:t>
      </w:r>
      <w:r w:rsidRPr="00D26940">
        <w:t xml:space="preserve">UTC </w:t>
      </w:r>
      <w:r>
        <w:t>service</w:t>
      </w:r>
      <w:r w:rsidRPr="00D26940">
        <w:t xml:space="preserve"> </w:t>
      </w:r>
      <w:r>
        <w:t>at Royal Hampshire Hospital</w:t>
      </w:r>
      <w:r w:rsidRPr="00D26940">
        <w:t>.</w:t>
      </w:r>
      <w:r>
        <w:t xml:space="preserve"> </w:t>
      </w:r>
      <w:r w:rsidR="007C5F1B">
        <w:t xml:space="preserve">The </w:t>
      </w:r>
      <w:r w:rsidR="005A5E4B">
        <w:t>provider assessment document</w:t>
      </w:r>
      <w:r w:rsidR="004641F6">
        <w:t xml:space="preserve"> </w:t>
      </w:r>
      <w:r w:rsidR="00335277">
        <w:t>ask</w:t>
      </w:r>
      <w:r w:rsidR="00DA45C0">
        <w:t>ed</w:t>
      </w:r>
      <w:r w:rsidR="00335277">
        <w:t xml:space="preserve"> providers to complete </w:t>
      </w:r>
      <w:r w:rsidR="000B6D03">
        <w:t>se</w:t>
      </w:r>
      <w:r w:rsidR="00B55094">
        <w:t>parate</w:t>
      </w:r>
      <w:r w:rsidR="00335277">
        <w:t xml:space="preserve"> pricing template</w:t>
      </w:r>
      <w:r w:rsidR="00B55094">
        <w:t>s</w:t>
      </w:r>
      <w:r w:rsidR="00335277">
        <w:t xml:space="preserve"> for </w:t>
      </w:r>
      <w:r w:rsidR="00605DAD">
        <w:t>Lots 1 and 2</w:t>
      </w:r>
      <w:r w:rsidR="00715A20">
        <w:t>, and ask</w:t>
      </w:r>
      <w:r w:rsidR="001A347A">
        <w:t>ed</w:t>
      </w:r>
      <w:r w:rsidR="00715A20">
        <w:t xml:space="preserve"> </w:t>
      </w:r>
      <w:r w:rsidR="00876DE8">
        <w:t xml:space="preserve">providers </w:t>
      </w:r>
      <w:r w:rsidR="00BA5BF8">
        <w:t>“Is your org. going to submit a variant proposal for Lots 1 &amp; 2” with the option of selecting “yes” or “no”.</w:t>
      </w:r>
      <w:r w:rsidR="00BA5BF8">
        <w:rPr>
          <w:rStyle w:val="FootnoteReference"/>
        </w:rPr>
        <w:footnoteReference w:id="38"/>
      </w:r>
    </w:p>
    <w:p w14:paraId="46E8F1A2" w14:textId="48D667A8" w:rsidR="00EE4500" w:rsidRDefault="00053CF0" w:rsidP="003E32E5">
      <w:pPr>
        <w:pStyle w:val="ListParagraph"/>
      </w:pPr>
      <w:bookmarkStart w:id="25" w:name="_Ref224502511"/>
      <w:r>
        <w:lastRenderedPageBreak/>
        <w:t xml:space="preserve">All of the providers </w:t>
      </w:r>
      <w:r w:rsidR="00F63DCF">
        <w:t>submitted separate prices for Lots 1 and 2</w:t>
      </w:r>
      <w:r w:rsidR="00E11137">
        <w:t xml:space="preserve">. However, </w:t>
      </w:r>
      <w:r w:rsidR="00A5221A">
        <w:t xml:space="preserve">other than the Value question, providers </w:t>
      </w:r>
      <w:r w:rsidR="000B6D59">
        <w:t xml:space="preserve">were only able to submit </w:t>
      </w:r>
      <w:r w:rsidR="00A5221A">
        <w:t xml:space="preserve">a single response to each </w:t>
      </w:r>
      <w:r w:rsidR="000B6D59">
        <w:t xml:space="preserve">of the other </w:t>
      </w:r>
      <w:r w:rsidR="00A5221A">
        <w:t>question</w:t>
      </w:r>
      <w:r w:rsidR="000B6D59">
        <w:t>s, meaning that their responses to these questions</w:t>
      </w:r>
      <w:r w:rsidR="00A5221A">
        <w:t xml:space="preserve"> </w:t>
      </w:r>
      <w:r w:rsidR="000B6D59">
        <w:t xml:space="preserve">addressed </w:t>
      </w:r>
      <w:r w:rsidR="006B7920">
        <w:t>UTC services at both Basingstoke Hospital and Royal Hampshire Hospital</w:t>
      </w:r>
      <w:r w:rsidR="009E51E7">
        <w:t>.</w:t>
      </w:r>
      <w:bookmarkEnd w:id="25"/>
    </w:p>
    <w:p w14:paraId="71903EA4" w14:textId="5C242A40" w:rsidR="006C0DC4" w:rsidRDefault="00E8054B" w:rsidP="009F5235">
      <w:pPr>
        <w:pStyle w:val="ListParagraph"/>
        <w:contextualSpacing/>
      </w:pPr>
      <w:r>
        <w:t xml:space="preserve">On 29 December 2025, HHFT wrote to </w:t>
      </w:r>
      <w:proofErr w:type="spellStart"/>
      <w:r>
        <w:t>Atrumed</w:t>
      </w:r>
      <w:proofErr w:type="spellEnd"/>
      <w:r>
        <w:t xml:space="preserve"> saying that it was the preferred provider for Lots 1 and 2.</w:t>
      </w:r>
      <w:r w:rsidR="004D2EF6">
        <w:rPr>
          <w:rStyle w:val="FootnoteReference"/>
        </w:rPr>
        <w:footnoteReference w:id="39"/>
      </w:r>
      <w:r w:rsidR="0083671E">
        <w:t xml:space="preserve"> On the same day</w:t>
      </w:r>
      <w:r w:rsidR="00E73A22" w:rsidRPr="00F52D0B">
        <w:t>, HHFT published an intention to award notice</w:t>
      </w:r>
      <w:r w:rsidR="00E93CB5">
        <w:t xml:space="preserve">, which appears to say that a contract award decision has only been made with respect to Lot 1 (i.e. the UTC </w:t>
      </w:r>
      <w:r w:rsidR="00711588">
        <w:t xml:space="preserve">service </w:t>
      </w:r>
      <w:r w:rsidR="00E93CB5">
        <w:t>at Basingstoke Hospital)</w:t>
      </w:r>
      <w:r w:rsidR="00E73A22">
        <w:t>. The notice says</w:t>
      </w:r>
      <w:r w:rsidR="00590E6F">
        <w:t xml:space="preserve"> the following:</w:t>
      </w:r>
    </w:p>
    <w:p w14:paraId="22D423B8" w14:textId="2450D207" w:rsidR="006C0DC4" w:rsidRDefault="00590E6F" w:rsidP="00BD0BD8">
      <w:pPr>
        <w:pStyle w:val="ListParagraph"/>
        <w:numPr>
          <w:ilvl w:val="0"/>
          <w:numId w:val="15"/>
        </w:numPr>
        <w:contextualSpacing/>
      </w:pPr>
      <w:r>
        <w:t>U</w:t>
      </w:r>
      <w:r w:rsidR="00E73A22">
        <w:t>nder the title “Description of the procurement”, “This notice is an intention to award a contract under the most suitable provider process …for lot 1”</w:t>
      </w:r>
      <w:r>
        <w:t>.</w:t>
      </w:r>
    </w:p>
    <w:p w14:paraId="22C1417D" w14:textId="370F6D30" w:rsidR="006C0DC4" w:rsidRDefault="00590E6F" w:rsidP="00BD0BD8">
      <w:pPr>
        <w:pStyle w:val="ListParagraph"/>
        <w:numPr>
          <w:ilvl w:val="0"/>
          <w:numId w:val="15"/>
        </w:numPr>
        <w:contextualSpacing/>
      </w:pPr>
      <w:proofErr w:type="gramStart"/>
      <w:r>
        <w:t>S</w:t>
      </w:r>
      <w:r w:rsidR="00E73A22">
        <w:t>imilarly</w:t>
      </w:r>
      <w:proofErr w:type="gramEnd"/>
      <w:r w:rsidR="00E73A22">
        <w:t xml:space="preserve"> later in the notice it </w:t>
      </w:r>
      <w:proofErr w:type="gramStart"/>
      <w:r w:rsidR="00E73A22">
        <w:t>says</w:t>
      </w:r>
      <w:proofErr w:type="gramEnd"/>
      <w:r w:rsidR="00E73A22">
        <w:t xml:space="preserve"> “This notice is an intention to award a contract under the most suitable provider process … for lot 2”.</w:t>
      </w:r>
    </w:p>
    <w:p w14:paraId="7F8FA900" w14:textId="6D2E7687" w:rsidR="00590E6F" w:rsidRDefault="00590E6F" w:rsidP="00BD0BD8">
      <w:pPr>
        <w:pStyle w:val="ListParagraph"/>
        <w:numPr>
          <w:ilvl w:val="0"/>
          <w:numId w:val="15"/>
        </w:numPr>
        <w:contextualSpacing/>
      </w:pPr>
      <w:r>
        <w:t xml:space="preserve">However, under the heading “Section V. Award of contract”, the notice says that HHFT intends to award the contract for Lot 1 to </w:t>
      </w:r>
      <w:proofErr w:type="spellStart"/>
      <w:r w:rsidRPr="008C1759">
        <w:t>Atrumed</w:t>
      </w:r>
      <w:proofErr w:type="spellEnd"/>
      <w:r>
        <w:t>.</w:t>
      </w:r>
    </w:p>
    <w:p w14:paraId="36F97DFA" w14:textId="4D77A4D1" w:rsidR="00590E6F" w:rsidRDefault="00590E6F" w:rsidP="00BD0BD8">
      <w:pPr>
        <w:pStyle w:val="ListParagraph"/>
        <w:numPr>
          <w:ilvl w:val="0"/>
          <w:numId w:val="15"/>
        </w:numPr>
        <w:ind w:left="1281" w:hanging="357"/>
      </w:pPr>
      <w:r>
        <w:t>No mention is made in the notice of any intention to award a contract for Lot 2 to any specific provider</w:t>
      </w:r>
      <w:r w:rsidR="006B74FF">
        <w:t xml:space="preserve"> (in contrast to the letter sent to </w:t>
      </w:r>
      <w:proofErr w:type="spellStart"/>
      <w:r w:rsidR="006B74FF">
        <w:t>Atrumed</w:t>
      </w:r>
      <w:proofErr w:type="spellEnd"/>
      <w:r w:rsidR="006B74FF">
        <w:t>)</w:t>
      </w:r>
      <w:r>
        <w:t>.</w:t>
      </w:r>
      <w:r>
        <w:rPr>
          <w:rStyle w:val="FootnoteReference"/>
        </w:rPr>
        <w:footnoteReference w:id="40"/>
      </w:r>
    </w:p>
    <w:p w14:paraId="690628CD" w14:textId="6A538B06" w:rsidR="00984C4D" w:rsidRDefault="0017260C" w:rsidP="0017260C">
      <w:pPr>
        <w:pStyle w:val="ListParagraph"/>
        <w:spacing w:after="120"/>
      </w:pPr>
      <w:r>
        <w:t>HHFT</w:t>
      </w:r>
      <w:r w:rsidR="00AD200B">
        <w:t xml:space="preserve">’s explanations </w:t>
      </w:r>
      <w:r w:rsidR="00984C4D">
        <w:t xml:space="preserve">to the Panel about its intentions with respect to selecting a provider and awarding a contract for Lot 2 changed </w:t>
      </w:r>
      <w:r w:rsidR="00DA351E">
        <w:t>during this review.</w:t>
      </w:r>
    </w:p>
    <w:p w14:paraId="7082849E" w14:textId="37C5D978" w:rsidR="0017260C" w:rsidRDefault="00DA351E" w:rsidP="0017260C">
      <w:pPr>
        <w:pStyle w:val="ListParagraph"/>
        <w:spacing w:after="120"/>
      </w:pPr>
      <w:r>
        <w:t xml:space="preserve">Initially, HHFT said </w:t>
      </w:r>
      <w:r w:rsidR="0017260C">
        <w:t>that</w:t>
      </w:r>
      <w:r w:rsidR="004C579F">
        <w:t xml:space="preserve"> </w:t>
      </w:r>
      <w:r w:rsidR="00283495">
        <w:t>it</w:t>
      </w:r>
      <w:r w:rsidR="009C45FB">
        <w:t>s intention was to a</w:t>
      </w:r>
      <w:r w:rsidR="00ED14EC">
        <w:t xml:space="preserve">ssess providers separately </w:t>
      </w:r>
      <w:r w:rsidR="00DE4DF1">
        <w:t xml:space="preserve">for </w:t>
      </w:r>
      <w:r w:rsidR="00D53B47">
        <w:t>each lot</w:t>
      </w:r>
      <w:r w:rsidR="006F21D6">
        <w:t>, allowing it to potentially select</w:t>
      </w:r>
      <w:r w:rsidR="00D53B47">
        <w:t xml:space="preserve"> </w:t>
      </w:r>
      <w:r w:rsidR="00A029DF">
        <w:t xml:space="preserve">different providers for </w:t>
      </w:r>
      <w:r w:rsidR="00DE4DF1">
        <w:t>each lot</w:t>
      </w:r>
      <w:r w:rsidR="00A029DF">
        <w:t xml:space="preserve">. </w:t>
      </w:r>
      <w:r w:rsidR="006F21D6">
        <w:t xml:space="preserve">It </w:t>
      </w:r>
      <w:r w:rsidR="00A029DF">
        <w:t>said:</w:t>
      </w:r>
    </w:p>
    <w:p w14:paraId="5A268FEB" w14:textId="77777777" w:rsidR="0017260C" w:rsidRPr="00271A0B" w:rsidRDefault="0017260C" w:rsidP="0017260C">
      <w:pPr>
        <w:pStyle w:val="ListParagraph"/>
        <w:numPr>
          <w:ilvl w:val="0"/>
          <w:numId w:val="0"/>
        </w:numPr>
        <w:spacing w:line="259" w:lineRule="auto"/>
        <w:ind w:left="851"/>
        <w:rPr>
          <w:sz w:val="21"/>
          <w:szCs w:val="21"/>
        </w:rPr>
      </w:pPr>
      <w:r w:rsidRPr="00271A0B">
        <w:rPr>
          <w:sz w:val="21"/>
          <w:szCs w:val="21"/>
        </w:rPr>
        <w:t xml:space="preserve">“Lot 1 refers to the UTC service currently provided at the HHFT hospital site in Basingstoke. Lot 2 refers to the UTC service which the Trust wishes to see provided on its Winchester site ahead of the winter 2026. Interested parties were asked to express an intention towards either or both Lots. It was possible that providers may only have had an interest in one or the other lots or that the MSP for Lot 1 might not be the MSP for Lot 2. </w:t>
      </w:r>
      <w:proofErr w:type="gramStart"/>
      <w:r w:rsidRPr="00271A0B">
        <w:rPr>
          <w:sz w:val="21"/>
          <w:szCs w:val="21"/>
        </w:rPr>
        <w:t>However</w:t>
      </w:r>
      <w:proofErr w:type="gramEnd"/>
      <w:r w:rsidRPr="00271A0B">
        <w:rPr>
          <w:sz w:val="21"/>
          <w:szCs w:val="21"/>
        </w:rPr>
        <w:t xml:space="preserve"> as each UTC would be able to function independently it was necessary to understand the interest and intentions of each provider”.</w:t>
      </w:r>
      <w:r>
        <w:rPr>
          <w:rStyle w:val="FootnoteReference"/>
          <w:sz w:val="21"/>
          <w:szCs w:val="21"/>
        </w:rPr>
        <w:footnoteReference w:id="41"/>
      </w:r>
    </w:p>
    <w:p w14:paraId="52F2B812" w14:textId="36921304" w:rsidR="00B25698" w:rsidRDefault="00366338" w:rsidP="00366338">
      <w:pPr>
        <w:pStyle w:val="ListParagraph"/>
      </w:pPr>
      <w:r>
        <w:t>The Panel notes that</w:t>
      </w:r>
      <w:r w:rsidR="00B25698">
        <w:t xml:space="preserve"> the provider assessment document, however, did not facilitate the selection of different providers for each lot as providers were not asked </w:t>
      </w:r>
      <w:r w:rsidR="00AE66EB">
        <w:t xml:space="preserve">for information separately with respect to each lot (see paragraph </w:t>
      </w:r>
      <w:r w:rsidR="00376913">
        <w:t>91</w:t>
      </w:r>
      <w:r w:rsidR="00266BE1">
        <w:t xml:space="preserve">). HHFT also told the Panel </w:t>
      </w:r>
      <w:r w:rsidR="007C0BD7">
        <w:t>that its evaluators produced a single set of scores and commentary covering both Basingstoke Hospital and Royal Hampshire Hospital UTCs, rather than separate assessments for each UTC.</w:t>
      </w:r>
      <w:r w:rsidR="007C0BD7">
        <w:rPr>
          <w:rStyle w:val="FootnoteReference"/>
          <w:sz w:val="21"/>
          <w:szCs w:val="21"/>
        </w:rPr>
        <w:footnoteReference w:id="42"/>
      </w:r>
    </w:p>
    <w:p w14:paraId="566C989C" w14:textId="185A6CCD" w:rsidR="00E408D3" w:rsidRDefault="009B00FA" w:rsidP="003E32E5">
      <w:pPr>
        <w:pStyle w:val="ListParagraph"/>
      </w:pPr>
      <w:r>
        <w:t>Later in the Panel’s review</w:t>
      </w:r>
      <w:r w:rsidR="00277621">
        <w:t xml:space="preserve">, </w:t>
      </w:r>
      <w:r w:rsidR="0069371D">
        <w:t xml:space="preserve">HFFT </w:t>
      </w:r>
      <w:r>
        <w:t xml:space="preserve">said </w:t>
      </w:r>
      <w:r w:rsidR="00DC5196">
        <w:t xml:space="preserve">that its intention was to award a contract for the Basingstoke </w:t>
      </w:r>
      <w:r w:rsidR="00025563">
        <w:t xml:space="preserve">Hospital </w:t>
      </w:r>
      <w:r w:rsidR="00DC5196">
        <w:t>UTC</w:t>
      </w:r>
      <w:r w:rsidR="0005773E">
        <w:t xml:space="preserve"> and to identify if potential providers might be interested in providing a service at both sites when the </w:t>
      </w:r>
      <w:r w:rsidR="005F149F">
        <w:t xml:space="preserve">Royal </w:t>
      </w:r>
      <w:r w:rsidR="0005773E">
        <w:t xml:space="preserve">Hampshire </w:t>
      </w:r>
      <w:r w:rsidR="008076E8">
        <w:t xml:space="preserve">Hospital </w:t>
      </w:r>
      <w:r w:rsidR="0005773E">
        <w:t>UTC was developed</w:t>
      </w:r>
      <w:r w:rsidR="00340E4D">
        <w:t xml:space="preserve">. HHFT told the Panel that it had </w:t>
      </w:r>
      <w:r w:rsidR="00890BE5">
        <w:t xml:space="preserve">made a contract award decision with respect to Basingstoke </w:t>
      </w:r>
      <w:r w:rsidR="00D344F6">
        <w:t>Hospital</w:t>
      </w:r>
      <w:r w:rsidR="00890BE5">
        <w:t xml:space="preserve"> but not </w:t>
      </w:r>
      <w:r w:rsidR="000648AA">
        <w:t xml:space="preserve">Royal </w:t>
      </w:r>
      <w:r w:rsidR="00890BE5">
        <w:t>Hampshire</w:t>
      </w:r>
      <w:r w:rsidR="008076E8" w:rsidRPr="008076E8">
        <w:t xml:space="preserve"> </w:t>
      </w:r>
      <w:r w:rsidR="008076E8">
        <w:t>Hospital</w:t>
      </w:r>
      <w:r w:rsidR="00E51725">
        <w:t xml:space="preserve">. It said that </w:t>
      </w:r>
      <w:r w:rsidR="00E51725" w:rsidRPr="005E3256">
        <w:t xml:space="preserve">“a number of details around the commencement and funding of this service are yet to be </w:t>
      </w:r>
      <w:r w:rsidR="00E51725" w:rsidRPr="005E3256">
        <w:lastRenderedPageBreak/>
        <w:t>confirmed”</w:t>
      </w:r>
      <w:r w:rsidR="00E51725">
        <w:t>,</w:t>
      </w:r>
      <w:r w:rsidR="00E51725" w:rsidRPr="00122160">
        <w:rPr>
          <w:rStyle w:val="FootnoteReference"/>
        </w:rPr>
        <w:footnoteReference w:id="43"/>
      </w:r>
      <w:r w:rsidR="00B266D6">
        <w:t xml:space="preserve"> and that a contract award decision with respect to </w:t>
      </w:r>
      <w:r w:rsidR="005F149F">
        <w:t xml:space="preserve">Royal </w:t>
      </w:r>
      <w:r w:rsidR="00B266D6">
        <w:t xml:space="preserve">Hampshire </w:t>
      </w:r>
      <w:r w:rsidR="008076E8">
        <w:t xml:space="preserve">Hospital </w:t>
      </w:r>
      <w:r w:rsidR="00B266D6">
        <w:t>UTC would be made at a later date.</w:t>
      </w:r>
      <w:r w:rsidR="008E5A9F">
        <w:rPr>
          <w:rStyle w:val="FootnoteReference"/>
          <w:sz w:val="21"/>
          <w:szCs w:val="21"/>
        </w:rPr>
        <w:footnoteReference w:id="44"/>
      </w:r>
    </w:p>
    <w:p w14:paraId="3C8ECCB7" w14:textId="445A65B8" w:rsidR="00530437" w:rsidRDefault="00DE2829" w:rsidP="009F5235">
      <w:pPr>
        <w:pStyle w:val="ListParagraph"/>
        <w:spacing w:after="120"/>
      </w:pPr>
      <w:r>
        <w:t xml:space="preserve">HHFT </w:t>
      </w:r>
      <w:r w:rsidR="00B65FBA">
        <w:t>subsequently</w:t>
      </w:r>
      <w:r w:rsidR="00FC1FB8">
        <w:t xml:space="preserve"> </w:t>
      </w:r>
      <w:r>
        <w:t>told the Panel that</w:t>
      </w:r>
      <w:r w:rsidR="0074369C">
        <w:t>:</w:t>
      </w:r>
    </w:p>
    <w:p w14:paraId="1E9F71B8" w14:textId="020D8B82" w:rsidR="0074369C" w:rsidRPr="009F5235" w:rsidRDefault="0074369C" w:rsidP="009F5235">
      <w:pPr>
        <w:pStyle w:val="ListParagraph"/>
        <w:numPr>
          <w:ilvl w:val="0"/>
          <w:numId w:val="0"/>
        </w:numPr>
        <w:spacing w:after="120" w:line="259" w:lineRule="auto"/>
        <w:ind w:left="851"/>
        <w:rPr>
          <w:sz w:val="21"/>
          <w:szCs w:val="21"/>
        </w:rPr>
      </w:pPr>
      <w:r w:rsidRPr="009F5235">
        <w:rPr>
          <w:sz w:val="21"/>
          <w:szCs w:val="21"/>
        </w:rPr>
        <w:t>“HHFT has only intended to award a contract for the UTC in Basingstoke and not Winchester [Royal Hampshire Hospital]</w:t>
      </w:r>
      <w:r w:rsidR="00F41717" w:rsidRPr="009F5235">
        <w:rPr>
          <w:sz w:val="21"/>
          <w:szCs w:val="21"/>
        </w:rPr>
        <w:t xml:space="preserve"> as a separate UTC or an extension of the Basingstoke Service. The contract for a second UTC</w:t>
      </w:r>
      <w:r w:rsidR="000A0B6C" w:rsidRPr="009F5235">
        <w:rPr>
          <w:sz w:val="21"/>
          <w:szCs w:val="21"/>
        </w:rPr>
        <w:t xml:space="preserve"> at Winchester will be let following a separate process when the funding for this service is made available.</w:t>
      </w:r>
    </w:p>
    <w:p w14:paraId="00D29993" w14:textId="156876BA" w:rsidR="000A0B6C" w:rsidRPr="009F5235" w:rsidRDefault="000A0B6C" w:rsidP="009F5235">
      <w:pPr>
        <w:pStyle w:val="ListParagraph"/>
        <w:numPr>
          <w:ilvl w:val="0"/>
          <w:numId w:val="0"/>
        </w:numPr>
        <w:spacing w:line="259" w:lineRule="auto"/>
        <w:ind w:left="851"/>
        <w:rPr>
          <w:sz w:val="21"/>
          <w:szCs w:val="21"/>
        </w:rPr>
      </w:pPr>
      <w:r w:rsidRPr="009F5235">
        <w:rPr>
          <w:sz w:val="21"/>
          <w:szCs w:val="21"/>
        </w:rPr>
        <w:t xml:space="preserve">“We were interested to hear from providers in respect of their ideas and abilities to provide a UTC at both sites. A provider who is capable of providing both UTCs will likely provide a service which is more resilient and potentially more efficient that two entirely distinct services. </w:t>
      </w:r>
      <w:proofErr w:type="gramStart"/>
      <w:r w:rsidRPr="009F5235">
        <w:rPr>
          <w:sz w:val="21"/>
          <w:szCs w:val="21"/>
        </w:rPr>
        <w:t>Therefore</w:t>
      </w:r>
      <w:proofErr w:type="gramEnd"/>
      <w:r w:rsidRPr="009F5235">
        <w:rPr>
          <w:sz w:val="21"/>
          <w:szCs w:val="21"/>
        </w:rPr>
        <w:t xml:space="preserve"> a provider able to manage both UTCs is likely to be a more suitable provider in the eyes of the Trust.”</w:t>
      </w:r>
      <w:r>
        <w:rPr>
          <w:rStyle w:val="FootnoteReference"/>
          <w:sz w:val="21"/>
          <w:szCs w:val="21"/>
        </w:rPr>
        <w:footnoteReference w:id="45"/>
      </w:r>
    </w:p>
    <w:p w14:paraId="244D62DB" w14:textId="2FB6D74F" w:rsidR="00216D5D" w:rsidRDefault="009A46AC" w:rsidP="009F5235">
      <w:pPr>
        <w:pStyle w:val="ListParagraph"/>
        <w:spacing w:after="120"/>
        <w:contextualSpacing/>
      </w:pPr>
      <w:r>
        <w:t xml:space="preserve">The Panel notes that </w:t>
      </w:r>
      <w:r w:rsidR="00E77E60">
        <w:t>HHFT’s</w:t>
      </w:r>
      <w:r>
        <w:t xml:space="preserve"> </w:t>
      </w:r>
      <w:r w:rsidR="00B10F18">
        <w:t>final explanation</w:t>
      </w:r>
      <w:r w:rsidR="00E77E60">
        <w:t xml:space="preserve">, namely that it </w:t>
      </w:r>
      <w:r w:rsidR="00B10F18">
        <w:t xml:space="preserve">only intended to </w:t>
      </w:r>
      <w:r w:rsidR="00A223ED">
        <w:t xml:space="preserve">select a provider </w:t>
      </w:r>
      <w:r w:rsidR="00B10F18">
        <w:t>for the Basingstoke</w:t>
      </w:r>
      <w:r w:rsidR="00A223ED">
        <w:t xml:space="preserve"> Hospital</w:t>
      </w:r>
      <w:r w:rsidR="00B10F18">
        <w:t xml:space="preserve"> UTC</w:t>
      </w:r>
      <w:r w:rsidR="00A223ED">
        <w:t>,</w:t>
      </w:r>
      <w:r w:rsidR="00D40CD7">
        <w:t xml:space="preserve"> and that a separate process for </w:t>
      </w:r>
      <w:r w:rsidR="00801A17">
        <w:t xml:space="preserve">the Royal Hampshire Hospital UTC will be conducted at a later date </w:t>
      </w:r>
      <w:r w:rsidR="00477FC6">
        <w:t>is:</w:t>
      </w:r>
    </w:p>
    <w:p w14:paraId="3A9296C8" w14:textId="48987571" w:rsidR="00216D5D" w:rsidRDefault="00271C49" w:rsidP="00275210">
      <w:pPr>
        <w:pStyle w:val="ListParagraph"/>
        <w:numPr>
          <w:ilvl w:val="0"/>
          <w:numId w:val="28"/>
        </w:numPr>
        <w:spacing w:after="120"/>
        <w:contextualSpacing/>
      </w:pPr>
      <w:r>
        <w:t>inconsistent</w:t>
      </w:r>
      <w:r w:rsidR="00477FC6">
        <w:t xml:space="preserve"> with </w:t>
      </w:r>
      <w:r w:rsidR="00545E62">
        <w:t xml:space="preserve">its </w:t>
      </w:r>
      <w:r w:rsidR="00477FC6">
        <w:t xml:space="preserve">provider selection process, </w:t>
      </w:r>
      <w:r w:rsidR="00460CE2">
        <w:t>where the documentation clearly indicates an intention to select a provider for Lot 2</w:t>
      </w:r>
      <w:r w:rsidR="00A27503">
        <w:t>; and</w:t>
      </w:r>
    </w:p>
    <w:p w14:paraId="0FB46B68" w14:textId="2771E209" w:rsidR="00216D5D" w:rsidRDefault="00533F5D" w:rsidP="00BD0BD8">
      <w:pPr>
        <w:pStyle w:val="ListParagraph"/>
        <w:numPr>
          <w:ilvl w:val="0"/>
          <w:numId w:val="28"/>
        </w:numPr>
      </w:pPr>
      <w:r>
        <w:t>inconsistent</w:t>
      </w:r>
      <w:r w:rsidR="00EE511A">
        <w:t xml:space="preserve"> with </w:t>
      </w:r>
      <w:r w:rsidR="00216D5D">
        <w:t xml:space="preserve">the letter sent to the successful provider, </w:t>
      </w:r>
      <w:proofErr w:type="spellStart"/>
      <w:r w:rsidR="00216D5D">
        <w:t>Atrumed</w:t>
      </w:r>
      <w:proofErr w:type="spellEnd"/>
      <w:r w:rsidR="00216D5D">
        <w:t xml:space="preserve">, which says that </w:t>
      </w:r>
      <w:proofErr w:type="spellStart"/>
      <w:r w:rsidR="00216D5D">
        <w:t>Atrumed</w:t>
      </w:r>
      <w:proofErr w:type="spellEnd"/>
      <w:r w:rsidR="00216D5D">
        <w:t xml:space="preserve"> is the preferred provider for Lots 1 and 2.</w:t>
      </w:r>
    </w:p>
    <w:p w14:paraId="030006F3" w14:textId="0BB6D4A1" w:rsidR="0025576A" w:rsidRDefault="004A4FAB" w:rsidP="003E32E5">
      <w:pPr>
        <w:pStyle w:val="ListParagraph"/>
      </w:pPr>
      <w:r>
        <w:t xml:space="preserve">The </w:t>
      </w:r>
      <w:r w:rsidR="00FA48B8">
        <w:t>Panel also notes that</w:t>
      </w:r>
      <w:r w:rsidR="00167381">
        <w:t xml:space="preserve"> </w:t>
      </w:r>
      <w:r w:rsidR="004413A5">
        <w:t>all of the submissions made by providers were for the provision of services at both UTCs</w:t>
      </w:r>
      <w:r w:rsidR="00413D87">
        <w:t xml:space="preserve">, meaning that </w:t>
      </w:r>
      <w:r w:rsidR="00A23A15">
        <w:t xml:space="preserve">HHFT’s selection of a provider for Basingstoke Hospital UTC </w:t>
      </w:r>
      <w:r w:rsidR="007139BD">
        <w:t xml:space="preserve">was based on submissions </w:t>
      </w:r>
      <w:r w:rsidR="00F25264">
        <w:t xml:space="preserve">that </w:t>
      </w:r>
      <w:r w:rsidR="007139BD">
        <w:t>concern</w:t>
      </w:r>
      <w:r w:rsidR="00F25264">
        <w:t xml:space="preserve">ed </w:t>
      </w:r>
      <w:r w:rsidR="007139BD">
        <w:t xml:space="preserve">the operation of both UTCs. </w:t>
      </w:r>
      <w:r w:rsidR="0025576A">
        <w:t>The Panel’s view is that providers</w:t>
      </w:r>
      <w:r w:rsidR="007139BD">
        <w:t xml:space="preserve">’ submissions </w:t>
      </w:r>
      <w:r w:rsidR="000E6409">
        <w:t xml:space="preserve">may </w:t>
      </w:r>
      <w:r w:rsidR="0025576A">
        <w:t xml:space="preserve">have </w:t>
      </w:r>
      <w:r w:rsidR="007139BD">
        <w:t>been</w:t>
      </w:r>
      <w:r w:rsidR="0025576A">
        <w:t xml:space="preserve"> different if it </w:t>
      </w:r>
      <w:r w:rsidR="007139BD">
        <w:t xml:space="preserve">was </w:t>
      </w:r>
      <w:r w:rsidR="0025576A">
        <w:t xml:space="preserve">clear that HHFT was only selecting a provider for the Basingstoke </w:t>
      </w:r>
      <w:r w:rsidR="009318EB">
        <w:t xml:space="preserve">Hospital </w:t>
      </w:r>
      <w:r w:rsidR="0025576A">
        <w:t>UTC.</w:t>
      </w:r>
    </w:p>
    <w:p w14:paraId="73C43C40" w14:textId="5E6326A1" w:rsidR="0004316B" w:rsidRDefault="002A0D9B" w:rsidP="003E32E5">
      <w:pPr>
        <w:pStyle w:val="ListParagraph"/>
      </w:pPr>
      <w:r>
        <w:t xml:space="preserve">As a result, the Panel finds that HHFT, in </w:t>
      </w:r>
      <w:r w:rsidR="00B02ABC">
        <w:t xml:space="preserve">selecting a provider for the Basingstoke Hospital UTC based on </w:t>
      </w:r>
      <w:r>
        <w:t xml:space="preserve">proposals </w:t>
      </w:r>
      <w:r w:rsidR="00652C08">
        <w:t xml:space="preserve">that were </w:t>
      </w:r>
      <w:r w:rsidR="0078103B">
        <w:t xml:space="preserve">prepared on the basis of a single operator being selected for </w:t>
      </w:r>
      <w:r w:rsidR="00A40038">
        <w:t xml:space="preserve">the UTC services at </w:t>
      </w:r>
      <w:r w:rsidR="00B02ABC">
        <w:t xml:space="preserve">Basingstoke </w:t>
      </w:r>
      <w:r w:rsidR="00A40038">
        <w:t xml:space="preserve">Hospital </w:t>
      </w:r>
      <w:r w:rsidR="00B02ABC">
        <w:t xml:space="preserve">and Royal Hampshire Hospitals, </w:t>
      </w:r>
      <w:r w:rsidR="00E80804">
        <w:t>breached the PSR regulations</w:t>
      </w:r>
      <w:r w:rsidR="00220119">
        <w:t>,</w:t>
      </w:r>
      <w:r w:rsidR="00E80804">
        <w:t xml:space="preserve"> and in particular </w:t>
      </w:r>
      <w:r w:rsidR="00170C63">
        <w:t xml:space="preserve">Regulation 4(1)(b) </w:t>
      </w:r>
      <w:r w:rsidR="00EF55FC">
        <w:t xml:space="preserve">which requires commissioners </w:t>
      </w:r>
      <w:r w:rsidR="00E80804">
        <w:t>to act transparently and fairly.</w:t>
      </w:r>
    </w:p>
    <w:p w14:paraId="25100D7F" w14:textId="3AB72C1C" w:rsidR="00445678" w:rsidRPr="005E3256" w:rsidRDefault="000275F7" w:rsidP="00445678">
      <w:pPr>
        <w:keepNext/>
        <w:spacing w:before="240"/>
        <w:rPr>
          <w:b/>
          <w:bCs/>
        </w:rPr>
      </w:pPr>
      <w:r>
        <w:rPr>
          <w:b/>
          <w:bCs/>
        </w:rPr>
        <w:t xml:space="preserve">7.2.3 </w:t>
      </w:r>
      <w:r w:rsidR="00445678">
        <w:rPr>
          <w:b/>
          <w:bCs/>
        </w:rPr>
        <w:t>Application of the basic selection criteria</w:t>
      </w:r>
    </w:p>
    <w:p w14:paraId="1390FE6C" w14:textId="5734B952" w:rsidR="00917822" w:rsidRDefault="00917822" w:rsidP="00445678">
      <w:pPr>
        <w:pStyle w:val="ListParagraph"/>
      </w:pPr>
      <w:r>
        <w:t>This section discusses HHFT’s application of the basic selection criteria during its provider selection process.</w:t>
      </w:r>
    </w:p>
    <w:p w14:paraId="0ECF4060" w14:textId="700CC5CA" w:rsidR="00986F86" w:rsidRDefault="00986F86" w:rsidP="00445678">
      <w:pPr>
        <w:pStyle w:val="ListParagraph"/>
      </w:pPr>
      <w:r>
        <w:t xml:space="preserve">The PSR regulations </w:t>
      </w:r>
      <w:r w:rsidR="008E20AB">
        <w:t xml:space="preserve">set out requirements related to the basic selection criteria </w:t>
      </w:r>
      <w:r w:rsidR="00F2552C">
        <w:t>with respect to the MSP process in Regulation 10 and</w:t>
      </w:r>
      <w:r w:rsidR="00F83824">
        <w:t>,</w:t>
      </w:r>
      <w:r w:rsidR="00F2552C">
        <w:t xml:space="preserve"> more generally</w:t>
      </w:r>
      <w:r w:rsidR="00F83824">
        <w:t>,</w:t>
      </w:r>
      <w:r w:rsidR="00F2552C">
        <w:t xml:space="preserve"> in Regulation 19.</w:t>
      </w:r>
    </w:p>
    <w:p w14:paraId="35B8D998" w14:textId="008BA774" w:rsidR="00A7019D" w:rsidRDefault="00193A68" w:rsidP="00C564A8">
      <w:pPr>
        <w:pStyle w:val="ListParagraph"/>
        <w:contextualSpacing/>
      </w:pPr>
      <w:r>
        <w:t>Regarding</w:t>
      </w:r>
      <w:r w:rsidR="005D02A2">
        <w:t xml:space="preserve"> </w:t>
      </w:r>
      <w:r w:rsidR="004628F6">
        <w:t xml:space="preserve">the </w:t>
      </w:r>
      <w:r w:rsidR="003C3535">
        <w:t>app</w:t>
      </w:r>
      <w:r w:rsidR="00EB4DE4">
        <w:t xml:space="preserve">lication of </w:t>
      </w:r>
      <w:r w:rsidR="004628F6">
        <w:t xml:space="preserve">basic selection criteria </w:t>
      </w:r>
      <w:r w:rsidR="005D02A2">
        <w:t xml:space="preserve">in </w:t>
      </w:r>
      <w:r w:rsidR="004628F6">
        <w:t>the MSP process</w:t>
      </w:r>
      <w:r w:rsidR="00A7019D">
        <w:t>:</w:t>
      </w:r>
    </w:p>
    <w:p w14:paraId="54B01BCD" w14:textId="77777777" w:rsidR="00A7019D" w:rsidRDefault="0068755E" w:rsidP="00C564A8">
      <w:pPr>
        <w:pStyle w:val="ListParagraph"/>
        <w:numPr>
          <w:ilvl w:val="0"/>
          <w:numId w:val="31"/>
        </w:numPr>
        <w:ind w:left="1134"/>
        <w:contextualSpacing/>
      </w:pPr>
      <w:r>
        <w:t>Regulation 10(4) says that, u</w:t>
      </w:r>
      <w:r w:rsidR="00845741">
        <w:t xml:space="preserve">nder the MSP process, </w:t>
      </w:r>
      <w:r w:rsidR="00940A3F">
        <w:t xml:space="preserve">the </w:t>
      </w:r>
      <w:r w:rsidR="00845741">
        <w:t xml:space="preserve">commissioner </w:t>
      </w:r>
      <w:r w:rsidR="00F27588">
        <w:t>“</w:t>
      </w:r>
      <w:r w:rsidR="00845741">
        <w:t>identif</w:t>
      </w:r>
      <w:r w:rsidR="00940A3F">
        <w:t xml:space="preserve">ies </w:t>
      </w:r>
      <w:r w:rsidR="00845741">
        <w:t>potential providers who may be the most suitable provider, with reference to the key criteria and the basic selection criteria</w:t>
      </w:r>
      <w:r w:rsidR="00940A3F">
        <w:t>”</w:t>
      </w:r>
      <w:r w:rsidR="00E63FDD">
        <w:t>.</w:t>
      </w:r>
    </w:p>
    <w:p w14:paraId="73E27A3B" w14:textId="08A3C74A" w:rsidR="00445678" w:rsidRDefault="004628F6" w:rsidP="00C564A8">
      <w:pPr>
        <w:pStyle w:val="ListParagraph"/>
        <w:numPr>
          <w:ilvl w:val="0"/>
          <w:numId w:val="31"/>
        </w:numPr>
        <w:ind w:left="1134"/>
      </w:pPr>
      <w:r>
        <w:lastRenderedPageBreak/>
        <w:t xml:space="preserve">Regulation 10(6) says that </w:t>
      </w:r>
      <w:r w:rsidR="00940A3F">
        <w:t xml:space="preserve">the </w:t>
      </w:r>
      <w:r>
        <w:t>c</w:t>
      </w:r>
      <w:r w:rsidR="00E63FDD">
        <w:t xml:space="preserve">ommissioner </w:t>
      </w:r>
      <w:r w:rsidR="00215A1B">
        <w:t>“</w:t>
      </w:r>
      <w:r w:rsidR="00E63FDD">
        <w:t>assess</w:t>
      </w:r>
      <w:r w:rsidR="00215A1B">
        <w:t>es</w:t>
      </w:r>
      <w:r w:rsidR="00E63FDD">
        <w:t xml:space="preserve"> the potential providers identified </w:t>
      </w:r>
      <w:r w:rsidR="00215A1B">
        <w:t xml:space="preserve">… </w:t>
      </w:r>
      <w:r w:rsidR="00E63FDD">
        <w:t xml:space="preserve">and </w:t>
      </w:r>
      <w:r w:rsidR="00F07990">
        <w:t>choose</w:t>
      </w:r>
      <w:r w:rsidR="00215A1B">
        <w:t>s, taking into account the key criteria and applying the basic selection criteria</w:t>
      </w:r>
      <w:r w:rsidR="00182E48">
        <w:t xml:space="preserve">, </w:t>
      </w:r>
      <w:r w:rsidR="00F07990">
        <w:t xml:space="preserve">the most suitable provider </w:t>
      </w:r>
      <w:r w:rsidR="00182E48">
        <w:t>to whom to make an award”</w:t>
      </w:r>
      <w:r w:rsidR="00F07990">
        <w:t>.</w:t>
      </w:r>
    </w:p>
    <w:p w14:paraId="33C52043" w14:textId="77777777" w:rsidR="00193A68" w:rsidRDefault="00193A68" w:rsidP="00AE7E3A">
      <w:pPr>
        <w:pStyle w:val="ListParagraph"/>
        <w:contextualSpacing/>
      </w:pPr>
      <w:r>
        <w:t>Regarding the more general requirements for basic selection criteria:</w:t>
      </w:r>
    </w:p>
    <w:p w14:paraId="61403723" w14:textId="77777777" w:rsidR="00AE7E3A" w:rsidRDefault="00193A68" w:rsidP="00AE7E3A">
      <w:pPr>
        <w:pStyle w:val="ListParagraph"/>
        <w:numPr>
          <w:ilvl w:val="0"/>
          <w:numId w:val="32"/>
        </w:numPr>
        <w:ind w:left="1134"/>
        <w:contextualSpacing/>
      </w:pPr>
      <w:r>
        <w:t xml:space="preserve">Regulation 19(1) says that </w:t>
      </w:r>
      <w:r w:rsidR="009D303C">
        <w:t>a commissioner “must not award a contract to</w:t>
      </w:r>
      <w:r w:rsidR="00D45AFE">
        <w:t xml:space="preserve"> … a provider who does not meet the basic selection criteria</w:t>
      </w:r>
      <w:r w:rsidR="000822EF">
        <w:t>”</w:t>
      </w:r>
      <w:r w:rsidR="00922517">
        <w:t>.</w:t>
      </w:r>
      <w:r w:rsidR="00F73051">
        <w:rPr>
          <w:rStyle w:val="FootnoteReference"/>
        </w:rPr>
        <w:footnoteReference w:id="46"/>
      </w:r>
    </w:p>
    <w:p w14:paraId="14531B0B" w14:textId="77777777" w:rsidR="00AE7E3A" w:rsidRDefault="00D86190" w:rsidP="00AE7E3A">
      <w:pPr>
        <w:pStyle w:val="ListParagraph"/>
        <w:numPr>
          <w:ilvl w:val="0"/>
          <w:numId w:val="32"/>
        </w:numPr>
        <w:ind w:left="1134"/>
        <w:contextualSpacing/>
      </w:pPr>
      <w:r>
        <w:t>Regulation 19(3) says that c</w:t>
      </w:r>
      <w:r w:rsidR="00443B92">
        <w:t xml:space="preserve">ommissioners must determine the basic selection criteria in accordance with </w:t>
      </w:r>
      <w:r w:rsidR="00266C6F">
        <w:t>Schedule 16 of the PSR regulations</w:t>
      </w:r>
      <w:r w:rsidR="005178BF">
        <w:t>.</w:t>
      </w:r>
    </w:p>
    <w:p w14:paraId="658FBCD9" w14:textId="141B01A1" w:rsidR="00D87226" w:rsidRDefault="005178BF" w:rsidP="00AE7E3A">
      <w:pPr>
        <w:pStyle w:val="ListParagraph"/>
        <w:numPr>
          <w:ilvl w:val="0"/>
          <w:numId w:val="32"/>
        </w:numPr>
        <w:ind w:left="1134"/>
      </w:pPr>
      <w:r>
        <w:t xml:space="preserve">Schedule 16 says that the basic selection criteria </w:t>
      </w:r>
      <w:r w:rsidR="00722A07">
        <w:t xml:space="preserve">must </w:t>
      </w:r>
      <w:r w:rsidR="00D37AC4">
        <w:t xml:space="preserve">only </w:t>
      </w:r>
      <w:r w:rsidR="00722A07">
        <w:t xml:space="preserve">relate to providers’ </w:t>
      </w:r>
      <w:r w:rsidR="007D4500">
        <w:t>(</w:t>
      </w:r>
      <w:proofErr w:type="spellStart"/>
      <w:r w:rsidR="00187DCE">
        <w:t>i</w:t>
      </w:r>
      <w:proofErr w:type="spellEnd"/>
      <w:r w:rsidR="00187DCE">
        <w:t>)</w:t>
      </w:r>
      <w:r w:rsidR="00047EDE">
        <w:t> </w:t>
      </w:r>
      <w:r w:rsidR="00722A07">
        <w:t xml:space="preserve">suitability to pursue a particular activity, </w:t>
      </w:r>
      <w:r w:rsidR="007D4500">
        <w:t>(</w:t>
      </w:r>
      <w:r w:rsidR="00187DCE">
        <w:t xml:space="preserve">ii) </w:t>
      </w:r>
      <w:r w:rsidR="00722A07">
        <w:t xml:space="preserve">economic and financial standing, and </w:t>
      </w:r>
      <w:r w:rsidR="007D4500">
        <w:t>(</w:t>
      </w:r>
      <w:r w:rsidR="00187DCE">
        <w:t xml:space="preserve">iii) </w:t>
      </w:r>
      <w:r w:rsidR="00722A07">
        <w:t>technical and professional ability.</w:t>
      </w:r>
    </w:p>
    <w:p w14:paraId="15356500" w14:textId="6AC075BF" w:rsidR="00B1446E" w:rsidRDefault="00B1446E" w:rsidP="009F5235">
      <w:pPr>
        <w:pStyle w:val="ListParagraph"/>
        <w:spacing w:after="120"/>
        <w:contextualSpacing/>
      </w:pPr>
      <w:r>
        <w:t>HHFT told the Panel that the basic selection criteria were not addressed as a standalone exercise but were tested as follows during the procurement process:</w:t>
      </w:r>
    </w:p>
    <w:p w14:paraId="18BD97F3" w14:textId="59D3883D" w:rsidR="00B1446E" w:rsidRDefault="00B1446E" w:rsidP="00BD0BD8">
      <w:pPr>
        <w:pStyle w:val="ListParagraph"/>
        <w:numPr>
          <w:ilvl w:val="0"/>
          <w:numId w:val="15"/>
        </w:numPr>
        <w:spacing w:after="120"/>
        <w:contextualSpacing/>
      </w:pPr>
      <w:r>
        <w:t>Suitability to pursue a particular activity – through initial market engagement, testing their service offering and capabilities on offer</w:t>
      </w:r>
      <w:r w:rsidR="0079279F">
        <w:t>;</w:t>
      </w:r>
    </w:p>
    <w:p w14:paraId="754FFC3A" w14:textId="70364135" w:rsidR="00B1446E" w:rsidRDefault="0079279F" w:rsidP="00BD0BD8">
      <w:pPr>
        <w:pStyle w:val="ListParagraph"/>
        <w:numPr>
          <w:ilvl w:val="0"/>
          <w:numId w:val="15"/>
        </w:numPr>
        <w:spacing w:after="120"/>
        <w:contextualSpacing/>
      </w:pPr>
      <w:r>
        <w:t>E</w:t>
      </w:r>
      <w:r w:rsidR="00B1446E">
        <w:t xml:space="preserve">conomic and financial standing </w:t>
      </w:r>
      <w:r>
        <w:t>–</w:t>
      </w:r>
      <w:r w:rsidR="00B1446E">
        <w:t xml:space="preserve"> </w:t>
      </w:r>
      <w:r>
        <w:t>through a Dun &amp; Bradstreet Report (that was only obtained for the successful participant); and</w:t>
      </w:r>
    </w:p>
    <w:p w14:paraId="5C03F830" w14:textId="3F33A619" w:rsidR="00B1446E" w:rsidRDefault="0079279F" w:rsidP="00BD0BD8">
      <w:pPr>
        <w:pStyle w:val="ListParagraph"/>
        <w:numPr>
          <w:ilvl w:val="0"/>
          <w:numId w:val="15"/>
        </w:numPr>
      </w:pPr>
      <w:r>
        <w:t>T</w:t>
      </w:r>
      <w:r w:rsidR="00B1446E">
        <w:t>echnical and professional ability</w:t>
      </w:r>
      <w:r>
        <w:t xml:space="preserve"> – through the assessment of written proposals and supplier meetings.</w:t>
      </w:r>
      <w:r>
        <w:rPr>
          <w:rStyle w:val="FootnoteReference"/>
        </w:rPr>
        <w:footnoteReference w:id="47"/>
      </w:r>
    </w:p>
    <w:p w14:paraId="6EA6AB54" w14:textId="48101921" w:rsidR="00E26021" w:rsidRDefault="00E26021" w:rsidP="00E26021">
      <w:pPr>
        <w:pStyle w:val="ListParagraph"/>
      </w:pPr>
      <w:r>
        <w:t xml:space="preserve">The Panel notes that HHFT’s explanation </w:t>
      </w:r>
      <w:r w:rsidR="00AC1751">
        <w:t xml:space="preserve">is not supported by any </w:t>
      </w:r>
      <w:r>
        <w:t>evidence that</w:t>
      </w:r>
      <w:r w:rsidR="00E97ECE">
        <w:t>: (</w:t>
      </w:r>
      <w:proofErr w:type="spellStart"/>
      <w:r w:rsidR="00E97ECE">
        <w:t>i</w:t>
      </w:r>
      <w:proofErr w:type="spellEnd"/>
      <w:r w:rsidR="00E97ECE">
        <w:t>)</w:t>
      </w:r>
      <w:r>
        <w:t xml:space="preserve"> any basic selection criteria were formulated by HHFT</w:t>
      </w:r>
      <w:r w:rsidR="008E7D2C">
        <w:t xml:space="preserve"> in advance of the provider selection process</w:t>
      </w:r>
      <w:r w:rsidR="00E97ECE">
        <w:t>; (ii)</w:t>
      </w:r>
      <w:r>
        <w:t xml:space="preserve"> </w:t>
      </w:r>
      <w:r w:rsidR="00F70B84">
        <w:t xml:space="preserve">providers were </w:t>
      </w:r>
      <w:r w:rsidR="003E0986">
        <w:t>explicit</w:t>
      </w:r>
      <w:r w:rsidR="00F70B84">
        <w:t>ly</w:t>
      </w:r>
      <w:r w:rsidR="003E0986">
        <w:t xml:space="preserve"> </w:t>
      </w:r>
      <w:r>
        <w:t>evaluat</w:t>
      </w:r>
      <w:r w:rsidR="00F70B84">
        <w:t xml:space="preserve">ed </w:t>
      </w:r>
      <w:r>
        <w:t>against</w:t>
      </w:r>
      <w:r w:rsidR="00AE50FD">
        <w:t xml:space="preserve"> </w:t>
      </w:r>
      <w:r w:rsidR="00885F69">
        <w:t xml:space="preserve">any </w:t>
      </w:r>
      <w:r>
        <w:t>basic selection criteria</w:t>
      </w:r>
      <w:r w:rsidR="00E97ECE">
        <w:t xml:space="preserve"> that were adopted by HHFT</w:t>
      </w:r>
      <w:r w:rsidR="00885F69">
        <w:t>; (iii)</w:t>
      </w:r>
      <w:r>
        <w:t xml:space="preserve"> any records were kept regarding the basic selection criteria</w:t>
      </w:r>
      <w:r w:rsidR="00885F69">
        <w:t>;</w:t>
      </w:r>
      <w:r>
        <w:t xml:space="preserve"> or </w:t>
      </w:r>
      <w:r w:rsidR="00885F69">
        <w:t xml:space="preserve">(iv) </w:t>
      </w:r>
      <w:r>
        <w:t xml:space="preserve">any information about </w:t>
      </w:r>
      <w:r w:rsidR="002A0285">
        <w:t xml:space="preserve">the </w:t>
      </w:r>
      <w:r>
        <w:t xml:space="preserve">basic selection criteria were shared with </w:t>
      </w:r>
      <w:r w:rsidR="004B1559">
        <w:t xml:space="preserve">(or specifically requested from) </w:t>
      </w:r>
      <w:r>
        <w:t>providers as part of the provider selection process.</w:t>
      </w:r>
    </w:p>
    <w:p w14:paraId="19F80FB0" w14:textId="0D928665" w:rsidR="00FE22BE" w:rsidRDefault="00FE22BE" w:rsidP="00445678">
      <w:pPr>
        <w:pStyle w:val="ListParagraph"/>
      </w:pPr>
      <w:r>
        <w:t xml:space="preserve">As a result, the Panel finds that HHFT, in failing to </w:t>
      </w:r>
      <w:r w:rsidR="007971B6">
        <w:t xml:space="preserve">determine the basic selection criteria and assess providers against these criteria, breached the PSR regulations, and in particular Regulations </w:t>
      </w:r>
      <w:r w:rsidR="00332DF8">
        <w:t>10(4), 10(6)</w:t>
      </w:r>
      <w:r w:rsidR="004C062E">
        <w:t xml:space="preserve">, </w:t>
      </w:r>
      <w:r w:rsidR="00332DF8">
        <w:t>19(1)</w:t>
      </w:r>
      <w:r w:rsidR="004C062E">
        <w:t xml:space="preserve"> and 19(3)</w:t>
      </w:r>
      <w:r w:rsidR="00332DF8">
        <w:t xml:space="preserve">, which require the formulation and application of basic selection criteria </w:t>
      </w:r>
      <w:r w:rsidR="00E46237">
        <w:t>before any contract is awarded.</w:t>
      </w:r>
    </w:p>
    <w:p w14:paraId="4C0C7009" w14:textId="43E5E720" w:rsidR="003812F2" w:rsidRDefault="003812F2" w:rsidP="00445678">
      <w:pPr>
        <w:pStyle w:val="ListParagraph"/>
      </w:pPr>
      <w:r>
        <w:t xml:space="preserve">The Panel also finds that HHFT, </w:t>
      </w:r>
      <w:r w:rsidR="008417EF">
        <w:t xml:space="preserve">in failing to keep records </w:t>
      </w:r>
      <w:r w:rsidR="005B42EF">
        <w:t xml:space="preserve">concerning the basic selection criteria, </w:t>
      </w:r>
      <w:r w:rsidR="007E28B9">
        <w:t xml:space="preserve">breached </w:t>
      </w:r>
      <w:r w:rsidR="00F10C3B">
        <w:t>the PSR regulations</w:t>
      </w:r>
      <w:r w:rsidR="00EF1F0C">
        <w:t>,</w:t>
      </w:r>
      <w:r w:rsidR="00F10C3B">
        <w:t xml:space="preserve"> and in particular </w:t>
      </w:r>
      <w:r w:rsidR="007E28B9">
        <w:t>Regulation 24(e) which requires commissioners</w:t>
      </w:r>
      <w:r w:rsidR="00200918">
        <w:t>, when using the MSP process</w:t>
      </w:r>
      <w:r w:rsidR="00381473">
        <w:t>, to keep a re</w:t>
      </w:r>
      <w:r w:rsidR="00142F6E">
        <w:t>cord o</w:t>
      </w:r>
      <w:r w:rsidR="00D473CA">
        <w:t xml:space="preserve">f “the way in which </w:t>
      </w:r>
      <w:r w:rsidR="002D4DE2">
        <w:t>… the basic selection criteria were assessed when making decisions”.</w:t>
      </w:r>
    </w:p>
    <w:p w14:paraId="4BF2118B" w14:textId="78F2FCAD" w:rsidR="0020207A" w:rsidRPr="00B65B60" w:rsidRDefault="000275F7" w:rsidP="005E3256">
      <w:pPr>
        <w:keepNext/>
        <w:spacing w:before="240" w:line="276" w:lineRule="auto"/>
        <w:rPr>
          <w:b/>
          <w:bCs/>
        </w:rPr>
      </w:pPr>
      <w:r>
        <w:rPr>
          <w:b/>
          <w:bCs/>
        </w:rPr>
        <w:t xml:space="preserve">7.2.4 </w:t>
      </w:r>
      <w:r w:rsidR="00DD25F7">
        <w:rPr>
          <w:b/>
          <w:bCs/>
        </w:rPr>
        <w:t>Transparency of evaluation m</w:t>
      </w:r>
      <w:r w:rsidR="00005D6B">
        <w:rPr>
          <w:b/>
          <w:bCs/>
        </w:rPr>
        <w:t>ethodology</w:t>
      </w:r>
    </w:p>
    <w:p w14:paraId="7E15E494" w14:textId="4B3F5F5F" w:rsidR="00B158BB" w:rsidRDefault="00B158BB" w:rsidP="00BF08EF">
      <w:pPr>
        <w:pStyle w:val="ListParagraph"/>
      </w:pPr>
      <w:r>
        <w:t xml:space="preserve">This section discusses the transparency of the evaluation methodology used by </w:t>
      </w:r>
      <w:r w:rsidR="00C821A9">
        <w:t xml:space="preserve">HHFT when assessing </w:t>
      </w:r>
      <w:r w:rsidR="009F6707">
        <w:t xml:space="preserve">providers’ </w:t>
      </w:r>
      <w:r w:rsidR="00C821A9">
        <w:t>submissions.</w:t>
      </w:r>
    </w:p>
    <w:p w14:paraId="25B225CA" w14:textId="77777777" w:rsidR="00C821A9" w:rsidRDefault="00C821A9" w:rsidP="00C821A9">
      <w:pPr>
        <w:pStyle w:val="ListParagraph"/>
      </w:pPr>
      <w:r>
        <w:t>According to t</w:t>
      </w:r>
      <w:r w:rsidRPr="00415456">
        <w:t xml:space="preserve">he PSR </w:t>
      </w:r>
      <w:r>
        <w:t>s</w:t>
      </w:r>
      <w:r w:rsidRPr="00415456">
        <w:t xml:space="preserve">tatutory </w:t>
      </w:r>
      <w:r>
        <w:t>g</w:t>
      </w:r>
      <w:r w:rsidRPr="00415456">
        <w:t>uidance</w:t>
      </w:r>
      <w:r>
        <w:t xml:space="preserve">, </w:t>
      </w:r>
      <w:r w:rsidRPr="00415456">
        <w:t xml:space="preserve">when </w:t>
      </w:r>
      <w:r>
        <w:t>using</w:t>
      </w:r>
      <w:r w:rsidRPr="00415456">
        <w:t xml:space="preserve"> the MSP process </w:t>
      </w:r>
      <w:r>
        <w:t xml:space="preserve">the commissioner </w:t>
      </w:r>
      <w:r w:rsidRPr="00415456">
        <w:t xml:space="preserve">“decides the weighting it gives to each of the key criteria … or indeed whether to make a criterion assessment one that is passed or failed, and how to </w:t>
      </w:r>
      <w:r w:rsidRPr="00415456">
        <w:lastRenderedPageBreak/>
        <w:t>assess them. Weightings will reflect the importance the relevant authority places on each of these criteria given its ambitions for the service”</w:t>
      </w:r>
      <w:r>
        <w:t>.</w:t>
      </w:r>
      <w:r>
        <w:rPr>
          <w:rStyle w:val="FootnoteReference"/>
        </w:rPr>
        <w:footnoteReference w:id="48"/>
      </w:r>
    </w:p>
    <w:p w14:paraId="02B64C7F" w14:textId="761BD157" w:rsidR="00BF08EF" w:rsidRDefault="00C821A9" w:rsidP="00BF08EF">
      <w:pPr>
        <w:pStyle w:val="ListParagraph"/>
      </w:pPr>
      <w:r>
        <w:t>P</w:t>
      </w:r>
      <w:r w:rsidR="00BF08EF">
        <w:t>roviders</w:t>
      </w:r>
      <w:r w:rsidR="00BF08EF" w:rsidRPr="008232C8">
        <w:t xml:space="preserve"> </w:t>
      </w:r>
      <w:r w:rsidR="00BF08EF">
        <w:t>asked HHFT</w:t>
      </w:r>
      <w:r>
        <w:t>,</w:t>
      </w:r>
      <w:r w:rsidRPr="00C821A9">
        <w:t xml:space="preserve"> </w:t>
      </w:r>
      <w:r>
        <w:t xml:space="preserve">during the provider selection process, </w:t>
      </w:r>
      <w:r w:rsidR="00BF08EF">
        <w:t xml:space="preserve">for information </w:t>
      </w:r>
      <w:r w:rsidR="00E93CEB">
        <w:t xml:space="preserve">about </w:t>
      </w:r>
      <w:r w:rsidR="00AD14E6">
        <w:t xml:space="preserve">how </w:t>
      </w:r>
      <w:r>
        <w:t xml:space="preserve">HHFT would score </w:t>
      </w:r>
      <w:r w:rsidR="00AD14E6">
        <w:t xml:space="preserve">proposals </w:t>
      </w:r>
      <w:r w:rsidR="00BF08EF" w:rsidRPr="008232C8">
        <w:t xml:space="preserve">and </w:t>
      </w:r>
      <w:r w:rsidR="00E93CEB">
        <w:t xml:space="preserve">the </w:t>
      </w:r>
      <w:r w:rsidR="00BF08EF" w:rsidRPr="008232C8">
        <w:t>weighting</w:t>
      </w:r>
      <w:r w:rsidR="00BF08EF">
        <w:t>s</w:t>
      </w:r>
      <w:r w:rsidR="00BF08EF" w:rsidRPr="008232C8">
        <w:t xml:space="preserve"> </w:t>
      </w:r>
      <w:r w:rsidR="00AD14E6">
        <w:t xml:space="preserve">that would be </w:t>
      </w:r>
      <w:r w:rsidR="00BF08EF" w:rsidRPr="008232C8">
        <w:t>applied to the key criteria</w:t>
      </w:r>
      <w:r w:rsidR="00BF08EF">
        <w:t>.</w:t>
      </w:r>
      <w:r>
        <w:t xml:space="preserve"> </w:t>
      </w:r>
      <w:r w:rsidR="00BF08EF">
        <w:t xml:space="preserve">In response, </w:t>
      </w:r>
      <w:r w:rsidR="00BF08EF" w:rsidRPr="008232C8">
        <w:t xml:space="preserve">HHFT </w:t>
      </w:r>
      <w:r w:rsidR="009F3C8B">
        <w:t>said</w:t>
      </w:r>
      <w:r w:rsidR="00BF08EF" w:rsidRPr="008232C8">
        <w:t xml:space="preserve"> that </w:t>
      </w:r>
      <w:r w:rsidR="001E0E3F">
        <w:t xml:space="preserve">the key criteria </w:t>
      </w:r>
      <w:r w:rsidR="00BF08EF" w:rsidRPr="008232C8">
        <w:t>“are not weighted and proposals will be reviewed taking all five areas into consideration to assess overall suitability”.</w:t>
      </w:r>
      <w:r w:rsidR="00BF08EF">
        <w:t xml:space="preserve"> It also said that “</w:t>
      </w:r>
      <w:r w:rsidR="00BF08EF" w:rsidRPr="004E0FF0">
        <w:t>although formal scoring is not relevant to this process, written feedback will be given to all involved once the process is complete</w:t>
      </w:r>
      <w:r w:rsidR="00BF08EF">
        <w:t>”.</w:t>
      </w:r>
      <w:r w:rsidR="00BF08EF" w:rsidRPr="008232C8">
        <w:rPr>
          <w:rStyle w:val="FootnoteReference"/>
        </w:rPr>
        <w:footnoteReference w:id="49"/>
      </w:r>
    </w:p>
    <w:p w14:paraId="22EBF7A8" w14:textId="40864AD7" w:rsidR="006C2822" w:rsidRPr="002D0170" w:rsidRDefault="004D4978" w:rsidP="002324D7">
      <w:pPr>
        <w:pStyle w:val="ListParagraph"/>
      </w:pPr>
      <w:r w:rsidRPr="002D0170">
        <w:t>The Panel</w:t>
      </w:r>
      <w:r w:rsidR="00C574B2">
        <w:t xml:space="preserve"> </w:t>
      </w:r>
      <w:r w:rsidRPr="002D0170">
        <w:t>notes that</w:t>
      </w:r>
      <w:r w:rsidR="00C574B2">
        <w:t xml:space="preserve">, </w:t>
      </w:r>
      <w:r w:rsidR="00D43C44">
        <w:t xml:space="preserve">notwithstanding </w:t>
      </w:r>
      <w:r w:rsidR="005F65A8">
        <w:t xml:space="preserve">HHFT’s </w:t>
      </w:r>
      <w:r w:rsidR="00361D83">
        <w:t>response to providers</w:t>
      </w:r>
      <w:r w:rsidR="005F65A8">
        <w:t xml:space="preserve">, </w:t>
      </w:r>
      <w:r w:rsidR="007256AA">
        <w:t xml:space="preserve">providers’ submissions were subject to </w:t>
      </w:r>
      <w:r w:rsidR="00C574B2">
        <w:t>a</w:t>
      </w:r>
      <w:r w:rsidR="002324D7" w:rsidRPr="002D0170">
        <w:t xml:space="preserve"> scoring process. Evaluators were provided with </w:t>
      </w:r>
      <w:r w:rsidR="00ED574B">
        <w:t>“</w:t>
      </w:r>
      <w:r w:rsidR="000A06DC" w:rsidRPr="002D0170">
        <w:t>assessment packs”</w:t>
      </w:r>
      <w:r w:rsidR="002324D7" w:rsidRPr="002D0170">
        <w:t xml:space="preserve"> and asked </w:t>
      </w:r>
      <w:r w:rsidR="009C798E" w:rsidRPr="002D0170">
        <w:t xml:space="preserve">to </w:t>
      </w:r>
      <w:r w:rsidR="00C808B4" w:rsidRPr="002D0170">
        <w:t xml:space="preserve">“provide evidence commentary” </w:t>
      </w:r>
      <w:r w:rsidR="00B912AA" w:rsidRPr="002D0170">
        <w:t>that</w:t>
      </w:r>
      <w:r w:rsidR="00C808B4" w:rsidRPr="002D0170">
        <w:t xml:space="preserve"> would inform</w:t>
      </w:r>
      <w:r w:rsidR="00B912AA" w:rsidRPr="002D0170">
        <w:t xml:space="preserve"> the “final moderation discussion and scoring”.</w:t>
      </w:r>
      <w:r w:rsidR="00513DD5" w:rsidRPr="002D0170">
        <w:t xml:space="preserve"> </w:t>
      </w:r>
      <w:r w:rsidR="00FE3262" w:rsidRPr="002D0170">
        <w:t>E</w:t>
      </w:r>
      <w:r w:rsidR="00513DD5" w:rsidRPr="002D0170">
        <w:t>valuators evaluated and scored providers’ proposals</w:t>
      </w:r>
      <w:r w:rsidR="00FE3262" w:rsidRPr="002D0170">
        <w:t xml:space="preserve"> individually</w:t>
      </w:r>
      <w:r w:rsidR="00513DD5" w:rsidRPr="002D0170">
        <w:t>, follow</w:t>
      </w:r>
      <w:r w:rsidR="003E7AC8">
        <w:t>ed</w:t>
      </w:r>
      <w:r w:rsidR="00513DD5" w:rsidRPr="002D0170">
        <w:t xml:space="preserve"> </w:t>
      </w:r>
      <w:r w:rsidR="00F2357D">
        <w:t>by</w:t>
      </w:r>
      <w:r w:rsidR="00F2357D" w:rsidRPr="002D0170">
        <w:t xml:space="preserve"> </w:t>
      </w:r>
      <w:r w:rsidR="00513DD5" w:rsidRPr="002D0170">
        <w:t xml:space="preserve">moderation sessions </w:t>
      </w:r>
      <w:r w:rsidR="00F2357D">
        <w:t>at</w:t>
      </w:r>
      <w:r w:rsidR="00FE3262" w:rsidRPr="002D0170">
        <w:t xml:space="preserve"> which an agreed score was reached</w:t>
      </w:r>
      <w:r w:rsidR="00513DD5" w:rsidRPr="002D0170">
        <w:t>.</w:t>
      </w:r>
    </w:p>
    <w:p w14:paraId="28E1CDF4" w14:textId="581E213A" w:rsidR="00CB7A49" w:rsidRPr="006824E7" w:rsidRDefault="00EC2E1F" w:rsidP="00605FEE">
      <w:pPr>
        <w:pStyle w:val="ListParagraph"/>
      </w:pPr>
      <w:r>
        <w:t xml:space="preserve">Providers’ </w:t>
      </w:r>
      <w:r w:rsidR="00956F09">
        <w:t xml:space="preserve">answers </w:t>
      </w:r>
      <w:r w:rsidR="00CB7A49" w:rsidRPr="006824E7">
        <w:t>were scored on a 1-5 scale using the matrix below:</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9"/>
      </w:tblGrid>
      <w:tr w:rsidR="00832A19" w:rsidRPr="00D02CDA" w14:paraId="319BEBA6" w14:textId="77777777" w:rsidTr="001E2358">
        <w:tc>
          <w:tcPr>
            <w:tcW w:w="7219" w:type="dxa"/>
          </w:tcPr>
          <w:p w14:paraId="79A6C6EE" w14:textId="548F42F3" w:rsidR="00CB7A49" w:rsidRPr="006D0E14" w:rsidRDefault="00CB7A49">
            <w:pPr>
              <w:spacing w:after="60" w:line="276" w:lineRule="auto"/>
              <w:rPr>
                <w:sz w:val="18"/>
                <w:szCs w:val="18"/>
              </w:rPr>
            </w:pPr>
            <w:r w:rsidRPr="006D0E14">
              <w:rPr>
                <w:sz w:val="18"/>
                <w:szCs w:val="18"/>
              </w:rPr>
              <w:t>Please state score from (1-5) based on provider response</w:t>
            </w:r>
          </w:p>
          <w:p w14:paraId="0E2A88A2" w14:textId="77777777" w:rsidR="00CB7A49" w:rsidRPr="006D0E14" w:rsidRDefault="00CB7A49">
            <w:pPr>
              <w:spacing w:after="60" w:line="276" w:lineRule="auto"/>
              <w:rPr>
                <w:sz w:val="18"/>
                <w:szCs w:val="18"/>
              </w:rPr>
            </w:pPr>
            <w:r w:rsidRPr="006D0E14">
              <w:rPr>
                <w:b/>
                <w:sz w:val="18"/>
                <w:szCs w:val="18"/>
              </w:rPr>
              <w:t>1 point</w:t>
            </w:r>
            <w:r w:rsidRPr="006D0E14">
              <w:rPr>
                <w:sz w:val="18"/>
                <w:szCs w:val="18"/>
              </w:rPr>
              <w:t xml:space="preserve"> – Provider has submitted </w:t>
            </w:r>
            <w:r w:rsidRPr="006D0E14">
              <w:rPr>
                <w:sz w:val="18"/>
                <w:szCs w:val="18"/>
                <w:u w:val="single"/>
              </w:rPr>
              <w:t>no</w:t>
            </w:r>
            <w:r w:rsidRPr="006D0E14">
              <w:rPr>
                <w:sz w:val="18"/>
                <w:szCs w:val="18"/>
              </w:rPr>
              <w:t xml:space="preserve"> evidence of [key criteria]</w:t>
            </w:r>
          </w:p>
          <w:p w14:paraId="10C85F2F" w14:textId="77777777" w:rsidR="00CB7A49" w:rsidRPr="006D0E14" w:rsidRDefault="00CB7A49">
            <w:pPr>
              <w:spacing w:after="60" w:line="276" w:lineRule="auto"/>
              <w:rPr>
                <w:sz w:val="18"/>
                <w:szCs w:val="18"/>
              </w:rPr>
            </w:pPr>
            <w:r w:rsidRPr="006D0E14">
              <w:rPr>
                <w:b/>
                <w:sz w:val="18"/>
                <w:szCs w:val="18"/>
              </w:rPr>
              <w:t>2 points</w:t>
            </w:r>
            <w:r w:rsidRPr="006D0E14">
              <w:rPr>
                <w:sz w:val="18"/>
                <w:szCs w:val="18"/>
              </w:rPr>
              <w:t xml:space="preserve"> – Provider has submitted </w:t>
            </w:r>
            <w:r w:rsidRPr="006D0E14">
              <w:rPr>
                <w:sz w:val="18"/>
                <w:szCs w:val="18"/>
                <w:u w:val="single"/>
              </w:rPr>
              <w:t>some</w:t>
            </w:r>
            <w:r w:rsidRPr="006D0E14">
              <w:rPr>
                <w:sz w:val="18"/>
                <w:szCs w:val="18"/>
              </w:rPr>
              <w:t xml:space="preserve"> evidence of [key criteria]</w:t>
            </w:r>
          </w:p>
          <w:p w14:paraId="71F8479E" w14:textId="77777777" w:rsidR="00CB7A49" w:rsidRPr="006D0E14" w:rsidRDefault="00CB7A49">
            <w:pPr>
              <w:spacing w:after="60" w:line="276" w:lineRule="auto"/>
              <w:rPr>
                <w:sz w:val="18"/>
                <w:szCs w:val="18"/>
              </w:rPr>
            </w:pPr>
            <w:r w:rsidRPr="006D0E14">
              <w:rPr>
                <w:b/>
                <w:sz w:val="18"/>
                <w:szCs w:val="18"/>
              </w:rPr>
              <w:t>3 points</w:t>
            </w:r>
            <w:r w:rsidRPr="006D0E14">
              <w:rPr>
                <w:sz w:val="18"/>
                <w:szCs w:val="18"/>
              </w:rPr>
              <w:t xml:space="preserve"> – Provider has submitted </w:t>
            </w:r>
            <w:r w:rsidRPr="006D0E14">
              <w:rPr>
                <w:sz w:val="18"/>
                <w:szCs w:val="18"/>
                <w:u w:val="single"/>
              </w:rPr>
              <w:t>moderate</w:t>
            </w:r>
            <w:r w:rsidRPr="006D0E14">
              <w:rPr>
                <w:sz w:val="18"/>
                <w:szCs w:val="18"/>
              </w:rPr>
              <w:t xml:space="preserve"> evidence of [key criteria]</w:t>
            </w:r>
          </w:p>
          <w:p w14:paraId="5CE0656B" w14:textId="77777777" w:rsidR="00CB7A49" w:rsidRPr="006D0E14" w:rsidRDefault="00CB7A49">
            <w:pPr>
              <w:spacing w:after="60" w:line="276" w:lineRule="auto"/>
              <w:rPr>
                <w:sz w:val="18"/>
                <w:szCs w:val="18"/>
              </w:rPr>
            </w:pPr>
            <w:r w:rsidRPr="006D0E14">
              <w:rPr>
                <w:b/>
                <w:sz w:val="18"/>
                <w:szCs w:val="18"/>
              </w:rPr>
              <w:t>4 points</w:t>
            </w:r>
            <w:r w:rsidRPr="006D0E14">
              <w:rPr>
                <w:sz w:val="18"/>
                <w:szCs w:val="18"/>
              </w:rPr>
              <w:t xml:space="preserve"> – Provider has submitted </w:t>
            </w:r>
            <w:r w:rsidRPr="006D0E14">
              <w:rPr>
                <w:sz w:val="18"/>
                <w:szCs w:val="18"/>
                <w:u w:val="single"/>
              </w:rPr>
              <w:t>strong</w:t>
            </w:r>
            <w:r w:rsidRPr="006D0E14">
              <w:rPr>
                <w:sz w:val="18"/>
                <w:szCs w:val="18"/>
              </w:rPr>
              <w:t xml:space="preserve"> evidence of [key criteria]</w:t>
            </w:r>
          </w:p>
          <w:p w14:paraId="279F9ECD" w14:textId="77777777" w:rsidR="00CB7A49" w:rsidRPr="006D0E14" w:rsidRDefault="00CB7A49">
            <w:pPr>
              <w:spacing w:after="60" w:line="276" w:lineRule="auto"/>
              <w:rPr>
                <w:sz w:val="18"/>
                <w:szCs w:val="18"/>
                <w:highlight w:val="yellow"/>
              </w:rPr>
            </w:pPr>
            <w:r w:rsidRPr="006D0E14">
              <w:rPr>
                <w:b/>
                <w:sz w:val="18"/>
                <w:szCs w:val="18"/>
              </w:rPr>
              <w:t>5 points</w:t>
            </w:r>
            <w:r w:rsidRPr="006D0E14">
              <w:rPr>
                <w:sz w:val="18"/>
                <w:szCs w:val="18"/>
              </w:rPr>
              <w:t xml:space="preserve"> – Provider has submitted </w:t>
            </w:r>
            <w:r w:rsidRPr="006D0E14">
              <w:rPr>
                <w:sz w:val="18"/>
                <w:szCs w:val="18"/>
                <w:u w:val="single"/>
              </w:rPr>
              <w:t>superior</w:t>
            </w:r>
            <w:r w:rsidRPr="006D0E14">
              <w:rPr>
                <w:sz w:val="18"/>
                <w:szCs w:val="18"/>
              </w:rPr>
              <w:t xml:space="preserve"> evidence of [key criteria] </w:t>
            </w:r>
          </w:p>
        </w:tc>
      </w:tr>
    </w:tbl>
    <w:p w14:paraId="45AC1C97" w14:textId="01281C22" w:rsidR="00CB7A49" w:rsidRPr="00A047DD" w:rsidRDefault="00CB7A49" w:rsidP="00A047DD">
      <w:pPr>
        <w:spacing w:before="60" w:after="360" w:line="240" w:lineRule="auto"/>
        <w:ind w:left="357" w:firstLine="357"/>
        <w:rPr>
          <w:sz w:val="16"/>
          <w:szCs w:val="16"/>
        </w:rPr>
      </w:pPr>
      <w:r w:rsidRPr="00A047DD">
        <w:rPr>
          <w:sz w:val="16"/>
          <w:szCs w:val="16"/>
        </w:rPr>
        <w:t xml:space="preserve">Source: HHFT, </w:t>
      </w:r>
      <w:r w:rsidRPr="00A047DD">
        <w:rPr>
          <w:i/>
          <w:iCs/>
          <w:sz w:val="16"/>
          <w:szCs w:val="16"/>
        </w:rPr>
        <w:t>Assessment pack</w:t>
      </w:r>
      <w:r w:rsidR="006824E7" w:rsidRPr="00A047DD">
        <w:rPr>
          <w:sz w:val="16"/>
          <w:szCs w:val="16"/>
        </w:rPr>
        <w:t xml:space="preserve">, </w:t>
      </w:r>
      <w:r w:rsidR="00E83C8F">
        <w:rPr>
          <w:sz w:val="16"/>
          <w:szCs w:val="16"/>
        </w:rPr>
        <w:t>3 November</w:t>
      </w:r>
      <w:r w:rsidR="006824E7" w:rsidRPr="00A047DD">
        <w:rPr>
          <w:sz w:val="16"/>
          <w:szCs w:val="16"/>
        </w:rPr>
        <w:t xml:space="preserve"> 202</w:t>
      </w:r>
      <w:r w:rsidR="00E83C8F">
        <w:rPr>
          <w:sz w:val="16"/>
          <w:szCs w:val="16"/>
        </w:rPr>
        <w:t>5</w:t>
      </w:r>
      <w:r w:rsidR="006824E7" w:rsidRPr="00A047DD">
        <w:rPr>
          <w:sz w:val="16"/>
          <w:szCs w:val="16"/>
        </w:rPr>
        <w:t>.</w:t>
      </w:r>
    </w:p>
    <w:p w14:paraId="1ECB6EAE" w14:textId="534829C8" w:rsidR="00B72F4A" w:rsidRPr="001E2358" w:rsidRDefault="008F16AC" w:rsidP="001E2358">
      <w:pPr>
        <w:pStyle w:val="ListParagraph"/>
        <w:spacing w:after="120"/>
      </w:pPr>
      <w:r>
        <w:t>F</w:t>
      </w:r>
      <w:r w:rsidR="00A57663">
        <w:t xml:space="preserve">or </w:t>
      </w:r>
      <w:r w:rsidR="003D3BDF">
        <w:t xml:space="preserve">answers to </w:t>
      </w:r>
      <w:r w:rsidR="00A57663">
        <w:t xml:space="preserve">the Value </w:t>
      </w:r>
      <w:r w:rsidR="003D3BDF">
        <w:t>question</w:t>
      </w:r>
      <w:r w:rsidR="00E07483">
        <w:t xml:space="preserve">, </w:t>
      </w:r>
      <w:r>
        <w:t xml:space="preserve">rather than applying the scoring methodology set out above, </w:t>
      </w:r>
      <w:r w:rsidR="004B208B" w:rsidRPr="001E2358">
        <w:t xml:space="preserve">HHFT </w:t>
      </w:r>
      <w:r w:rsidR="00761665" w:rsidRPr="001E2358">
        <w:t>determined a “consolidated score position”</w:t>
      </w:r>
      <w:r w:rsidR="005C6C08" w:rsidRPr="001E2358">
        <w:t xml:space="preserve">. </w:t>
      </w:r>
      <w:r w:rsidR="004075A7" w:rsidRPr="001E2358">
        <w:t>HHFT told the Panel that</w:t>
      </w:r>
      <w:r w:rsidR="00B72F4A" w:rsidRPr="001E2358">
        <w:t>:</w:t>
      </w:r>
    </w:p>
    <w:p w14:paraId="5A39D5D5" w14:textId="1BD2E054" w:rsidR="00A57663" w:rsidRPr="001E2358" w:rsidRDefault="004C79E2" w:rsidP="001E2358">
      <w:pPr>
        <w:pStyle w:val="ListParagraph"/>
        <w:numPr>
          <w:ilvl w:val="0"/>
          <w:numId w:val="0"/>
        </w:numPr>
        <w:spacing w:line="259" w:lineRule="auto"/>
        <w:ind w:left="851"/>
        <w:rPr>
          <w:sz w:val="21"/>
          <w:szCs w:val="21"/>
        </w:rPr>
      </w:pPr>
      <w:r w:rsidRPr="001E2358">
        <w:rPr>
          <w:sz w:val="21"/>
          <w:szCs w:val="21"/>
        </w:rPr>
        <w:t xml:space="preserve">“the </w:t>
      </w:r>
      <w:r w:rsidR="00B8256F" w:rsidRPr="001E2358">
        <w:rPr>
          <w:sz w:val="21"/>
          <w:szCs w:val="21"/>
        </w:rPr>
        <w:t>assessment panel were asked to take a balanced view on the varied approaches presented, to support this WPL</w:t>
      </w:r>
      <w:r w:rsidR="00666654" w:rsidRPr="001E2358">
        <w:rPr>
          <w:sz w:val="21"/>
          <w:szCs w:val="21"/>
        </w:rPr>
        <w:t xml:space="preserve"> [the moderator]</w:t>
      </w:r>
      <w:r w:rsidR="00B8256F" w:rsidRPr="001E2358">
        <w:rPr>
          <w:sz w:val="21"/>
          <w:szCs w:val="21"/>
        </w:rPr>
        <w:t xml:space="preserve"> suggested a consolidated value analysis (an agreed single score per provider) using a balance of the number of WTEs </w:t>
      </w:r>
      <w:r w:rsidR="00337DBC">
        <w:rPr>
          <w:sz w:val="21"/>
          <w:szCs w:val="21"/>
        </w:rPr>
        <w:t xml:space="preserve">[whole time equivalent staff] </w:t>
      </w:r>
      <w:r w:rsidR="00B8256F" w:rsidRPr="001E2358">
        <w:rPr>
          <w:sz w:val="21"/>
          <w:szCs w:val="21"/>
        </w:rPr>
        <w:t xml:space="preserve">against each of the proposed 5 year cost models across </w:t>
      </w:r>
      <w:r w:rsidR="00B72F4A" w:rsidRPr="001E2358">
        <w:rPr>
          <w:sz w:val="21"/>
          <w:szCs w:val="21"/>
        </w:rPr>
        <w:t>L</w:t>
      </w:r>
      <w:r w:rsidR="00B8256F" w:rsidRPr="001E2358">
        <w:rPr>
          <w:sz w:val="21"/>
          <w:szCs w:val="21"/>
        </w:rPr>
        <w:t>ots 1</w:t>
      </w:r>
      <w:r w:rsidR="00B72F4A" w:rsidRPr="001E2358">
        <w:rPr>
          <w:sz w:val="21"/>
          <w:szCs w:val="21"/>
        </w:rPr>
        <w:t xml:space="preserve"> </w:t>
      </w:r>
      <w:r w:rsidR="00B8256F" w:rsidRPr="001E2358">
        <w:rPr>
          <w:sz w:val="21"/>
          <w:szCs w:val="21"/>
        </w:rPr>
        <w:t>&amp; 2, this took into consideration both the nature of the skill/value of WTE role on offer as well as how many WTEs hours this provided versus the proposed total cost proposition - a ranking position was then applied in line with the 1-5 scoring principle applied to the other 4 PSR criteria</w:t>
      </w:r>
      <w:r w:rsidR="00666654" w:rsidRPr="001E2358">
        <w:rPr>
          <w:sz w:val="21"/>
          <w:szCs w:val="21"/>
        </w:rPr>
        <w:t>”.</w:t>
      </w:r>
      <w:r w:rsidR="00666654" w:rsidRPr="001E2358">
        <w:rPr>
          <w:rStyle w:val="FootnoteReference"/>
          <w:sz w:val="21"/>
          <w:szCs w:val="21"/>
        </w:rPr>
        <w:footnoteReference w:id="50"/>
      </w:r>
    </w:p>
    <w:p w14:paraId="698CEBF7" w14:textId="2B0C33B2" w:rsidR="0070204A" w:rsidRDefault="0070204A" w:rsidP="004F7FF6">
      <w:pPr>
        <w:pStyle w:val="ListParagraph"/>
      </w:pPr>
      <w:r w:rsidRPr="004F7FF6">
        <w:t xml:space="preserve">The final weighted score for each </w:t>
      </w:r>
      <w:r w:rsidR="004F7FF6" w:rsidRPr="004F7FF6">
        <w:t>provider</w:t>
      </w:r>
      <w:r w:rsidR="00790F0A">
        <w:t xml:space="preserve"> was </w:t>
      </w:r>
      <w:r w:rsidR="00873106">
        <w:t xml:space="preserve">calculated </w:t>
      </w:r>
      <w:r w:rsidR="00E33C1C">
        <w:t xml:space="preserve">by </w:t>
      </w:r>
      <w:r w:rsidR="00301207">
        <w:t xml:space="preserve">equally </w:t>
      </w:r>
      <w:r w:rsidR="00E33C1C">
        <w:t xml:space="preserve">weighting </w:t>
      </w:r>
      <w:r w:rsidR="00301207">
        <w:t xml:space="preserve">the scores for answers to </w:t>
      </w:r>
      <w:r w:rsidR="00790F0A">
        <w:t>each of the key criteria.</w:t>
      </w:r>
    </w:p>
    <w:p w14:paraId="76FC0B40" w14:textId="54F812BE" w:rsidR="000F3D72" w:rsidRDefault="00352EEC" w:rsidP="00605FEE">
      <w:pPr>
        <w:pStyle w:val="ListParagraph"/>
      </w:pPr>
      <w:bookmarkStart w:id="26" w:name="_Ref223610312"/>
      <w:bookmarkStart w:id="27" w:name="_Ref223699261"/>
      <w:r>
        <w:t>T</w:t>
      </w:r>
      <w:r w:rsidR="00BA3E47">
        <w:t>he Panel</w:t>
      </w:r>
      <w:r w:rsidR="00866521">
        <w:t xml:space="preserve"> notes that </w:t>
      </w:r>
      <w:r w:rsidR="00060041">
        <w:t xml:space="preserve">HHFT told providers that formal scoring </w:t>
      </w:r>
      <w:r w:rsidR="00C152E1">
        <w:t xml:space="preserve">was not relevant to the process, </w:t>
      </w:r>
      <w:r w:rsidR="007B1D12">
        <w:t xml:space="preserve">while carrying </w:t>
      </w:r>
      <w:r w:rsidR="00C152E1">
        <w:t xml:space="preserve">out </w:t>
      </w:r>
      <w:r w:rsidR="00842211">
        <w:t>a</w:t>
      </w:r>
      <w:r w:rsidR="00C152E1">
        <w:t xml:space="preserve"> scoring process</w:t>
      </w:r>
      <w:r w:rsidR="001672CA">
        <w:t xml:space="preserve"> for providers’ submissions</w:t>
      </w:r>
      <w:r w:rsidR="002F2B1C">
        <w:t xml:space="preserve"> and selecting a provider based on its score</w:t>
      </w:r>
      <w:r w:rsidR="00C152E1">
        <w:t>.</w:t>
      </w:r>
      <w:bookmarkEnd w:id="26"/>
      <w:bookmarkEnd w:id="27"/>
      <w:r w:rsidR="001516F0">
        <w:t xml:space="preserve"> </w:t>
      </w:r>
      <w:r w:rsidR="00D40364">
        <w:t>As a result, t</w:t>
      </w:r>
      <w:r w:rsidR="0071639E" w:rsidRPr="004C0356">
        <w:t>he Panel’s view</w:t>
      </w:r>
      <w:r w:rsidR="002F2B1C">
        <w:t xml:space="preserve"> </w:t>
      </w:r>
      <w:r w:rsidR="0071639E" w:rsidRPr="004C0356">
        <w:t xml:space="preserve">is that </w:t>
      </w:r>
      <w:r w:rsidR="00643E69" w:rsidRPr="004C0356">
        <w:t>HHFT did not act transparently in communicatin</w:t>
      </w:r>
      <w:r w:rsidR="004C0356" w:rsidRPr="004C0356">
        <w:t xml:space="preserve">g its evaluation </w:t>
      </w:r>
      <w:r w:rsidR="00643E69" w:rsidRPr="004C0356">
        <w:t xml:space="preserve">methodology </w:t>
      </w:r>
      <w:r w:rsidR="00D40364">
        <w:t xml:space="preserve">to providers </w:t>
      </w:r>
      <w:r w:rsidR="0020634E">
        <w:t xml:space="preserve">when </w:t>
      </w:r>
      <w:r w:rsidR="00D40364">
        <w:t>this</w:t>
      </w:r>
      <w:r w:rsidR="0020634E">
        <w:t xml:space="preserve"> was requested</w:t>
      </w:r>
      <w:r w:rsidR="004C0356" w:rsidRPr="004C0356">
        <w:t>.</w:t>
      </w:r>
    </w:p>
    <w:p w14:paraId="54653071" w14:textId="69F67B01" w:rsidR="00605FEE" w:rsidRPr="0071639E" w:rsidRDefault="00D40364" w:rsidP="00605FEE">
      <w:pPr>
        <w:pStyle w:val="ListParagraph"/>
      </w:pPr>
      <w:r>
        <w:lastRenderedPageBreak/>
        <w:t>Given this</w:t>
      </w:r>
      <w:r w:rsidR="00605FEE" w:rsidRPr="004C0356">
        <w:t xml:space="preserve">, the Panel finds that </w:t>
      </w:r>
      <w:r w:rsidR="00320A28" w:rsidRPr="004C0356">
        <w:t>HHFT, in failing</w:t>
      </w:r>
      <w:r w:rsidR="00320A28">
        <w:t xml:space="preserve"> to share </w:t>
      </w:r>
      <w:r w:rsidR="00467A44">
        <w:t xml:space="preserve">its evaluation methodology </w:t>
      </w:r>
      <w:r w:rsidR="00320A28">
        <w:t xml:space="preserve">with </w:t>
      </w:r>
      <w:r w:rsidR="00024A6A">
        <w:t xml:space="preserve">providers, </w:t>
      </w:r>
      <w:r w:rsidR="00467A44">
        <w:t>breached the PSR regulations</w:t>
      </w:r>
      <w:r w:rsidR="00FB11EA">
        <w:t>,</w:t>
      </w:r>
      <w:r w:rsidR="00467A44">
        <w:t xml:space="preserve"> and in particular </w:t>
      </w:r>
      <w:r w:rsidR="005B72AD">
        <w:t xml:space="preserve">Regulation 4(1)(b) </w:t>
      </w:r>
      <w:r w:rsidR="00C45F9F">
        <w:t xml:space="preserve">which </w:t>
      </w:r>
      <w:r w:rsidR="00FB11EA">
        <w:t xml:space="preserve">requires commissioners </w:t>
      </w:r>
      <w:r w:rsidR="004C5ED2">
        <w:t>to act transparently, fairly and proportionately.</w:t>
      </w:r>
    </w:p>
    <w:p w14:paraId="3EF3A5C6" w14:textId="4E2CF649" w:rsidR="002D136F" w:rsidRPr="002671A7" w:rsidRDefault="002D136F" w:rsidP="005E3256">
      <w:pPr>
        <w:pStyle w:val="Heading2"/>
        <w:keepLines w:val="0"/>
        <w:spacing w:before="240" w:line="276" w:lineRule="auto"/>
      </w:pPr>
      <w:bookmarkStart w:id="28" w:name="_Toc225930407"/>
      <w:r>
        <w:t>7.</w:t>
      </w:r>
      <w:r w:rsidR="00B05D57">
        <w:t>3</w:t>
      </w:r>
      <w:r>
        <w:t xml:space="preserve"> </w:t>
      </w:r>
      <w:r w:rsidR="000F2583">
        <w:t xml:space="preserve">HHFT’s </w:t>
      </w:r>
      <w:r w:rsidR="00C709D2">
        <w:t>response to NHUC’s representations</w:t>
      </w:r>
      <w:bookmarkEnd w:id="28"/>
    </w:p>
    <w:p w14:paraId="616BB436" w14:textId="640A2189" w:rsidR="002D136F" w:rsidRDefault="002D136F" w:rsidP="003C103B">
      <w:pPr>
        <w:pStyle w:val="ListParagraph"/>
        <w:contextualSpacing/>
      </w:pPr>
      <w:r w:rsidRPr="00580AA7">
        <w:t>This section sets out</w:t>
      </w:r>
      <w:r w:rsidR="00563E31" w:rsidRPr="00580AA7">
        <w:t xml:space="preserve"> the Panel’s assessment of whether HHFT </w:t>
      </w:r>
      <w:r w:rsidR="00AC387B" w:rsidRPr="00580AA7">
        <w:t>breached the PSR regulations when responding to NHUC’s representations and requests for information about the provider selection process.</w:t>
      </w:r>
      <w:r w:rsidR="00772FAA" w:rsidRPr="00580AA7">
        <w:t xml:space="preserve"> </w:t>
      </w:r>
      <w:r w:rsidR="0093640F">
        <w:t>The Panel’s assessment:</w:t>
      </w:r>
    </w:p>
    <w:p w14:paraId="0B7A5999" w14:textId="73B55E28" w:rsidR="007B17DF" w:rsidRDefault="0093640F" w:rsidP="00BD0BD8">
      <w:pPr>
        <w:pStyle w:val="ListParagraph"/>
        <w:numPr>
          <w:ilvl w:val="0"/>
          <w:numId w:val="15"/>
        </w:numPr>
        <w:contextualSpacing/>
      </w:pPr>
      <w:r>
        <w:t xml:space="preserve">first, </w:t>
      </w:r>
      <w:r w:rsidR="007E0335">
        <w:t xml:space="preserve">reviews </w:t>
      </w:r>
      <w:r>
        <w:t>the completeness of HHFT’s response to NHUC’s information requests</w:t>
      </w:r>
      <w:r w:rsidR="000B2223">
        <w:t xml:space="preserve"> (Section 7.3.1)</w:t>
      </w:r>
      <w:r>
        <w:t>;</w:t>
      </w:r>
      <w:r w:rsidR="000B2223">
        <w:t xml:space="preserve"> and</w:t>
      </w:r>
    </w:p>
    <w:p w14:paraId="13215702" w14:textId="69F7900D" w:rsidR="003C103B" w:rsidRDefault="000F4EFC" w:rsidP="00BD0BD8">
      <w:pPr>
        <w:pStyle w:val="ListParagraph"/>
        <w:numPr>
          <w:ilvl w:val="0"/>
          <w:numId w:val="15"/>
        </w:numPr>
      </w:pPr>
      <w:r>
        <w:t>second</w:t>
      </w:r>
      <w:r w:rsidR="003C103B">
        <w:t xml:space="preserve">, </w:t>
      </w:r>
      <w:r w:rsidR="007E0335">
        <w:t xml:space="preserve">reviews </w:t>
      </w:r>
      <w:r w:rsidR="003C103B">
        <w:t>the timing of HHFT’s response to NHUC’s information requests</w:t>
      </w:r>
      <w:r w:rsidR="000B2223">
        <w:t xml:space="preserve"> (Section 7.3.2)</w:t>
      </w:r>
      <w:r w:rsidR="003C103B">
        <w:t>.</w:t>
      </w:r>
    </w:p>
    <w:p w14:paraId="772B867C" w14:textId="7DD2B647" w:rsidR="00772FAA" w:rsidRPr="000F2583" w:rsidRDefault="007D2C68" w:rsidP="005E3256">
      <w:pPr>
        <w:keepNext/>
        <w:spacing w:before="240" w:line="276" w:lineRule="auto"/>
        <w:rPr>
          <w:b/>
          <w:bCs/>
        </w:rPr>
      </w:pPr>
      <w:r w:rsidRPr="000F2583">
        <w:rPr>
          <w:b/>
          <w:bCs/>
        </w:rPr>
        <w:t>7.</w:t>
      </w:r>
      <w:r w:rsidR="00B05D57">
        <w:rPr>
          <w:b/>
          <w:bCs/>
        </w:rPr>
        <w:t>3</w:t>
      </w:r>
      <w:r w:rsidRPr="000F2583">
        <w:rPr>
          <w:b/>
          <w:bCs/>
        </w:rPr>
        <w:t xml:space="preserve">.1 </w:t>
      </w:r>
      <w:r w:rsidR="00EB3448">
        <w:rPr>
          <w:b/>
          <w:bCs/>
        </w:rPr>
        <w:t xml:space="preserve">Completeness of </w:t>
      </w:r>
      <w:r w:rsidR="000F2583" w:rsidRPr="000F2583">
        <w:rPr>
          <w:b/>
          <w:bCs/>
        </w:rPr>
        <w:t>HHFT’s response to NHUC’s information requests</w:t>
      </w:r>
    </w:p>
    <w:p w14:paraId="065FF7A6" w14:textId="0BF1FE40" w:rsidR="00750B94" w:rsidRDefault="00B81228" w:rsidP="009F5235">
      <w:pPr>
        <w:pStyle w:val="ListParagraph"/>
        <w:contextualSpacing/>
      </w:pPr>
      <w:r>
        <w:t>Commissioners are obliged</w:t>
      </w:r>
      <w:r w:rsidR="006A0C03">
        <w:t>, under Regulation 24,</w:t>
      </w:r>
      <w:r>
        <w:t xml:space="preserve"> to keep a record of </w:t>
      </w:r>
      <w:r w:rsidR="006A0C03">
        <w:t xml:space="preserve">a range of matters </w:t>
      </w:r>
      <w:r w:rsidR="00CB1AB9">
        <w:t>associated with each provider selection process. These include:</w:t>
      </w:r>
    </w:p>
    <w:p w14:paraId="14571070" w14:textId="497181F9" w:rsidR="00BA66A8" w:rsidRPr="00BA66A8" w:rsidRDefault="00CB1AB9" w:rsidP="00AD3BE1">
      <w:pPr>
        <w:pStyle w:val="ListParagraph"/>
        <w:numPr>
          <w:ilvl w:val="0"/>
          <w:numId w:val="29"/>
        </w:numPr>
        <w:ind w:left="1560" w:hanging="567"/>
        <w:contextualSpacing/>
      </w:pPr>
      <w:r>
        <w:t xml:space="preserve">The name of any </w:t>
      </w:r>
      <w:r w:rsidR="00BA66A8" w:rsidRPr="00BA66A8">
        <w:t>provider to whom it awards a contract;</w:t>
      </w:r>
    </w:p>
    <w:p w14:paraId="27D2FA32" w14:textId="77777777" w:rsidR="00BA66A8" w:rsidRPr="00BA66A8" w:rsidRDefault="00BA66A8" w:rsidP="00AD3BE1">
      <w:pPr>
        <w:pStyle w:val="ListParagraph"/>
        <w:numPr>
          <w:ilvl w:val="0"/>
          <w:numId w:val="29"/>
        </w:numPr>
        <w:ind w:left="1560" w:hanging="567"/>
        <w:contextualSpacing/>
      </w:pPr>
      <w:r w:rsidRPr="00BA66A8">
        <w:t>the name of any provider who is a party to a framework agreement;</w:t>
      </w:r>
    </w:p>
    <w:p w14:paraId="41023C6A" w14:textId="70CA2890" w:rsidR="00BA66A8" w:rsidRPr="00BA66A8" w:rsidRDefault="00BA66A8" w:rsidP="00AD3BE1">
      <w:pPr>
        <w:pStyle w:val="ListParagraph"/>
        <w:numPr>
          <w:ilvl w:val="0"/>
          <w:numId w:val="29"/>
        </w:numPr>
        <w:ind w:left="1560" w:hanging="567"/>
        <w:contextualSpacing/>
      </w:pPr>
      <w:r w:rsidRPr="00BA66A8">
        <w:t>the address of the registered office or principal place of business of each provider referred</w:t>
      </w:r>
      <w:r>
        <w:t xml:space="preserve"> </w:t>
      </w:r>
      <w:r w:rsidRPr="00BA66A8">
        <w:t>to in paragraph (a) or (b);</w:t>
      </w:r>
    </w:p>
    <w:p w14:paraId="4263ACB8" w14:textId="61EFB260" w:rsidR="00BA66A8" w:rsidRPr="00BA66A8" w:rsidRDefault="00BA66A8" w:rsidP="00AD3BE1">
      <w:pPr>
        <w:pStyle w:val="ListParagraph"/>
        <w:numPr>
          <w:ilvl w:val="0"/>
          <w:numId w:val="29"/>
        </w:numPr>
        <w:ind w:left="1560" w:hanging="567"/>
        <w:contextualSpacing/>
      </w:pPr>
      <w:r w:rsidRPr="00BA66A8">
        <w:t>the decision-making process followed, including the identity of individuals making</w:t>
      </w:r>
      <w:r>
        <w:t xml:space="preserve"> </w:t>
      </w:r>
      <w:r w:rsidRPr="00BA66A8">
        <w:t>decisions;</w:t>
      </w:r>
    </w:p>
    <w:p w14:paraId="538F22FB" w14:textId="6F3290E3" w:rsidR="00BA66A8" w:rsidRPr="00BA66A8" w:rsidRDefault="00BA66A8" w:rsidP="00AD3BE1">
      <w:pPr>
        <w:pStyle w:val="ListParagraph"/>
        <w:numPr>
          <w:ilvl w:val="0"/>
          <w:numId w:val="29"/>
        </w:numPr>
        <w:ind w:left="1560" w:hanging="567"/>
        <w:contextualSpacing/>
      </w:pPr>
      <w:r w:rsidRPr="00BA66A8">
        <w:t>where Direct Award Process C or the Most Suitable Provider Process was followed, a</w:t>
      </w:r>
      <w:r>
        <w:t xml:space="preserve"> </w:t>
      </w:r>
      <w:r w:rsidRPr="00BA66A8">
        <w:t xml:space="preserve">description of the way in which the key criteria were </w:t>
      </w:r>
      <w:proofErr w:type="gramStart"/>
      <w:r w:rsidRPr="00BA66A8">
        <w:t>taken into account</w:t>
      </w:r>
      <w:proofErr w:type="gramEnd"/>
      <w:r w:rsidRPr="00BA66A8">
        <w:t xml:space="preserve"> and the basic</w:t>
      </w:r>
      <w:r>
        <w:t xml:space="preserve"> </w:t>
      </w:r>
      <w:r w:rsidRPr="00BA66A8">
        <w:t xml:space="preserve">selection criteria were assessed when making a </w:t>
      </w:r>
      <w:proofErr w:type="gramStart"/>
      <w:r w:rsidRPr="00BA66A8">
        <w:t>decision;</w:t>
      </w:r>
      <w:proofErr w:type="gramEnd"/>
    </w:p>
    <w:p w14:paraId="40BBDDB6" w14:textId="5E4BBBE6" w:rsidR="00BA66A8" w:rsidRPr="00BA66A8" w:rsidRDefault="00BA66A8" w:rsidP="00AD3BE1">
      <w:pPr>
        <w:pStyle w:val="ListParagraph"/>
        <w:numPr>
          <w:ilvl w:val="0"/>
          <w:numId w:val="29"/>
        </w:numPr>
        <w:ind w:left="1560" w:hanging="567"/>
        <w:contextualSpacing/>
      </w:pPr>
      <w:r w:rsidRPr="00BA66A8">
        <w:t>where the Competitive Process was followed, a description of the way in which the key</w:t>
      </w:r>
      <w:r>
        <w:t xml:space="preserve"> </w:t>
      </w:r>
      <w:r w:rsidRPr="00BA66A8">
        <w:t xml:space="preserve">criteria were </w:t>
      </w:r>
      <w:proofErr w:type="gramStart"/>
      <w:r w:rsidRPr="00BA66A8">
        <w:t>taken into account</w:t>
      </w:r>
      <w:proofErr w:type="gramEnd"/>
      <w:r w:rsidRPr="00BA66A8">
        <w:t xml:space="preserve">, the basic selection criteria were </w:t>
      </w:r>
      <w:proofErr w:type="gramStart"/>
      <w:r w:rsidRPr="00BA66A8">
        <w:t>assessed</w:t>
      </w:r>
      <w:proofErr w:type="gramEnd"/>
      <w:r w:rsidRPr="00BA66A8">
        <w:t xml:space="preserve"> and contract or</w:t>
      </w:r>
      <w:r>
        <w:t xml:space="preserve"> </w:t>
      </w:r>
      <w:r w:rsidRPr="00BA66A8">
        <w:t xml:space="preserve">framework award criteria were evaluated when making a </w:t>
      </w:r>
      <w:proofErr w:type="gramStart"/>
      <w:r w:rsidRPr="00BA66A8">
        <w:t>decision;</w:t>
      </w:r>
      <w:proofErr w:type="gramEnd"/>
    </w:p>
    <w:p w14:paraId="79B2A272" w14:textId="77777777" w:rsidR="00BA66A8" w:rsidRPr="00BA66A8" w:rsidRDefault="00BA66A8" w:rsidP="00AD3BE1">
      <w:pPr>
        <w:pStyle w:val="ListParagraph"/>
        <w:numPr>
          <w:ilvl w:val="0"/>
          <w:numId w:val="29"/>
        </w:numPr>
        <w:ind w:left="1560" w:hanging="567"/>
        <w:contextualSpacing/>
      </w:pPr>
      <w:r w:rsidRPr="00BA66A8">
        <w:t>the reasons for decisions made under these Regulations;</w:t>
      </w:r>
    </w:p>
    <w:p w14:paraId="1DD9B051" w14:textId="77777777" w:rsidR="00BA66A8" w:rsidRPr="00BA66A8" w:rsidRDefault="00BA66A8" w:rsidP="00AD3BE1">
      <w:pPr>
        <w:pStyle w:val="ListParagraph"/>
        <w:numPr>
          <w:ilvl w:val="0"/>
          <w:numId w:val="29"/>
        </w:numPr>
        <w:ind w:left="1560" w:hanging="567"/>
        <w:contextualSpacing/>
      </w:pPr>
      <w:r w:rsidRPr="00BA66A8">
        <w:t>declared conflicts or potential conflicts of interest;</w:t>
      </w:r>
    </w:p>
    <w:p w14:paraId="021FB67C" w14:textId="77777777" w:rsidR="00BA66A8" w:rsidRPr="00BA66A8" w:rsidRDefault="00BA66A8" w:rsidP="00AD3BE1">
      <w:pPr>
        <w:pStyle w:val="ListParagraph"/>
        <w:numPr>
          <w:ilvl w:val="0"/>
          <w:numId w:val="29"/>
        </w:numPr>
        <w:ind w:left="1560" w:hanging="567"/>
        <w:contextualSpacing/>
      </w:pPr>
      <w:r w:rsidRPr="00BA66A8">
        <w:t>how any conflicts or potential conflicts of interest were managed for each decision;</w:t>
      </w:r>
    </w:p>
    <w:p w14:paraId="2458E8A3" w14:textId="77777777" w:rsidR="00BA66A8" w:rsidRPr="00BA66A8" w:rsidRDefault="00BA66A8" w:rsidP="00AD3BE1">
      <w:pPr>
        <w:pStyle w:val="ListParagraph"/>
        <w:numPr>
          <w:ilvl w:val="0"/>
          <w:numId w:val="29"/>
        </w:numPr>
        <w:ind w:left="1560" w:hanging="567"/>
      </w:pPr>
      <w:r w:rsidRPr="00BA66A8">
        <w:t>where a procurement is abandoned, the date on which it is abandoned.</w:t>
      </w:r>
    </w:p>
    <w:p w14:paraId="4B76CDB3" w14:textId="469558A0" w:rsidR="008150D3" w:rsidRPr="008150D3" w:rsidRDefault="008C5B87" w:rsidP="008150D3">
      <w:pPr>
        <w:pStyle w:val="ListParagraph"/>
      </w:pPr>
      <w:r>
        <w:t xml:space="preserve">In addition, </w:t>
      </w:r>
      <w:r w:rsidR="002A51D2">
        <w:t>where a commissioner receives representations</w:t>
      </w:r>
      <w:r w:rsidR="00F3724D">
        <w:t>, it must, under Regulation 12(4)(b)</w:t>
      </w:r>
      <w:r w:rsidR="0065781A">
        <w:t>,</w:t>
      </w:r>
      <w:r w:rsidR="00F3724D">
        <w:t xml:space="preserve"> </w:t>
      </w:r>
      <w:r w:rsidR="00F3724D" w:rsidRPr="00F3724D">
        <w:t xml:space="preserve">provide promptly any information requested by an aggrieved provider where the </w:t>
      </w:r>
      <w:r w:rsidR="00F3724D">
        <w:t xml:space="preserve">commissioner </w:t>
      </w:r>
      <w:r w:rsidR="00F3724D" w:rsidRPr="00F3724D">
        <w:t xml:space="preserve">has a duty to record that information under </w:t>
      </w:r>
      <w:r w:rsidR="0043568F">
        <w:t>R</w:t>
      </w:r>
      <w:r w:rsidR="00F3724D" w:rsidRPr="00F3724D">
        <w:t>egulation 24</w:t>
      </w:r>
      <w:r w:rsidR="00F3724D">
        <w:t>.</w:t>
      </w:r>
      <w:r w:rsidR="0054526A">
        <w:t xml:space="preserve"> (</w:t>
      </w:r>
      <w:r w:rsidR="008150D3">
        <w:t>Commissioners are not required to provide this information</w:t>
      </w:r>
      <w:r w:rsidR="000B0D16">
        <w:t xml:space="preserve">, </w:t>
      </w:r>
      <w:r w:rsidR="00E547BC">
        <w:t>as per</w:t>
      </w:r>
      <w:r w:rsidR="000B0D16">
        <w:t xml:space="preserve"> Regulation 12(5)</w:t>
      </w:r>
      <w:r w:rsidR="00E547BC">
        <w:t>,</w:t>
      </w:r>
      <w:r w:rsidR="008150D3">
        <w:t xml:space="preserve"> where it: (a) </w:t>
      </w:r>
      <w:r w:rsidR="008150D3" w:rsidRPr="008150D3">
        <w:t>would prejudice the legitimate commercial interests of any person, including those of the</w:t>
      </w:r>
      <w:r w:rsidR="008150D3">
        <w:t xml:space="preserve"> </w:t>
      </w:r>
      <w:r w:rsidR="008150D3" w:rsidRPr="008150D3">
        <w:t>relevant authority,</w:t>
      </w:r>
      <w:r w:rsidR="00CE04E2">
        <w:t xml:space="preserve"> (b) </w:t>
      </w:r>
      <w:r w:rsidR="008150D3" w:rsidRPr="008150D3">
        <w:t>might prejudice fair competition between providers, or</w:t>
      </w:r>
      <w:r w:rsidR="00CE04E2">
        <w:t xml:space="preserve"> (c) </w:t>
      </w:r>
      <w:r w:rsidR="008150D3" w:rsidRPr="008150D3">
        <w:t>would otherwise be contrary to the public interest.</w:t>
      </w:r>
      <w:r w:rsidR="00E547BC">
        <w:t>)</w:t>
      </w:r>
    </w:p>
    <w:p w14:paraId="7FBDEE6F" w14:textId="6942A459" w:rsidR="001B3AB4" w:rsidRDefault="00E547BC" w:rsidP="00605FEE">
      <w:pPr>
        <w:pStyle w:val="ListParagraph"/>
      </w:pPr>
      <w:r>
        <w:t>Given this background</w:t>
      </w:r>
      <w:r w:rsidR="00640C01">
        <w:t xml:space="preserve">, the Panel reviewed </w:t>
      </w:r>
      <w:r w:rsidR="00454AA5">
        <w:t xml:space="preserve">each of </w:t>
      </w:r>
      <w:r w:rsidR="00A21220">
        <w:t xml:space="preserve">NHUC’s requests </w:t>
      </w:r>
      <w:r w:rsidR="001B3AB4">
        <w:t xml:space="preserve">so as to </w:t>
      </w:r>
      <w:r w:rsidR="00BF0FC6">
        <w:t xml:space="preserve">identify whether the information request </w:t>
      </w:r>
      <w:r w:rsidR="00EF5786">
        <w:t>fell</w:t>
      </w:r>
      <w:r w:rsidR="00BF0FC6">
        <w:t xml:space="preserve"> within the scope of Regulation 24</w:t>
      </w:r>
      <w:r w:rsidR="0093501E">
        <w:t>, and thus</w:t>
      </w:r>
      <w:r w:rsidR="0065781A">
        <w:t xml:space="preserve"> met</w:t>
      </w:r>
      <w:r w:rsidR="0093501E">
        <w:t xml:space="preserve"> the requirement </w:t>
      </w:r>
      <w:r w:rsidR="0065781A">
        <w:t xml:space="preserve">to supply </w:t>
      </w:r>
      <w:r w:rsidR="0093501E">
        <w:t>this information under Regulation 12(4)(b)</w:t>
      </w:r>
      <w:r w:rsidR="00F73C68">
        <w:t>.</w:t>
      </w:r>
      <w:r w:rsidR="00A21220">
        <w:t xml:space="preserve"> The Panel also reviewed HHFT’s response to each </w:t>
      </w:r>
      <w:r w:rsidR="008A12DB">
        <w:t xml:space="preserve">information </w:t>
      </w:r>
      <w:r w:rsidR="00A21220">
        <w:t xml:space="preserve">request to assess </w:t>
      </w:r>
      <w:r w:rsidR="008A12DB">
        <w:t xml:space="preserve">its </w:t>
      </w:r>
      <w:r w:rsidR="00A21220">
        <w:t>completeness</w:t>
      </w:r>
      <w:r w:rsidR="002E7807">
        <w:t>,</w:t>
      </w:r>
      <w:r w:rsidR="00A21220">
        <w:t xml:space="preserve"> </w:t>
      </w:r>
      <w:r w:rsidR="00A21220">
        <w:lastRenderedPageBreak/>
        <w:t xml:space="preserve">given the obligations </w:t>
      </w:r>
      <w:r w:rsidR="00EB1A1A">
        <w:t xml:space="preserve">set out in </w:t>
      </w:r>
      <w:r w:rsidR="00A21220">
        <w:t>Regulations 12 and 24.</w:t>
      </w:r>
      <w:r w:rsidR="00EC75C1">
        <w:t xml:space="preserve"> The </w:t>
      </w:r>
      <w:r w:rsidR="007035DF">
        <w:t xml:space="preserve">detailed </w:t>
      </w:r>
      <w:r w:rsidR="00EC75C1">
        <w:t xml:space="preserve">results of this review are set out in </w:t>
      </w:r>
      <w:r w:rsidR="00161C7E">
        <w:t xml:space="preserve">the table at </w:t>
      </w:r>
      <w:r w:rsidR="008627A0">
        <w:t>Appendix 1</w:t>
      </w:r>
      <w:r w:rsidR="00EC75C1">
        <w:t>.</w:t>
      </w:r>
    </w:p>
    <w:p w14:paraId="3E7247F3" w14:textId="0C6A2ED7" w:rsidR="00BA27A8" w:rsidRDefault="00BA27A8" w:rsidP="00605FEE">
      <w:pPr>
        <w:pStyle w:val="ListParagraph"/>
      </w:pPr>
      <w:r>
        <w:t xml:space="preserve">Three key points arise from the analysis </w:t>
      </w:r>
      <w:r w:rsidR="0052243C">
        <w:t>in</w:t>
      </w:r>
      <w:r>
        <w:t xml:space="preserve"> Appendix 1.</w:t>
      </w:r>
    </w:p>
    <w:p w14:paraId="16E76342" w14:textId="5384DE82" w:rsidR="006C72B9" w:rsidRDefault="00BA27A8" w:rsidP="003C7C48">
      <w:pPr>
        <w:pStyle w:val="ListParagraph"/>
        <w:numPr>
          <w:ilvl w:val="0"/>
          <w:numId w:val="15"/>
        </w:numPr>
      </w:pPr>
      <w:r>
        <w:t>First</w:t>
      </w:r>
      <w:r w:rsidR="00EF5786">
        <w:t xml:space="preserve">, </w:t>
      </w:r>
      <w:r w:rsidR="000C5740">
        <w:t>HHFT</w:t>
      </w:r>
      <w:r w:rsidR="002E7807">
        <w:t>,</w:t>
      </w:r>
      <w:r w:rsidR="000C5740" w:rsidRPr="000C5740">
        <w:t xml:space="preserve"> </w:t>
      </w:r>
      <w:r w:rsidR="00171719">
        <w:t xml:space="preserve">in </w:t>
      </w:r>
      <w:r w:rsidR="00497908">
        <w:t xml:space="preserve">several of its responses </w:t>
      </w:r>
      <w:r w:rsidR="000C5740">
        <w:t>to NHUC’s information requests</w:t>
      </w:r>
      <w:r w:rsidR="002E7807">
        <w:t>,</w:t>
      </w:r>
      <w:r w:rsidR="00171719">
        <w:t xml:space="preserve"> </w:t>
      </w:r>
      <w:r w:rsidR="000C5740">
        <w:t>refer</w:t>
      </w:r>
      <w:r w:rsidR="006473C6">
        <w:t>red</w:t>
      </w:r>
      <w:r w:rsidR="000C5740">
        <w:t xml:space="preserve"> NHUC to the </w:t>
      </w:r>
      <w:r w:rsidR="00F23E86">
        <w:t xml:space="preserve">intention to award notice published on 29 December 2025. </w:t>
      </w:r>
      <w:r w:rsidR="00FE2551">
        <w:t xml:space="preserve">The Panel’s view is that </w:t>
      </w:r>
      <w:r w:rsidR="003029F8">
        <w:t xml:space="preserve">the </w:t>
      </w:r>
      <w:r w:rsidR="00635E49">
        <w:t xml:space="preserve">summary information in </w:t>
      </w:r>
      <w:r w:rsidR="003029F8">
        <w:t xml:space="preserve">HHFT’s </w:t>
      </w:r>
      <w:r w:rsidR="003B3FB3">
        <w:t xml:space="preserve">intention to award </w:t>
      </w:r>
      <w:r w:rsidR="00635E49">
        <w:t>notice</w:t>
      </w:r>
      <w:r w:rsidR="00D43068">
        <w:t xml:space="preserve"> was not </w:t>
      </w:r>
      <w:r w:rsidR="00635E49">
        <w:t xml:space="preserve">sufficient for the purposes of responding to </w:t>
      </w:r>
      <w:r w:rsidR="00D43068">
        <w:t xml:space="preserve">NHUC’s </w:t>
      </w:r>
      <w:r w:rsidR="00B147C4">
        <w:t>request</w:t>
      </w:r>
      <w:r w:rsidR="005B7EB2">
        <w:t>s</w:t>
      </w:r>
      <w:r w:rsidR="00B147C4">
        <w:t xml:space="preserve"> for information. This is because </w:t>
      </w:r>
      <w:r w:rsidR="00D43068">
        <w:t xml:space="preserve">the </w:t>
      </w:r>
      <w:r w:rsidR="001155B2">
        <w:t>published notice only contain</w:t>
      </w:r>
      <w:r w:rsidR="00D43068">
        <w:t>ed</w:t>
      </w:r>
      <w:r w:rsidR="001155B2">
        <w:t xml:space="preserve"> high-level information and </w:t>
      </w:r>
      <w:r w:rsidR="00382C72">
        <w:t>it is necessary</w:t>
      </w:r>
      <w:r w:rsidR="00AF627D">
        <w:t xml:space="preserve"> for commissioner</w:t>
      </w:r>
      <w:r w:rsidR="0051643F">
        <w:t>s</w:t>
      </w:r>
      <w:r w:rsidR="00AF627D">
        <w:t xml:space="preserve"> to keep</w:t>
      </w:r>
      <w:r w:rsidR="001155B2">
        <w:t xml:space="preserve"> more detailed records</w:t>
      </w:r>
      <w:r w:rsidR="003D444C">
        <w:t xml:space="preserve"> for decision-making purposes</w:t>
      </w:r>
      <w:r w:rsidR="004849C0">
        <w:t xml:space="preserve"> </w:t>
      </w:r>
      <w:r w:rsidR="00F27633">
        <w:t>(</w:t>
      </w:r>
      <w:r w:rsidR="00A12EA5">
        <w:t xml:space="preserve">and </w:t>
      </w:r>
      <w:r w:rsidR="004E5B59">
        <w:t>suppl</w:t>
      </w:r>
      <w:r w:rsidR="00AF627D">
        <w:t>y</w:t>
      </w:r>
      <w:r w:rsidR="0051643F">
        <w:t xml:space="preserve"> to</w:t>
      </w:r>
      <w:r w:rsidR="004E5B59">
        <w:t xml:space="preserve"> a</w:t>
      </w:r>
      <w:r w:rsidR="00A12EA5">
        <w:t>n aggrieved</w:t>
      </w:r>
      <w:r w:rsidR="004E5B59">
        <w:t xml:space="preserve"> provider</w:t>
      </w:r>
      <w:r w:rsidR="0051643F">
        <w:t xml:space="preserve"> if requested</w:t>
      </w:r>
      <w:r w:rsidR="00F27633">
        <w:t>)</w:t>
      </w:r>
      <w:r w:rsidR="003D444C">
        <w:t>.</w:t>
      </w:r>
      <w:r w:rsidR="001F6AB0">
        <w:t xml:space="preserve"> As a result, the Panel </w:t>
      </w:r>
      <w:r w:rsidR="00DF4BDF">
        <w:t>finds</w:t>
      </w:r>
      <w:r w:rsidR="005D5DB9">
        <w:t xml:space="preserve"> </w:t>
      </w:r>
      <w:r w:rsidR="00DF4BDF">
        <w:t>that HHFT</w:t>
      </w:r>
      <w:r w:rsidR="000B7B5E">
        <w:t>,</w:t>
      </w:r>
      <w:r w:rsidR="00B71426" w:rsidRPr="00B71426">
        <w:t xml:space="preserve"> </w:t>
      </w:r>
      <w:r w:rsidR="000B7B5E">
        <w:t>in</w:t>
      </w:r>
      <w:r w:rsidR="0091365A">
        <w:t xml:space="preserve"> </w:t>
      </w:r>
      <w:r w:rsidR="00B71426" w:rsidRPr="00B71426">
        <w:t>simply referr</w:t>
      </w:r>
      <w:r w:rsidR="000B7B5E">
        <w:t>ing</w:t>
      </w:r>
      <w:r w:rsidR="00B71426" w:rsidRPr="00B71426">
        <w:t xml:space="preserve"> NHUC to the notice of 29 December 2025</w:t>
      </w:r>
      <w:r w:rsidR="005D5DB9">
        <w:t xml:space="preserve"> </w:t>
      </w:r>
      <w:r w:rsidR="00C640BC">
        <w:t>when</w:t>
      </w:r>
      <w:r w:rsidR="005D5DB9">
        <w:t xml:space="preserve"> responding to </w:t>
      </w:r>
      <w:r w:rsidR="000B7B5E">
        <w:t xml:space="preserve">elements of </w:t>
      </w:r>
      <w:r w:rsidR="005D5DB9">
        <w:t>NHUC’s information requests</w:t>
      </w:r>
      <w:r w:rsidR="000B7B5E">
        <w:t>,</w:t>
      </w:r>
      <w:r w:rsidR="000B7B5E" w:rsidRPr="000B7B5E">
        <w:t xml:space="preserve"> </w:t>
      </w:r>
      <w:r w:rsidR="000B7B5E">
        <w:t>breached Regulation 12(4)(b).</w:t>
      </w:r>
    </w:p>
    <w:p w14:paraId="04AF91C9" w14:textId="14113D48" w:rsidR="008F0B1A" w:rsidRDefault="00BA27A8" w:rsidP="003C7C48">
      <w:pPr>
        <w:pStyle w:val="ListParagraph"/>
        <w:numPr>
          <w:ilvl w:val="0"/>
          <w:numId w:val="15"/>
        </w:numPr>
      </w:pPr>
      <w:r>
        <w:t xml:space="preserve">Second, </w:t>
      </w:r>
      <w:r w:rsidR="00ED024C">
        <w:t>NHUC request</w:t>
      </w:r>
      <w:r w:rsidR="00B50407">
        <w:t>ed</w:t>
      </w:r>
      <w:r w:rsidR="00ED024C">
        <w:t xml:space="preserve"> </w:t>
      </w:r>
      <w:r w:rsidR="00B50407">
        <w:t xml:space="preserve">certain </w:t>
      </w:r>
      <w:r w:rsidR="00ED024C">
        <w:t>information that should have been recorded by HHFT</w:t>
      </w:r>
      <w:r w:rsidR="00BB58AF">
        <w:t>, but HHFT failed to record that information, in breach of Regulation 24. In some cases, this relates to the breach of recordkeeping obligations set out in Section 7.1</w:t>
      </w:r>
      <w:r w:rsidR="008D042D">
        <w:t xml:space="preserve">. The Panel also finds that </w:t>
      </w:r>
      <w:r w:rsidR="008D042D" w:rsidRPr="00337E51">
        <w:t>HHFT, in failing to keep a record of its reasons for the weightings attached to the key criteria, breached the PSR regulations, and in particular Regulation 24(g).</w:t>
      </w:r>
      <w:r w:rsidR="00EC7685">
        <w:t xml:space="preserve"> </w:t>
      </w:r>
      <w:r w:rsidR="00E864CA">
        <w:t>The Panel has not found it necessary to make further findings regarding HHFT’s failure to supply information that it failed to record.</w:t>
      </w:r>
    </w:p>
    <w:p w14:paraId="166793AE" w14:textId="407A28FF" w:rsidR="00427AEA" w:rsidRDefault="00BA27A8" w:rsidP="003C7C48">
      <w:pPr>
        <w:pStyle w:val="ListParagraph"/>
        <w:numPr>
          <w:ilvl w:val="0"/>
          <w:numId w:val="15"/>
        </w:numPr>
      </w:pPr>
      <w:r>
        <w:t xml:space="preserve">Finally, </w:t>
      </w:r>
      <w:r w:rsidR="006540EA">
        <w:t xml:space="preserve">HHFT, </w:t>
      </w:r>
      <w:r w:rsidR="000F6F31">
        <w:t xml:space="preserve">in </w:t>
      </w:r>
      <w:r w:rsidR="006540EA">
        <w:t>responding to NHUC’s request for information about the identit</w:t>
      </w:r>
      <w:r w:rsidR="005B046E">
        <w:t xml:space="preserve">y of individuals making decisions, </w:t>
      </w:r>
      <w:r w:rsidR="00E52A8E">
        <w:t>provided HHFT with the job titles of decision makers rather than the names of those decision makers.</w:t>
      </w:r>
      <w:r w:rsidR="0064659E">
        <w:t xml:space="preserve"> </w:t>
      </w:r>
      <w:r w:rsidR="00427AEA">
        <w:t xml:space="preserve">Consistent with </w:t>
      </w:r>
      <w:r w:rsidR="00B72BFF">
        <w:t xml:space="preserve">its advice in </w:t>
      </w:r>
      <w:r w:rsidR="00427AEA">
        <w:t>previous</w:t>
      </w:r>
      <w:r w:rsidR="00B72BFF">
        <w:t xml:space="preserve"> cases</w:t>
      </w:r>
      <w:r w:rsidR="00427AEA">
        <w:t xml:space="preserve">, the Panel’s view is that HHFT should have disclosed the identity of decision makers not just job titles </w:t>
      </w:r>
      <w:r w:rsidR="0053469E">
        <w:t>(</w:t>
      </w:r>
      <w:r w:rsidR="006146EB">
        <w:t xml:space="preserve">subject to a case-by-case assessment of any factors </w:t>
      </w:r>
      <w:r w:rsidR="00067A9D">
        <w:t>suggest</w:t>
      </w:r>
      <w:r w:rsidR="00E33669">
        <w:t>ing</w:t>
      </w:r>
      <w:r w:rsidR="00067A9D">
        <w:t xml:space="preserve"> that such disclosure would not </w:t>
      </w:r>
      <w:r w:rsidR="00001201">
        <w:t xml:space="preserve">be </w:t>
      </w:r>
      <w:r w:rsidR="00067A9D">
        <w:t>appropriate</w:t>
      </w:r>
      <w:r w:rsidR="0053469E">
        <w:t>)</w:t>
      </w:r>
      <w:r w:rsidR="00067A9D">
        <w:t>.</w:t>
      </w:r>
      <w:r w:rsidR="00067A9D">
        <w:rPr>
          <w:rStyle w:val="FootnoteReference"/>
        </w:rPr>
        <w:footnoteReference w:id="51"/>
      </w:r>
      <w:r w:rsidR="00067A9D">
        <w:t xml:space="preserve"> As a result, the Panel</w:t>
      </w:r>
      <w:r w:rsidR="00FA6E47">
        <w:t xml:space="preserve"> </w:t>
      </w:r>
      <w:r w:rsidR="00E33669">
        <w:t>finds</w:t>
      </w:r>
      <w:r w:rsidR="00FA6E47">
        <w:t xml:space="preserve"> that HHFT</w:t>
      </w:r>
      <w:r w:rsidR="000A2167">
        <w:t>,</w:t>
      </w:r>
      <w:r w:rsidR="00FA6E47">
        <w:t xml:space="preserve"> in responding to NHUC’s request for the identity of decision makers</w:t>
      </w:r>
      <w:r w:rsidR="000A2167">
        <w:t>,</w:t>
      </w:r>
      <w:r w:rsidR="00FA6E47">
        <w:t xml:space="preserve"> breached </w:t>
      </w:r>
      <w:r w:rsidR="00AC47C4">
        <w:t>Regulation 12(4)(b).</w:t>
      </w:r>
    </w:p>
    <w:p w14:paraId="7FA316D5" w14:textId="63A15A66" w:rsidR="00EE0065" w:rsidRDefault="00F73C68" w:rsidP="00605FEE">
      <w:pPr>
        <w:pStyle w:val="ListParagraph"/>
      </w:pPr>
      <w:r>
        <w:t>In summary, the Panel</w:t>
      </w:r>
      <w:r w:rsidR="001361DB">
        <w:t xml:space="preserve"> finds that HHFT, in </w:t>
      </w:r>
      <w:r w:rsidR="00D7726F">
        <w:t xml:space="preserve">failing to provide a complete response </w:t>
      </w:r>
      <w:r w:rsidR="001361DB">
        <w:t xml:space="preserve">to </w:t>
      </w:r>
      <w:r w:rsidR="0043568F">
        <w:t xml:space="preserve">NHUC’s requests for information </w:t>
      </w:r>
      <w:r w:rsidR="0053469E">
        <w:t xml:space="preserve">during </w:t>
      </w:r>
      <w:r w:rsidR="0043568F">
        <w:t>the representations review process, breached the PSR regulations</w:t>
      </w:r>
      <w:r w:rsidR="00965040">
        <w:t>,</w:t>
      </w:r>
      <w:r w:rsidR="0043568F">
        <w:t xml:space="preserve"> and in particular Regulation 12(4)(b) which requires commissioners to </w:t>
      </w:r>
      <w:r w:rsidR="0043568F" w:rsidRPr="00F3724D">
        <w:t xml:space="preserve">provide promptly any information requested by an aggrieved provider where the </w:t>
      </w:r>
      <w:r w:rsidR="0043568F">
        <w:t xml:space="preserve">commissioner </w:t>
      </w:r>
      <w:r w:rsidR="0043568F" w:rsidRPr="00F3724D">
        <w:t xml:space="preserve">has a duty to record that information under </w:t>
      </w:r>
      <w:r w:rsidR="0043568F">
        <w:t>R</w:t>
      </w:r>
      <w:r w:rsidR="0043568F" w:rsidRPr="00F3724D">
        <w:t>egulation 24</w:t>
      </w:r>
      <w:r w:rsidR="0086797F">
        <w:t>.</w:t>
      </w:r>
    </w:p>
    <w:p w14:paraId="5F4454FE" w14:textId="661D1F38" w:rsidR="00CC25F7" w:rsidRPr="00F44B66" w:rsidRDefault="00CC25F7" w:rsidP="00CC25F7">
      <w:pPr>
        <w:keepNext/>
        <w:spacing w:before="240"/>
        <w:rPr>
          <w:b/>
          <w:bCs/>
        </w:rPr>
      </w:pPr>
      <w:r w:rsidRPr="00F44B66">
        <w:rPr>
          <w:b/>
          <w:bCs/>
        </w:rPr>
        <w:t>7.</w:t>
      </w:r>
      <w:r>
        <w:rPr>
          <w:b/>
          <w:bCs/>
        </w:rPr>
        <w:t>3</w:t>
      </w:r>
      <w:r w:rsidRPr="00F44B66">
        <w:rPr>
          <w:b/>
          <w:bCs/>
        </w:rPr>
        <w:t>.</w:t>
      </w:r>
      <w:r w:rsidR="00660B3C">
        <w:rPr>
          <w:b/>
          <w:bCs/>
        </w:rPr>
        <w:t>2</w:t>
      </w:r>
      <w:r w:rsidRPr="00F44B66">
        <w:rPr>
          <w:b/>
          <w:bCs/>
        </w:rPr>
        <w:t xml:space="preserve"> </w:t>
      </w:r>
      <w:r>
        <w:rPr>
          <w:b/>
          <w:bCs/>
        </w:rPr>
        <w:t>Timing of HHFT’s response to NHUC’s information request</w:t>
      </w:r>
    </w:p>
    <w:p w14:paraId="5B7D74B4" w14:textId="62D4C97A" w:rsidR="00CC25F7" w:rsidRPr="00CA6C42" w:rsidRDefault="005F6895" w:rsidP="00CC25F7">
      <w:pPr>
        <w:pStyle w:val="ListParagraph"/>
      </w:pPr>
      <w:r>
        <w:t xml:space="preserve">Regarding the timing of HHFT’s response to NHUC’s information requests, these were </w:t>
      </w:r>
      <w:r w:rsidR="00E50159">
        <w:t xml:space="preserve">submitted to HHFT on </w:t>
      </w:r>
      <w:r w:rsidR="00AA2459" w:rsidRPr="00CA6C42">
        <w:t>8 January 2026</w:t>
      </w:r>
      <w:r w:rsidR="00690387" w:rsidRPr="00CA6C42">
        <w:t>. O</w:t>
      </w:r>
      <w:r w:rsidR="00207B09" w:rsidRPr="00CA6C42">
        <w:t>n</w:t>
      </w:r>
      <w:r w:rsidR="00EE40C4" w:rsidRPr="00CA6C42">
        <w:t xml:space="preserve"> 15 January 2026, HHFT </w:t>
      </w:r>
      <w:r w:rsidR="00E50159">
        <w:t xml:space="preserve">responded to </w:t>
      </w:r>
      <w:r w:rsidR="00C23457" w:rsidRPr="00CA6C42">
        <w:t>NHUC’s information requests</w:t>
      </w:r>
      <w:r w:rsidR="00895B1A" w:rsidRPr="00CA6C42">
        <w:t xml:space="preserve"> and, at the same time, communicated its </w:t>
      </w:r>
      <w:r w:rsidR="00942175" w:rsidRPr="00CA6C42">
        <w:t xml:space="preserve">further </w:t>
      </w:r>
      <w:r w:rsidR="00895B1A" w:rsidRPr="00CA6C42">
        <w:t xml:space="preserve">decision </w:t>
      </w:r>
      <w:r w:rsidR="008425F4" w:rsidRPr="00CA6C42">
        <w:t xml:space="preserve">to continue with the </w:t>
      </w:r>
      <w:r w:rsidR="00C942C6">
        <w:t xml:space="preserve">contract </w:t>
      </w:r>
      <w:r w:rsidR="008425F4" w:rsidRPr="00CA6C42">
        <w:t xml:space="preserve">award to </w:t>
      </w:r>
      <w:proofErr w:type="spellStart"/>
      <w:r w:rsidR="008425F4" w:rsidRPr="00CA6C42">
        <w:t>Atrumed</w:t>
      </w:r>
      <w:proofErr w:type="spellEnd"/>
      <w:r w:rsidR="00391407" w:rsidRPr="00CA6C42">
        <w:t>.</w:t>
      </w:r>
    </w:p>
    <w:p w14:paraId="4E23706E" w14:textId="77777777" w:rsidR="00584248" w:rsidRDefault="00C94014" w:rsidP="00CC25F7">
      <w:pPr>
        <w:pStyle w:val="ListParagraph"/>
      </w:pPr>
      <w:r>
        <w:lastRenderedPageBreak/>
        <w:t>Consistent with previous advice,</w:t>
      </w:r>
      <w:r w:rsidR="007C3AC4">
        <w:rPr>
          <w:rStyle w:val="FootnoteReference"/>
        </w:rPr>
        <w:footnoteReference w:id="52"/>
      </w:r>
      <w:r>
        <w:t xml:space="preserve"> </w:t>
      </w:r>
      <w:r w:rsidR="00B502A4">
        <w:t xml:space="preserve">the Panel’s view is that where information is supplied in response to a provider’s request at the same time as a commissioner’s further decision, this </w:t>
      </w:r>
      <w:r w:rsidR="00273AF0">
        <w:t>does not meet the requirement to respond “promptly”.</w:t>
      </w:r>
    </w:p>
    <w:p w14:paraId="64A3E77C" w14:textId="40E5E232" w:rsidR="008103C4" w:rsidRDefault="00273AF0" w:rsidP="00CC25F7">
      <w:pPr>
        <w:pStyle w:val="ListParagraph"/>
      </w:pPr>
      <w:r>
        <w:t xml:space="preserve">Moreover, </w:t>
      </w:r>
      <w:r w:rsidRPr="00CA6C42">
        <w:t xml:space="preserve">the concurrent provision of information and communication of the further decision to continue with the contract award meant that NHUC </w:t>
      </w:r>
      <w:r>
        <w:t>was</w:t>
      </w:r>
      <w:r w:rsidRPr="00CA6C42">
        <w:t xml:space="preserve"> denied the opportunity to make further explanations or clarifications based on the information supplied by HHFT</w:t>
      </w:r>
      <w:r w:rsidR="004B4C19">
        <w:t xml:space="preserve"> ahead of the further decision being made</w:t>
      </w:r>
      <w:r w:rsidRPr="00CA6C42">
        <w:t>.</w:t>
      </w:r>
    </w:p>
    <w:p w14:paraId="691BB9F8" w14:textId="5B258944" w:rsidR="00F51A40" w:rsidRPr="00CA6C42" w:rsidRDefault="00F51A40" w:rsidP="00CC25F7">
      <w:pPr>
        <w:pStyle w:val="ListParagraph"/>
      </w:pPr>
      <w:r w:rsidRPr="00CA6C42">
        <w:t xml:space="preserve">As a result, </w:t>
      </w:r>
      <w:r w:rsidR="0030363A" w:rsidRPr="00CA6C42">
        <w:t xml:space="preserve">the Panel finds that HHFT, in responding to NHUC’s information requests </w:t>
      </w:r>
      <w:r w:rsidR="0030363A">
        <w:t>at the same time as communicating its further decision on the provider selection process</w:t>
      </w:r>
      <w:r w:rsidR="0030363A" w:rsidRPr="00CA6C42">
        <w:t>, breached the PSR regulations, and in particular Regulation 12(4)(b)</w:t>
      </w:r>
      <w:r w:rsidR="0030363A">
        <w:t xml:space="preserve">, which requires the commissioner to provide promptly requested information, and </w:t>
      </w:r>
      <w:r w:rsidR="0030363A" w:rsidRPr="00CA6C42">
        <w:t>Regulation 12(4)(a)</w:t>
      </w:r>
      <w:r w:rsidR="0030363A">
        <w:t>,</w:t>
      </w:r>
      <w:r w:rsidR="0030363A" w:rsidRPr="00CA6C42">
        <w:t xml:space="preserve"> which requires commissioners to “ensure each provider who made representations is afforded such further opportunity to explain or clarify the representations”.</w:t>
      </w:r>
    </w:p>
    <w:p w14:paraId="2E220411" w14:textId="4A0FD72F" w:rsidR="008A234C" w:rsidRPr="00C31F0D" w:rsidRDefault="008A234C" w:rsidP="005E3256">
      <w:pPr>
        <w:pStyle w:val="Heading1"/>
        <w:ind w:left="567" w:hanging="567"/>
      </w:pPr>
      <w:bookmarkStart w:id="29" w:name="_Toc225930408"/>
      <w:r w:rsidRPr="00C31F0D">
        <w:t>Panel Advice</w:t>
      </w:r>
      <w:bookmarkEnd w:id="29"/>
    </w:p>
    <w:p w14:paraId="2523743E" w14:textId="3A77F550" w:rsidR="008A234C" w:rsidRDefault="008A234C" w:rsidP="00605FEE">
      <w:pPr>
        <w:pStyle w:val="ListParagraph"/>
      </w:pPr>
      <w:r w:rsidRPr="008A234C">
        <w:t>In summary, the Panel’s findings on the provider selection process ca</w:t>
      </w:r>
      <w:r w:rsidR="000327C5">
        <w:t>r</w:t>
      </w:r>
      <w:r w:rsidRPr="008A234C">
        <w:t xml:space="preserve">ried out by </w:t>
      </w:r>
      <w:r w:rsidR="00446055">
        <w:t xml:space="preserve">HHFT </w:t>
      </w:r>
      <w:r w:rsidRPr="008A234C">
        <w:t xml:space="preserve">for the </w:t>
      </w:r>
      <w:r w:rsidR="00446055">
        <w:t xml:space="preserve">UTC service at Basingstoke </w:t>
      </w:r>
      <w:r w:rsidR="00DA2254">
        <w:t xml:space="preserve">Hospital </w:t>
      </w:r>
      <w:r w:rsidR="00446055">
        <w:t xml:space="preserve">and Royal Hampshire </w:t>
      </w:r>
      <w:r w:rsidR="002049DA">
        <w:t>H</w:t>
      </w:r>
      <w:r w:rsidR="00446055">
        <w:t xml:space="preserve">ospital </w:t>
      </w:r>
      <w:r w:rsidRPr="008A234C">
        <w:t>are as follows:</w:t>
      </w:r>
    </w:p>
    <w:p w14:paraId="112AAA01" w14:textId="237D0697" w:rsidR="00994D0E" w:rsidRPr="009F5235" w:rsidRDefault="00994D0E" w:rsidP="00BD0BD8">
      <w:pPr>
        <w:pStyle w:val="ListParagraph"/>
        <w:numPr>
          <w:ilvl w:val="0"/>
          <w:numId w:val="10"/>
        </w:numPr>
        <w:ind w:left="1134"/>
      </w:pPr>
      <w:r w:rsidRPr="009F5235">
        <w:t xml:space="preserve">First, </w:t>
      </w:r>
      <w:r w:rsidR="00771C5A">
        <w:t xml:space="preserve">the Panel finds that HHFT, in using the MSP process, breached the PSR regulations, and in particular Regulation 6(6)(c), which requires the commissioner to be of </w:t>
      </w:r>
      <w:r w:rsidR="00771C5A" w:rsidRPr="001113E0">
        <w:t>the view, taking into account likely providers and all relevant information available at the time, that it is likely to be able to identify the most suitable provider</w:t>
      </w:r>
      <w:r w:rsidR="0055281C" w:rsidRPr="00361115">
        <w:t>.</w:t>
      </w:r>
    </w:p>
    <w:p w14:paraId="6A3C4D19" w14:textId="2687EA30" w:rsidR="00994D0E" w:rsidRPr="009F5235" w:rsidRDefault="00994D0E" w:rsidP="00BD0BD8">
      <w:pPr>
        <w:pStyle w:val="ListParagraph"/>
        <w:numPr>
          <w:ilvl w:val="0"/>
          <w:numId w:val="10"/>
        </w:numPr>
        <w:ind w:left="1134"/>
      </w:pPr>
      <w:r w:rsidRPr="009F5235">
        <w:t xml:space="preserve">Second, </w:t>
      </w:r>
      <w:r w:rsidR="00771C5A">
        <w:t xml:space="preserve">the Panel finds that HHFT, in failing to keep records regarding its decision to use the MSP process or </w:t>
      </w:r>
      <w:r w:rsidR="0005231E">
        <w:t>to continue using the MSP process following expressions of interest, breached the PSR regulations, and in particular Regulation 24(g) which requires commissioners to keep a record of the reasons for decisions made under the PSR regulations</w:t>
      </w:r>
      <w:r w:rsidR="006B3E51" w:rsidRPr="00361115">
        <w:t>.</w:t>
      </w:r>
    </w:p>
    <w:p w14:paraId="492A3531" w14:textId="14F239C6" w:rsidR="006B3E51" w:rsidRPr="00361115" w:rsidRDefault="006B3E51" w:rsidP="00BD0BD8">
      <w:pPr>
        <w:pStyle w:val="ListParagraph"/>
        <w:numPr>
          <w:ilvl w:val="0"/>
          <w:numId w:val="10"/>
        </w:numPr>
        <w:ind w:left="1134"/>
      </w:pPr>
      <w:r w:rsidRPr="009F5235">
        <w:t xml:space="preserve">Third, </w:t>
      </w:r>
      <w:r w:rsidR="00771C5A">
        <w:t>the Panel finds that HHFT, in carrying out the MSP process, breached the PSR regulations</w:t>
      </w:r>
      <w:r w:rsidR="00174E99">
        <w:t>,</w:t>
      </w:r>
      <w:r w:rsidR="00771C5A">
        <w:t xml:space="preserve"> and in particular Regulations 10(1)(b) and 10(6) which requires commissioners to assess potential providers without a </w:t>
      </w:r>
      <w:proofErr w:type="gramStart"/>
      <w:r w:rsidR="00771C5A">
        <w:t>competition</w:t>
      </w:r>
      <w:proofErr w:type="gramEnd"/>
      <w:r w:rsidR="00771C5A">
        <w:t xml:space="preserve"> or an assessment of providers’ offers</w:t>
      </w:r>
      <w:r w:rsidR="00631BC3" w:rsidRPr="00361115">
        <w:t>.</w:t>
      </w:r>
    </w:p>
    <w:p w14:paraId="5574B55D" w14:textId="28C25FE7" w:rsidR="00361115" w:rsidRDefault="00361115" w:rsidP="00BD0BD8">
      <w:pPr>
        <w:pStyle w:val="ListParagraph"/>
        <w:numPr>
          <w:ilvl w:val="0"/>
          <w:numId w:val="10"/>
        </w:numPr>
        <w:ind w:left="1134"/>
      </w:pPr>
      <w:r>
        <w:t xml:space="preserve">Fourth, </w:t>
      </w:r>
      <w:r w:rsidR="00EF55FC">
        <w:t>the Panel finds that HHFT, in selecting a provider for the Basingstoke Hospital UTC based on proposals that were prepared on the basis of a single operator being selected for the UTC services at Basingstoke Hospital and Royal Hampshire Hospitals, breached the PSR regulations, and in particular Regulation</w:t>
      </w:r>
      <w:r w:rsidR="00EF1F0C">
        <w:t> </w:t>
      </w:r>
      <w:r w:rsidR="00EF55FC">
        <w:t>4(1)(b) which requires commissioners to act transparently and fairly.</w:t>
      </w:r>
    </w:p>
    <w:p w14:paraId="60F8FF68" w14:textId="493A90D4" w:rsidR="00361115" w:rsidRDefault="00361115" w:rsidP="00C564A8">
      <w:pPr>
        <w:pStyle w:val="ListParagraph"/>
        <w:numPr>
          <w:ilvl w:val="0"/>
          <w:numId w:val="10"/>
        </w:numPr>
        <w:ind w:left="1134"/>
      </w:pPr>
      <w:r>
        <w:lastRenderedPageBreak/>
        <w:t xml:space="preserve">Fifth, </w:t>
      </w:r>
      <w:r w:rsidR="00587E24">
        <w:t>the Panel finds that HHFT, in failing to determine the basic selection criteria and assess providers against these criteria, breached the PSR regulations, and in particular Regulations 10(4), 10(6), 19(1) and 19(3), which require the formulation and application of basic selection criteria before any contract is awarded</w:t>
      </w:r>
      <w:r>
        <w:t>.</w:t>
      </w:r>
    </w:p>
    <w:p w14:paraId="5E76FF2C" w14:textId="5C523C51" w:rsidR="00231510" w:rsidRDefault="00231510" w:rsidP="00C564A8">
      <w:pPr>
        <w:pStyle w:val="ListParagraph"/>
        <w:numPr>
          <w:ilvl w:val="0"/>
          <w:numId w:val="10"/>
        </w:numPr>
        <w:ind w:left="1134"/>
      </w:pPr>
      <w:r>
        <w:t>Sixth, the Panel finds that HHFT, in failing to keep records concerning the basic selection criteria, breached the PSR regulations, and in particular Regulation 24(e) which requires commissioners, when using the MSP process, to keep a record of “the way in which … the basic selection criteria were assessed when making decisions”.</w:t>
      </w:r>
    </w:p>
    <w:p w14:paraId="1A689191" w14:textId="2F633D95" w:rsidR="00361115" w:rsidRDefault="00103D62" w:rsidP="00BD0BD8">
      <w:pPr>
        <w:pStyle w:val="ListParagraph"/>
        <w:numPr>
          <w:ilvl w:val="0"/>
          <w:numId w:val="10"/>
        </w:numPr>
        <w:ind w:left="1134"/>
      </w:pPr>
      <w:r>
        <w:t>Seventh</w:t>
      </w:r>
      <w:r w:rsidR="00361115">
        <w:t xml:space="preserve">, </w:t>
      </w:r>
      <w:r w:rsidR="00965040" w:rsidRPr="004C0356">
        <w:t>the Panel finds that HHFT, in failing</w:t>
      </w:r>
      <w:r w:rsidR="00965040">
        <w:t xml:space="preserve"> to share its evaluation methodology with providers, breached the PSR regulations, and in particular Regulation 4(1)(b) which requires commissioners to act transparently, fairly and proportionately.</w:t>
      </w:r>
    </w:p>
    <w:p w14:paraId="38722135" w14:textId="3789BD5B" w:rsidR="005C3C5A" w:rsidRPr="009F5235" w:rsidRDefault="00965040" w:rsidP="00BD0BD8">
      <w:pPr>
        <w:pStyle w:val="ListParagraph"/>
        <w:numPr>
          <w:ilvl w:val="0"/>
          <w:numId w:val="10"/>
        </w:numPr>
        <w:ind w:left="1134"/>
      </w:pPr>
      <w:r>
        <w:t>Eighth</w:t>
      </w:r>
      <w:r w:rsidR="005C3C5A">
        <w:t xml:space="preserve">, </w:t>
      </w:r>
      <w:r w:rsidR="00277041">
        <w:t xml:space="preserve">the Panel finds that HHFT, in failing to provide a complete response to NHUC’s requests for information during the representations review process, breached the PSR regulations, and in particular Regulation 12(4)(b) which requires commissioners to </w:t>
      </w:r>
      <w:r w:rsidR="00277041" w:rsidRPr="00F3724D">
        <w:t xml:space="preserve">provide promptly any information requested by an aggrieved provider where the </w:t>
      </w:r>
      <w:r w:rsidR="00277041">
        <w:t xml:space="preserve">commissioner </w:t>
      </w:r>
      <w:r w:rsidR="00277041" w:rsidRPr="00F3724D">
        <w:t xml:space="preserve">has a duty to record that information under </w:t>
      </w:r>
      <w:r w:rsidR="00277041">
        <w:t>R</w:t>
      </w:r>
      <w:r w:rsidR="00277041" w:rsidRPr="00F3724D">
        <w:t>egulation 24</w:t>
      </w:r>
      <w:r w:rsidR="00277041">
        <w:t>.</w:t>
      </w:r>
    </w:p>
    <w:p w14:paraId="6DCF91F5" w14:textId="11E40210" w:rsidR="00994D0E" w:rsidRPr="009F5235" w:rsidRDefault="00994D0E" w:rsidP="00BD0BD8">
      <w:pPr>
        <w:pStyle w:val="ListParagraph"/>
        <w:numPr>
          <w:ilvl w:val="0"/>
          <w:numId w:val="10"/>
        </w:numPr>
        <w:ind w:left="1134"/>
      </w:pPr>
      <w:r w:rsidRPr="009F5235">
        <w:t xml:space="preserve">Finally, </w:t>
      </w:r>
      <w:r w:rsidR="00277041" w:rsidRPr="00CA6C42">
        <w:t xml:space="preserve">the Panel finds that HHFT, in responding to NHUC’s information requests </w:t>
      </w:r>
      <w:r w:rsidR="00277041">
        <w:t>at the same time as communicating its further decision on the provider selection process</w:t>
      </w:r>
      <w:r w:rsidR="00277041" w:rsidRPr="00CA6C42">
        <w:t>, breached the PSR regulations, and in particular Regulation 12(4)(b)</w:t>
      </w:r>
      <w:r w:rsidR="00277041">
        <w:t xml:space="preserve">, which requires the commissioner to provide promptly requested information, and </w:t>
      </w:r>
      <w:r w:rsidR="00277041" w:rsidRPr="00CA6C42">
        <w:t>Regulation 12(4)(a)</w:t>
      </w:r>
      <w:r w:rsidR="00277041">
        <w:t>,</w:t>
      </w:r>
      <w:r w:rsidR="00277041" w:rsidRPr="00CA6C42">
        <w:t xml:space="preserve"> which requires commissioners to “ensure each provider who made representations is afforded such further opportunity to explain or clarify the representations”.</w:t>
      </w:r>
    </w:p>
    <w:p w14:paraId="767DDE48" w14:textId="429FCB7B" w:rsidR="00CF70FF" w:rsidRPr="009F5235" w:rsidRDefault="0078484E" w:rsidP="009F5235">
      <w:pPr>
        <w:pStyle w:val="ListParagraph"/>
        <w:contextualSpacing/>
      </w:pPr>
      <w:r>
        <w:t>T</w:t>
      </w:r>
      <w:r w:rsidR="00CF70FF" w:rsidRPr="009F5235">
        <w:t>hree options are open to the Panel</w:t>
      </w:r>
      <w:r>
        <w:t xml:space="preserve"> when it finds one or more breaches of the PSR regulations</w:t>
      </w:r>
      <w:r w:rsidR="00CF70FF" w:rsidRPr="009F5235">
        <w:t>. The Panel may advise that:</w:t>
      </w:r>
    </w:p>
    <w:p w14:paraId="54FE638B" w14:textId="1E1C8839" w:rsidR="00CF70FF" w:rsidRPr="009F5235" w:rsidRDefault="0029760A" w:rsidP="00BD0BD8">
      <w:pPr>
        <w:pStyle w:val="ListParagraph"/>
        <w:numPr>
          <w:ilvl w:val="0"/>
          <w:numId w:val="11"/>
        </w:numPr>
        <w:ind w:left="1134"/>
        <w:contextualSpacing/>
      </w:pPr>
      <w:r>
        <w:t>t</w:t>
      </w:r>
      <w:r w:rsidR="00CF70FF" w:rsidRPr="009F5235">
        <w:t xml:space="preserve">he breaches had no material effect on </w:t>
      </w:r>
      <w:r w:rsidRPr="009F5235">
        <w:t>HHFT</w:t>
      </w:r>
      <w:r w:rsidR="00CF70FF" w:rsidRPr="009F5235">
        <w:t xml:space="preserve">’s selection of a </w:t>
      </w:r>
      <w:proofErr w:type="gramStart"/>
      <w:r w:rsidR="00CF70FF" w:rsidRPr="009F5235">
        <w:t>provider</w:t>
      </w:r>
      <w:proofErr w:type="gramEnd"/>
      <w:r w:rsidR="00CF70FF" w:rsidRPr="009F5235">
        <w:t xml:space="preserve"> and it should proceed with awarding the contract as originally </w:t>
      </w:r>
      <w:proofErr w:type="gramStart"/>
      <w:r w:rsidR="00CF70FF" w:rsidRPr="009F5235">
        <w:t>intended;</w:t>
      </w:r>
      <w:proofErr w:type="gramEnd"/>
    </w:p>
    <w:p w14:paraId="4D42BFF5" w14:textId="482F8F54" w:rsidR="00CF70FF" w:rsidRPr="009F5235" w:rsidRDefault="0029760A" w:rsidP="00BD0BD8">
      <w:pPr>
        <w:pStyle w:val="ListParagraph"/>
        <w:numPr>
          <w:ilvl w:val="0"/>
          <w:numId w:val="11"/>
        </w:numPr>
        <w:ind w:left="1134"/>
        <w:contextualSpacing/>
      </w:pPr>
      <w:r w:rsidRPr="009F5235">
        <w:t xml:space="preserve">HHFT </w:t>
      </w:r>
      <w:r w:rsidR="004F42F7" w:rsidRPr="009F5235">
        <w:t>should return to an earlier step in the provider selection process to recti</w:t>
      </w:r>
      <w:r w:rsidRPr="009F5235">
        <w:t>f</w:t>
      </w:r>
      <w:r w:rsidR="004F42F7" w:rsidRPr="009F5235">
        <w:t>y the issues identified by the Panel; or</w:t>
      </w:r>
    </w:p>
    <w:p w14:paraId="547F2AAE" w14:textId="639A6B98" w:rsidR="004F42F7" w:rsidRPr="009F5235" w:rsidRDefault="0029760A" w:rsidP="00BD0BD8">
      <w:pPr>
        <w:pStyle w:val="ListParagraph"/>
        <w:numPr>
          <w:ilvl w:val="0"/>
          <w:numId w:val="11"/>
        </w:numPr>
        <w:ind w:left="1134"/>
      </w:pPr>
      <w:r w:rsidRPr="009F5235">
        <w:t>HHFT</w:t>
      </w:r>
      <w:r w:rsidR="004F42F7" w:rsidRPr="009F5235">
        <w:t xml:space="preserve"> should abandon the current provider selection process.</w:t>
      </w:r>
    </w:p>
    <w:p w14:paraId="29E2F438" w14:textId="48312A25" w:rsidR="005618A1" w:rsidRDefault="005F341E" w:rsidP="009F5235">
      <w:pPr>
        <w:pStyle w:val="ListParagraph"/>
        <w:spacing w:after="120"/>
      </w:pPr>
      <w:r>
        <w:t>HHFT told the Panel that</w:t>
      </w:r>
      <w:r w:rsidR="00056F01">
        <w:t xml:space="preserve"> any </w:t>
      </w:r>
      <w:r w:rsidR="00490956">
        <w:t>shortcomings in its process</w:t>
      </w:r>
      <w:r w:rsidR="00056F01">
        <w:t xml:space="preserve"> were </w:t>
      </w:r>
      <w:r w:rsidR="00075D6F">
        <w:t>not material in terms of the end outcome, saying</w:t>
      </w:r>
      <w:r w:rsidR="005618A1">
        <w:t>:</w:t>
      </w:r>
    </w:p>
    <w:p w14:paraId="2AC9C2EA" w14:textId="15075852" w:rsidR="005618A1" w:rsidRPr="009F5235" w:rsidRDefault="00B86F0C" w:rsidP="00C564A8">
      <w:pPr>
        <w:pStyle w:val="ListParagraph"/>
        <w:numPr>
          <w:ilvl w:val="0"/>
          <w:numId w:val="0"/>
        </w:numPr>
        <w:spacing w:after="120" w:line="259" w:lineRule="auto"/>
        <w:ind w:left="851"/>
        <w:rPr>
          <w:sz w:val="21"/>
          <w:szCs w:val="21"/>
        </w:rPr>
      </w:pPr>
      <w:r w:rsidRPr="009F5235">
        <w:rPr>
          <w:sz w:val="21"/>
          <w:szCs w:val="21"/>
        </w:rPr>
        <w:t xml:space="preserve">“it is clear that from what we have done, we’ve selected a provider who was the most </w:t>
      </w:r>
      <w:r w:rsidR="00E9149C" w:rsidRPr="009F5235">
        <w:rPr>
          <w:sz w:val="21"/>
          <w:szCs w:val="21"/>
        </w:rPr>
        <w:t xml:space="preserve">suitable provider </w:t>
      </w:r>
      <w:r w:rsidR="008715E8">
        <w:rPr>
          <w:sz w:val="21"/>
          <w:szCs w:val="21"/>
        </w:rPr>
        <w:t xml:space="preserve">… </w:t>
      </w:r>
      <w:r w:rsidR="00E9149C" w:rsidRPr="009F5235">
        <w:rPr>
          <w:sz w:val="21"/>
          <w:szCs w:val="21"/>
        </w:rPr>
        <w:t xml:space="preserve">given the process that we followed. It was a logical choice to offer the contract to </w:t>
      </w:r>
      <w:proofErr w:type="spellStart"/>
      <w:r w:rsidR="007D6270" w:rsidRPr="009F5235">
        <w:rPr>
          <w:sz w:val="21"/>
          <w:szCs w:val="21"/>
        </w:rPr>
        <w:t>Atrumed</w:t>
      </w:r>
      <w:proofErr w:type="spellEnd"/>
      <w:r w:rsidR="007D6270" w:rsidRPr="009F5235">
        <w:rPr>
          <w:sz w:val="21"/>
          <w:szCs w:val="21"/>
        </w:rPr>
        <w:t xml:space="preserve">. I would hope that is reflected in what </w:t>
      </w:r>
      <w:r w:rsidR="00DC227A" w:rsidRPr="009F5235">
        <w:rPr>
          <w:sz w:val="21"/>
          <w:szCs w:val="21"/>
        </w:rPr>
        <w:t>[the Panel] has seen … but this was a process about trying to find the best provider for our service. We entered into it as openly as we could</w:t>
      </w:r>
      <w:r w:rsidR="002C687A">
        <w:rPr>
          <w:sz w:val="21"/>
          <w:szCs w:val="21"/>
        </w:rPr>
        <w:t xml:space="preserve"> ..</w:t>
      </w:r>
      <w:r w:rsidR="00DC227A" w:rsidRPr="009F5235">
        <w:rPr>
          <w:sz w:val="21"/>
          <w:szCs w:val="21"/>
        </w:rPr>
        <w:t xml:space="preserve">. </w:t>
      </w:r>
      <w:r w:rsidR="005618A1" w:rsidRPr="009F5235">
        <w:rPr>
          <w:sz w:val="21"/>
          <w:szCs w:val="21"/>
        </w:rPr>
        <w:t>I believe we still got to the outcome that we would always have achieved”</w:t>
      </w:r>
      <w:r w:rsidR="00BC5672">
        <w:rPr>
          <w:sz w:val="21"/>
          <w:szCs w:val="21"/>
        </w:rPr>
        <w:t>.</w:t>
      </w:r>
      <w:r w:rsidR="00317B23">
        <w:rPr>
          <w:rStyle w:val="FootnoteReference"/>
          <w:sz w:val="21"/>
          <w:szCs w:val="21"/>
        </w:rPr>
        <w:footnoteReference w:id="53"/>
      </w:r>
    </w:p>
    <w:p w14:paraId="7BD1D996" w14:textId="50A9F099" w:rsidR="004F42F7" w:rsidRDefault="00D44100" w:rsidP="00605FEE">
      <w:pPr>
        <w:pStyle w:val="ListParagraph"/>
      </w:pPr>
      <w:r w:rsidRPr="009F5235">
        <w:lastRenderedPageBreak/>
        <w:t>The Panel’s view</w:t>
      </w:r>
      <w:r>
        <w:t xml:space="preserve">, however, is that the number and significance of the breaches of the PSR regulations in terms of their potential effect on the outcome of the provider selection process means that there cannot be any confidence that HHFT would have selected the same provider had it conducted a provider selection process in accordance with the PSR regulations. </w:t>
      </w:r>
      <w:r w:rsidR="002274AA">
        <w:t>That is, the Panel’s view is that HHFT’s breaches of the PSR regulations are highly material</w:t>
      </w:r>
      <w:r w:rsidR="00952F79" w:rsidRPr="009F5235">
        <w:t>.</w:t>
      </w:r>
    </w:p>
    <w:p w14:paraId="156A529D" w14:textId="6BCAC80E" w:rsidR="009D2687" w:rsidRDefault="00D56B72" w:rsidP="00180983">
      <w:pPr>
        <w:pStyle w:val="ListParagraph"/>
      </w:pPr>
      <w:r>
        <w:t xml:space="preserve">The Panel is further of the view that </w:t>
      </w:r>
      <w:r w:rsidR="00180983">
        <w:t xml:space="preserve">the </w:t>
      </w:r>
      <w:r w:rsidR="00653F48">
        <w:t>nature</w:t>
      </w:r>
      <w:r w:rsidR="0057553C">
        <w:t xml:space="preserve"> </w:t>
      </w:r>
      <w:r w:rsidR="00180983">
        <w:t xml:space="preserve">of the breaches </w:t>
      </w:r>
      <w:r w:rsidR="0057553C">
        <w:t xml:space="preserve">of the PSR regulations </w:t>
      </w:r>
      <w:r w:rsidR="00234015">
        <w:t xml:space="preserve">(e.g. </w:t>
      </w:r>
      <w:r w:rsidR="00E83159">
        <w:t xml:space="preserve">the </w:t>
      </w:r>
      <w:r w:rsidR="003E48CF">
        <w:t xml:space="preserve">breaches concerning the selection of the MSP process and </w:t>
      </w:r>
      <w:r w:rsidR="00E90784">
        <w:t xml:space="preserve">HHFT’s </w:t>
      </w:r>
      <w:r w:rsidR="00234015">
        <w:t>failure to identify and apply basic selection criteria</w:t>
      </w:r>
      <w:r w:rsidR="00E83159">
        <w:t xml:space="preserve">) </w:t>
      </w:r>
      <w:r>
        <w:t xml:space="preserve">mean that </w:t>
      </w:r>
      <w:r w:rsidR="0057553C">
        <w:t xml:space="preserve">it is not possible to rectify these breaches by returning </w:t>
      </w:r>
      <w:r w:rsidR="00180983">
        <w:t xml:space="preserve">to an earlier step in the </w:t>
      </w:r>
      <w:r w:rsidR="00CA3931">
        <w:t xml:space="preserve">current </w:t>
      </w:r>
      <w:r w:rsidR="00180983">
        <w:t>provider selection process.</w:t>
      </w:r>
    </w:p>
    <w:p w14:paraId="7952B4B1" w14:textId="6D84718E" w:rsidR="00952F79" w:rsidRDefault="00180983" w:rsidP="00180983">
      <w:pPr>
        <w:pStyle w:val="ListParagraph"/>
      </w:pPr>
      <w:r>
        <w:t xml:space="preserve">As a result, the Panel’s advice is that HHFT </w:t>
      </w:r>
      <w:r w:rsidR="00952F79" w:rsidRPr="009F5235">
        <w:t>should abandon the current provider selection process.</w:t>
      </w:r>
    </w:p>
    <w:p w14:paraId="3A0AC9B0" w14:textId="77777777" w:rsidR="002311A2" w:rsidRDefault="002311A2" w:rsidP="00F82554">
      <w:pPr>
        <w:spacing w:line="276" w:lineRule="auto"/>
        <w:rPr>
          <w:highlight w:val="yellow"/>
        </w:rPr>
      </w:pPr>
    </w:p>
    <w:p w14:paraId="7F418FA6" w14:textId="77777777" w:rsidR="007C040C" w:rsidRDefault="007C040C" w:rsidP="00F82554">
      <w:pPr>
        <w:spacing w:line="276" w:lineRule="auto"/>
        <w:rPr>
          <w:highlight w:val="yellow"/>
        </w:rPr>
        <w:sectPr w:rsidR="007C040C" w:rsidSect="005E3256">
          <w:footerReference w:type="default" r:id="rId11"/>
          <w:pgSz w:w="11906" w:h="16838"/>
          <w:pgMar w:top="1440" w:right="1440" w:bottom="1440" w:left="1440" w:header="708" w:footer="708" w:gutter="0"/>
          <w:cols w:space="708"/>
          <w:titlePg/>
          <w:docGrid w:linePitch="360"/>
        </w:sectPr>
      </w:pPr>
    </w:p>
    <w:p w14:paraId="49893C88" w14:textId="77777777" w:rsidR="0044752A" w:rsidRPr="0044752A" w:rsidRDefault="0044752A" w:rsidP="009F5235">
      <w:pPr>
        <w:pStyle w:val="Heading1"/>
        <w:numPr>
          <w:ilvl w:val="0"/>
          <w:numId w:val="0"/>
        </w:numPr>
      </w:pPr>
      <w:bookmarkStart w:id="30" w:name="_Toc225930409"/>
      <w:r w:rsidRPr="0044752A">
        <w:lastRenderedPageBreak/>
        <w:t>Appendix 1: Panel review of HHFT’s response to NHUC’s information requests</w:t>
      </w:r>
      <w:bookmarkEnd w:id="30"/>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6237"/>
        <w:gridCol w:w="6662"/>
      </w:tblGrid>
      <w:tr w:rsidR="00EE4AF3" w:rsidRPr="006D433C" w14:paraId="7EEFEAA6" w14:textId="77777777" w:rsidTr="00933338">
        <w:tc>
          <w:tcPr>
            <w:tcW w:w="2122" w:type="dxa"/>
            <w:shd w:val="clear" w:color="auto" w:fill="D9D9D9" w:themeFill="background1" w:themeFillShade="D9"/>
            <w:vAlign w:val="center"/>
          </w:tcPr>
          <w:p w14:paraId="106325FF" w14:textId="5C843173" w:rsidR="007C040C" w:rsidRPr="002B6D26" w:rsidRDefault="007C040C">
            <w:pPr>
              <w:spacing w:before="60" w:after="60"/>
              <w:jc w:val="center"/>
              <w:rPr>
                <w:rFonts w:cs="Arial"/>
                <w:b/>
                <w:bCs/>
                <w:sz w:val="18"/>
                <w:szCs w:val="18"/>
              </w:rPr>
            </w:pPr>
            <w:r w:rsidRPr="002B6D26">
              <w:rPr>
                <w:rFonts w:cs="Arial"/>
                <w:b/>
                <w:bCs/>
                <w:sz w:val="18"/>
                <w:szCs w:val="18"/>
              </w:rPr>
              <w:t>NHUC’s information request</w:t>
            </w:r>
          </w:p>
        </w:tc>
        <w:tc>
          <w:tcPr>
            <w:tcW w:w="6237" w:type="dxa"/>
            <w:shd w:val="clear" w:color="auto" w:fill="D9D9D9" w:themeFill="background1" w:themeFillShade="D9"/>
            <w:vAlign w:val="center"/>
          </w:tcPr>
          <w:p w14:paraId="46B56980" w14:textId="77777777" w:rsidR="007C040C" w:rsidRPr="002B6D26" w:rsidRDefault="007C040C">
            <w:pPr>
              <w:spacing w:before="60" w:after="60"/>
              <w:jc w:val="center"/>
              <w:rPr>
                <w:rFonts w:cs="Arial"/>
                <w:b/>
                <w:bCs/>
                <w:sz w:val="18"/>
                <w:szCs w:val="18"/>
              </w:rPr>
            </w:pPr>
            <w:r w:rsidRPr="002B6D26">
              <w:rPr>
                <w:rFonts w:cs="Arial"/>
                <w:b/>
                <w:bCs/>
                <w:sz w:val="18"/>
                <w:szCs w:val="18"/>
              </w:rPr>
              <w:t>HHFT’s response</w:t>
            </w:r>
          </w:p>
        </w:tc>
        <w:tc>
          <w:tcPr>
            <w:tcW w:w="6662" w:type="dxa"/>
            <w:shd w:val="clear" w:color="auto" w:fill="D9D9D9" w:themeFill="background1" w:themeFillShade="D9"/>
            <w:vAlign w:val="center"/>
          </w:tcPr>
          <w:p w14:paraId="389D2061" w14:textId="77777777" w:rsidR="007C040C" w:rsidRPr="002B6D26" w:rsidRDefault="007C040C">
            <w:pPr>
              <w:spacing w:before="60" w:after="60"/>
              <w:jc w:val="center"/>
              <w:rPr>
                <w:rFonts w:cs="Arial"/>
                <w:b/>
                <w:bCs/>
                <w:sz w:val="18"/>
                <w:szCs w:val="18"/>
              </w:rPr>
            </w:pPr>
            <w:r w:rsidRPr="002B6D26">
              <w:rPr>
                <w:rFonts w:cs="Arial"/>
                <w:b/>
                <w:bCs/>
                <w:sz w:val="18"/>
                <w:szCs w:val="18"/>
              </w:rPr>
              <w:t>Panel’s view</w:t>
            </w:r>
          </w:p>
        </w:tc>
      </w:tr>
      <w:tr w:rsidR="00EE4AF3" w:rsidRPr="006D433C" w14:paraId="4765D2E1" w14:textId="77777777" w:rsidTr="00933338">
        <w:tc>
          <w:tcPr>
            <w:tcW w:w="2122" w:type="dxa"/>
          </w:tcPr>
          <w:p w14:paraId="5509D219" w14:textId="77777777" w:rsidR="007C040C" w:rsidRPr="002B6D26" w:rsidRDefault="007C040C">
            <w:pPr>
              <w:spacing w:before="60" w:after="60"/>
              <w:rPr>
                <w:rFonts w:cs="Arial"/>
                <w:sz w:val="18"/>
                <w:szCs w:val="18"/>
              </w:rPr>
            </w:pPr>
            <w:r>
              <w:rPr>
                <w:rFonts w:cs="Arial"/>
                <w:sz w:val="18"/>
                <w:szCs w:val="18"/>
              </w:rPr>
              <w:t xml:space="preserve">1. </w:t>
            </w:r>
            <w:r w:rsidRPr="002B6D26">
              <w:rPr>
                <w:rFonts w:cs="Arial"/>
                <w:sz w:val="18"/>
                <w:szCs w:val="18"/>
              </w:rPr>
              <w:t>“Please confirm which provider or providers the Trust identified as being the most suitable at the outset of the process.”</w:t>
            </w:r>
          </w:p>
        </w:tc>
        <w:tc>
          <w:tcPr>
            <w:tcW w:w="6237" w:type="dxa"/>
          </w:tcPr>
          <w:p w14:paraId="74CDE338" w14:textId="77777777" w:rsidR="007C040C" w:rsidRPr="002B6D26" w:rsidRDefault="007C040C">
            <w:pPr>
              <w:spacing w:before="60" w:after="60"/>
              <w:rPr>
                <w:rFonts w:cs="Arial"/>
                <w:sz w:val="18"/>
                <w:szCs w:val="18"/>
              </w:rPr>
            </w:pPr>
            <w:r>
              <w:rPr>
                <w:rFonts w:cs="Arial"/>
                <w:sz w:val="18"/>
                <w:szCs w:val="18"/>
              </w:rPr>
              <w:t>“</w:t>
            </w:r>
            <w:r w:rsidRPr="002B6D26">
              <w:rPr>
                <w:rFonts w:cs="Arial"/>
                <w:sz w:val="18"/>
                <w:szCs w:val="18"/>
              </w:rPr>
              <w:t>We do not believe that the regulations require us to provide information about which providers the trust considered might be suitable prior to the publication of</w:t>
            </w:r>
            <w:r>
              <w:rPr>
                <w:rFonts w:cs="Arial"/>
                <w:sz w:val="18"/>
                <w:szCs w:val="18"/>
              </w:rPr>
              <w:t xml:space="preserve"> </w:t>
            </w:r>
            <w:r w:rsidRPr="002B6D26">
              <w:rPr>
                <w:rFonts w:cs="Arial"/>
                <w:sz w:val="18"/>
                <w:szCs w:val="18"/>
              </w:rPr>
              <w:t>our notice under 10 (2) and we do not believe that to would be appropriate to discuss these informal views with any provider. Such information would be tantamount to a subjective opinion of the trust as to a provider’s perceived performance and reputation and is of no objective value in this process. It may also be damaging to the commercial interests and reputations of providers who were and were not considered.</w:t>
            </w:r>
          </w:p>
          <w:p w14:paraId="1992C8E4" w14:textId="77777777" w:rsidR="007C040C" w:rsidRPr="002B6D26" w:rsidRDefault="007C040C">
            <w:pPr>
              <w:spacing w:after="60"/>
              <w:contextualSpacing/>
              <w:rPr>
                <w:rFonts w:cs="Arial"/>
                <w:sz w:val="18"/>
                <w:szCs w:val="18"/>
              </w:rPr>
            </w:pPr>
            <w:r>
              <w:rPr>
                <w:rFonts w:cs="Arial"/>
                <w:sz w:val="18"/>
                <w:szCs w:val="18"/>
              </w:rPr>
              <w:t>“</w:t>
            </w:r>
            <w:r w:rsidRPr="002B6D26">
              <w:rPr>
                <w:rFonts w:cs="Arial"/>
                <w:sz w:val="18"/>
                <w:szCs w:val="18"/>
              </w:rPr>
              <w:t>We do understand our requirements as to transparency and accordingly we are happy to confirm that the following organisations responded to our notice and agreed to take part in our MSP process.</w:t>
            </w:r>
          </w:p>
          <w:p w14:paraId="2F319BE2" w14:textId="77777777" w:rsidR="007C040C" w:rsidRPr="002B6D26" w:rsidRDefault="007C040C" w:rsidP="00BD0BD8">
            <w:pPr>
              <w:numPr>
                <w:ilvl w:val="0"/>
                <w:numId w:val="16"/>
              </w:numPr>
              <w:spacing w:after="60"/>
              <w:contextualSpacing/>
              <w:rPr>
                <w:rFonts w:cs="Arial"/>
                <w:sz w:val="18"/>
                <w:szCs w:val="18"/>
              </w:rPr>
            </w:pPr>
            <w:r w:rsidRPr="002B6D26">
              <w:rPr>
                <w:rFonts w:cs="Arial"/>
                <w:sz w:val="18"/>
                <w:szCs w:val="18"/>
              </w:rPr>
              <w:t>North Hampshire Urgent Care</w:t>
            </w:r>
          </w:p>
          <w:p w14:paraId="1D360AC4" w14:textId="77777777" w:rsidR="007C040C" w:rsidRPr="002B6D26" w:rsidRDefault="007C040C" w:rsidP="00BD0BD8">
            <w:pPr>
              <w:numPr>
                <w:ilvl w:val="0"/>
                <w:numId w:val="17"/>
              </w:numPr>
              <w:spacing w:after="60"/>
              <w:contextualSpacing/>
              <w:rPr>
                <w:rFonts w:cs="Arial"/>
                <w:sz w:val="18"/>
                <w:szCs w:val="18"/>
              </w:rPr>
            </w:pPr>
            <w:r w:rsidRPr="002B6D26">
              <w:rPr>
                <w:rFonts w:cs="Arial"/>
                <w:sz w:val="18"/>
                <w:szCs w:val="18"/>
              </w:rPr>
              <w:t>PHL Group Ltd</w:t>
            </w:r>
          </w:p>
          <w:p w14:paraId="3D47B6A1" w14:textId="77777777" w:rsidR="007C040C" w:rsidRPr="002B6D26" w:rsidRDefault="007C040C" w:rsidP="00BD0BD8">
            <w:pPr>
              <w:numPr>
                <w:ilvl w:val="0"/>
                <w:numId w:val="18"/>
              </w:numPr>
              <w:spacing w:after="60"/>
              <w:contextualSpacing/>
              <w:rPr>
                <w:rFonts w:cs="Arial"/>
                <w:sz w:val="18"/>
                <w:szCs w:val="18"/>
              </w:rPr>
            </w:pPr>
            <w:r w:rsidRPr="002B6D26">
              <w:rPr>
                <w:rFonts w:cs="Arial"/>
                <w:sz w:val="18"/>
                <w:szCs w:val="18"/>
              </w:rPr>
              <w:t>1 Clinical Ltd</w:t>
            </w:r>
          </w:p>
          <w:p w14:paraId="03360586" w14:textId="77777777" w:rsidR="007C040C" w:rsidRPr="002B6D26" w:rsidRDefault="007C040C" w:rsidP="00BD0BD8">
            <w:pPr>
              <w:numPr>
                <w:ilvl w:val="0"/>
                <w:numId w:val="19"/>
              </w:numPr>
              <w:spacing w:after="60"/>
              <w:contextualSpacing/>
              <w:rPr>
                <w:rFonts w:cs="Arial"/>
                <w:sz w:val="18"/>
                <w:szCs w:val="18"/>
              </w:rPr>
            </w:pPr>
            <w:r w:rsidRPr="002B6D26">
              <w:rPr>
                <w:rFonts w:cs="Arial"/>
                <w:sz w:val="18"/>
                <w:szCs w:val="18"/>
              </w:rPr>
              <w:t>Operose</w:t>
            </w:r>
          </w:p>
          <w:p w14:paraId="4A7EA0A6" w14:textId="77777777" w:rsidR="007C040C" w:rsidRPr="002B6D26" w:rsidRDefault="007C040C" w:rsidP="00BD0BD8">
            <w:pPr>
              <w:numPr>
                <w:ilvl w:val="0"/>
                <w:numId w:val="20"/>
              </w:numPr>
              <w:spacing w:after="60"/>
              <w:contextualSpacing/>
              <w:rPr>
                <w:rFonts w:cs="Arial"/>
                <w:sz w:val="18"/>
                <w:szCs w:val="18"/>
              </w:rPr>
            </w:pPr>
            <w:proofErr w:type="spellStart"/>
            <w:r w:rsidRPr="002B6D26">
              <w:rPr>
                <w:rFonts w:cs="Arial"/>
                <w:sz w:val="18"/>
                <w:szCs w:val="18"/>
              </w:rPr>
              <w:t>Atrumed</w:t>
            </w:r>
            <w:proofErr w:type="spellEnd"/>
          </w:p>
          <w:p w14:paraId="76E5D845" w14:textId="77777777" w:rsidR="007C040C" w:rsidRPr="002B6D26" w:rsidRDefault="007C040C" w:rsidP="00BD0BD8">
            <w:pPr>
              <w:numPr>
                <w:ilvl w:val="0"/>
                <w:numId w:val="21"/>
              </w:numPr>
              <w:spacing w:before="60" w:after="60"/>
              <w:rPr>
                <w:rFonts w:cs="Arial"/>
                <w:sz w:val="18"/>
                <w:szCs w:val="18"/>
              </w:rPr>
            </w:pPr>
            <w:r w:rsidRPr="002B6D26">
              <w:rPr>
                <w:rFonts w:cs="Arial"/>
                <w:sz w:val="18"/>
                <w:szCs w:val="18"/>
              </w:rPr>
              <w:t>Mid Hampshire Healthcare</w:t>
            </w:r>
          </w:p>
          <w:p w14:paraId="6AA6C959" w14:textId="77777777" w:rsidR="007C040C" w:rsidRPr="002B6D26" w:rsidRDefault="007C040C">
            <w:pPr>
              <w:spacing w:before="60" w:after="60"/>
              <w:rPr>
                <w:rFonts w:cs="Arial"/>
                <w:sz w:val="18"/>
                <w:szCs w:val="18"/>
              </w:rPr>
            </w:pPr>
            <w:r>
              <w:rPr>
                <w:rFonts w:cs="Arial"/>
                <w:sz w:val="18"/>
                <w:szCs w:val="18"/>
              </w:rPr>
              <w:t>“</w:t>
            </w:r>
            <w:r w:rsidRPr="002B6D26">
              <w:rPr>
                <w:rFonts w:cs="Arial"/>
                <w:sz w:val="18"/>
                <w:szCs w:val="18"/>
              </w:rPr>
              <w:t>All of these providers were known to the trust and demonstrated an ability to and experience of providing these services. Although all were known to the trust the trust was not aware that every provider would consider providing the service within our area.</w:t>
            </w:r>
            <w:r>
              <w:rPr>
                <w:rFonts w:cs="Arial"/>
                <w:sz w:val="18"/>
                <w:szCs w:val="18"/>
              </w:rPr>
              <w:t xml:space="preserve"> </w:t>
            </w:r>
            <w:r w:rsidRPr="002B6D26">
              <w:rPr>
                <w:rFonts w:cs="Arial"/>
                <w:sz w:val="18"/>
                <w:szCs w:val="18"/>
              </w:rPr>
              <w:t>Accordingly, we were pleased to note expressions of interests f</w:t>
            </w:r>
            <w:r>
              <w:rPr>
                <w:rFonts w:cs="Arial"/>
                <w:sz w:val="18"/>
                <w:szCs w:val="18"/>
              </w:rPr>
              <w:t>ro</w:t>
            </w:r>
            <w:r w:rsidRPr="002B6D26">
              <w:rPr>
                <w:rFonts w:cs="Arial"/>
                <w:sz w:val="18"/>
                <w:szCs w:val="18"/>
              </w:rPr>
              <w:t>m providers who have not previously offered their services in the North Hampshire area.”</w:t>
            </w:r>
          </w:p>
        </w:tc>
        <w:tc>
          <w:tcPr>
            <w:tcW w:w="6662" w:type="dxa"/>
          </w:tcPr>
          <w:p w14:paraId="5E34E1DD" w14:textId="6C4ADF50" w:rsidR="00794970" w:rsidRDefault="00A17025" w:rsidP="00F82DAB">
            <w:pPr>
              <w:spacing w:before="60" w:after="60"/>
              <w:rPr>
                <w:rFonts w:cs="Arial"/>
                <w:sz w:val="18"/>
                <w:szCs w:val="18"/>
              </w:rPr>
            </w:pPr>
            <w:r>
              <w:rPr>
                <w:rFonts w:cs="Arial"/>
                <w:sz w:val="18"/>
                <w:szCs w:val="18"/>
              </w:rPr>
              <w:t xml:space="preserve">The Panel notes that when deciding to use the MSP process </w:t>
            </w:r>
            <w:r w:rsidR="00D01F44">
              <w:rPr>
                <w:rFonts w:cs="Arial"/>
                <w:sz w:val="18"/>
                <w:szCs w:val="18"/>
              </w:rPr>
              <w:t xml:space="preserve">there is no requirement for the commissioner to have identified the </w:t>
            </w:r>
            <w:r w:rsidR="00A04104">
              <w:rPr>
                <w:rFonts w:cs="Arial"/>
                <w:sz w:val="18"/>
                <w:szCs w:val="18"/>
              </w:rPr>
              <w:t>provider or providers “</w:t>
            </w:r>
            <w:r w:rsidR="00D01F44">
              <w:rPr>
                <w:rFonts w:cs="Arial"/>
                <w:sz w:val="18"/>
                <w:szCs w:val="18"/>
              </w:rPr>
              <w:t>most suitable at the out</w:t>
            </w:r>
            <w:r w:rsidR="00CA6022">
              <w:rPr>
                <w:rFonts w:cs="Arial"/>
                <w:sz w:val="18"/>
                <w:szCs w:val="18"/>
              </w:rPr>
              <w:t>set</w:t>
            </w:r>
            <w:r w:rsidR="00A04104">
              <w:rPr>
                <w:rFonts w:cs="Arial"/>
                <w:sz w:val="18"/>
                <w:szCs w:val="18"/>
              </w:rPr>
              <w:t xml:space="preserve"> of the process”</w:t>
            </w:r>
            <w:r w:rsidR="00CA6022">
              <w:rPr>
                <w:rFonts w:cs="Arial"/>
                <w:sz w:val="18"/>
                <w:szCs w:val="18"/>
              </w:rPr>
              <w:t xml:space="preserve">. </w:t>
            </w:r>
            <w:r w:rsidR="00794970">
              <w:rPr>
                <w:rFonts w:cs="Arial"/>
                <w:sz w:val="18"/>
                <w:szCs w:val="18"/>
              </w:rPr>
              <w:t xml:space="preserve">As a result, there is no </w:t>
            </w:r>
            <w:r w:rsidR="00C8280C">
              <w:rPr>
                <w:rFonts w:cs="Arial"/>
                <w:sz w:val="18"/>
                <w:szCs w:val="18"/>
              </w:rPr>
              <w:t>relevant recordkeeping obligation for HHFT under Regulation 24, and consequently no obligation on HHFT to provide the requested information under Regulation 12(4)(b).</w:t>
            </w:r>
          </w:p>
          <w:p w14:paraId="57D062F1" w14:textId="545D0200" w:rsidR="00DA675E" w:rsidRDefault="00F82DAB">
            <w:pPr>
              <w:spacing w:before="60" w:after="60"/>
              <w:rPr>
                <w:rFonts w:cs="Arial"/>
                <w:sz w:val="18"/>
                <w:szCs w:val="18"/>
              </w:rPr>
            </w:pPr>
            <w:r w:rsidRPr="0033140B">
              <w:rPr>
                <w:rFonts w:cs="Arial"/>
                <w:sz w:val="18"/>
                <w:szCs w:val="18"/>
              </w:rPr>
              <w:t>The Panel</w:t>
            </w:r>
            <w:r>
              <w:rPr>
                <w:rFonts w:cs="Arial"/>
                <w:sz w:val="18"/>
                <w:szCs w:val="18"/>
              </w:rPr>
              <w:t xml:space="preserve"> notes that HHFT was</w:t>
            </w:r>
            <w:r w:rsidR="006F51BD">
              <w:rPr>
                <w:rFonts w:cs="Arial"/>
                <w:sz w:val="18"/>
                <w:szCs w:val="18"/>
              </w:rPr>
              <w:t>, however,</w:t>
            </w:r>
            <w:r>
              <w:rPr>
                <w:rFonts w:cs="Arial"/>
                <w:sz w:val="18"/>
                <w:szCs w:val="18"/>
              </w:rPr>
              <w:t xml:space="preserve"> obliged to keep a record of its reasons for decisions </w:t>
            </w:r>
            <w:r w:rsidR="006E447D">
              <w:rPr>
                <w:rFonts w:cs="Arial"/>
                <w:sz w:val="18"/>
                <w:szCs w:val="18"/>
              </w:rPr>
              <w:t xml:space="preserve">under </w:t>
            </w:r>
            <w:r>
              <w:rPr>
                <w:rFonts w:cs="Arial"/>
                <w:sz w:val="18"/>
                <w:szCs w:val="18"/>
              </w:rPr>
              <w:t>Regulation 24(g)</w:t>
            </w:r>
            <w:r w:rsidR="006F51BD">
              <w:rPr>
                <w:rFonts w:cs="Arial"/>
                <w:sz w:val="18"/>
                <w:szCs w:val="18"/>
              </w:rPr>
              <w:t xml:space="preserve">, and the </w:t>
            </w:r>
            <w:r w:rsidR="00FC4D3A">
              <w:rPr>
                <w:rFonts w:cs="Arial"/>
                <w:sz w:val="18"/>
                <w:szCs w:val="18"/>
              </w:rPr>
              <w:t xml:space="preserve">Panel’s view is that </w:t>
            </w:r>
            <w:r w:rsidR="008D25A4">
              <w:rPr>
                <w:rFonts w:cs="Arial"/>
                <w:sz w:val="18"/>
                <w:szCs w:val="18"/>
              </w:rPr>
              <w:t xml:space="preserve">this </w:t>
            </w:r>
            <w:r w:rsidR="00FC4D3A">
              <w:rPr>
                <w:rFonts w:cs="Arial"/>
                <w:sz w:val="18"/>
                <w:szCs w:val="18"/>
              </w:rPr>
              <w:t xml:space="preserve">record </w:t>
            </w:r>
            <w:r w:rsidR="008D25A4">
              <w:rPr>
                <w:rFonts w:cs="Arial"/>
                <w:sz w:val="18"/>
                <w:szCs w:val="18"/>
              </w:rPr>
              <w:t xml:space="preserve">should include </w:t>
            </w:r>
            <w:r w:rsidR="00804E5E">
              <w:rPr>
                <w:rFonts w:cs="Arial"/>
                <w:sz w:val="18"/>
                <w:szCs w:val="18"/>
              </w:rPr>
              <w:t xml:space="preserve">HHFT’s </w:t>
            </w:r>
            <w:r w:rsidR="007E07C9">
              <w:rPr>
                <w:rFonts w:cs="Arial"/>
                <w:sz w:val="18"/>
                <w:szCs w:val="18"/>
              </w:rPr>
              <w:t>reasons for using the MSP process</w:t>
            </w:r>
            <w:r w:rsidR="00172A69">
              <w:rPr>
                <w:rFonts w:cs="Arial"/>
                <w:sz w:val="18"/>
                <w:szCs w:val="18"/>
              </w:rPr>
              <w:t>. The Panel is also of the view that</w:t>
            </w:r>
            <w:r w:rsidR="00E57DA1">
              <w:rPr>
                <w:rFonts w:cs="Arial"/>
                <w:sz w:val="18"/>
                <w:szCs w:val="18"/>
              </w:rPr>
              <w:t xml:space="preserve">, as part of these reasons, </w:t>
            </w:r>
            <w:r w:rsidR="007E07C9">
              <w:rPr>
                <w:rFonts w:cs="Arial"/>
                <w:sz w:val="18"/>
                <w:szCs w:val="18"/>
              </w:rPr>
              <w:t xml:space="preserve">a list of </w:t>
            </w:r>
            <w:r w:rsidR="008D25A4">
              <w:rPr>
                <w:rFonts w:cs="Arial"/>
                <w:sz w:val="18"/>
                <w:szCs w:val="18"/>
              </w:rPr>
              <w:t xml:space="preserve">those providers that </w:t>
            </w:r>
            <w:r w:rsidR="004731ED">
              <w:rPr>
                <w:rFonts w:cs="Arial"/>
                <w:sz w:val="18"/>
                <w:szCs w:val="18"/>
              </w:rPr>
              <w:t>HHFT considered suitable</w:t>
            </w:r>
            <w:r w:rsidR="0010390A">
              <w:rPr>
                <w:rFonts w:cs="Arial"/>
                <w:sz w:val="18"/>
                <w:szCs w:val="18"/>
              </w:rPr>
              <w:t>,</w:t>
            </w:r>
            <w:r w:rsidR="004731ED">
              <w:rPr>
                <w:rFonts w:cs="Arial"/>
                <w:sz w:val="18"/>
                <w:szCs w:val="18"/>
              </w:rPr>
              <w:t xml:space="preserve"> </w:t>
            </w:r>
            <w:r w:rsidR="0010390A">
              <w:rPr>
                <w:rFonts w:cs="Arial"/>
                <w:sz w:val="18"/>
                <w:szCs w:val="18"/>
              </w:rPr>
              <w:t>along with</w:t>
            </w:r>
            <w:r w:rsidR="004731ED">
              <w:rPr>
                <w:rFonts w:cs="Arial"/>
                <w:sz w:val="18"/>
                <w:szCs w:val="18"/>
              </w:rPr>
              <w:t xml:space="preserve"> the reasons why HHFT believed that it would be able to select the most suitable provider from amongst </w:t>
            </w:r>
            <w:r w:rsidR="009430F3">
              <w:rPr>
                <w:rFonts w:cs="Arial"/>
                <w:sz w:val="18"/>
                <w:szCs w:val="18"/>
              </w:rPr>
              <w:t>the providers that HHFT considered suitable</w:t>
            </w:r>
            <w:r w:rsidR="004731ED">
              <w:rPr>
                <w:rFonts w:cs="Arial"/>
                <w:sz w:val="18"/>
                <w:szCs w:val="18"/>
              </w:rPr>
              <w:t>.</w:t>
            </w:r>
          </w:p>
          <w:p w14:paraId="4AAF6FEE" w14:textId="7B10A498" w:rsidR="007C040C" w:rsidRPr="00172A69" w:rsidRDefault="00067C8F" w:rsidP="00ED4971">
            <w:pPr>
              <w:spacing w:before="60" w:after="60"/>
              <w:rPr>
                <w:rFonts w:cs="Arial"/>
                <w:sz w:val="18"/>
                <w:szCs w:val="18"/>
              </w:rPr>
            </w:pPr>
            <w:r>
              <w:rPr>
                <w:rFonts w:cs="Arial"/>
                <w:sz w:val="18"/>
                <w:szCs w:val="18"/>
              </w:rPr>
              <w:t xml:space="preserve">As noted in Section 7.1, HHFT did not keep a record of </w:t>
            </w:r>
            <w:r w:rsidR="005170B6">
              <w:rPr>
                <w:rFonts w:cs="Arial"/>
                <w:sz w:val="18"/>
                <w:szCs w:val="18"/>
              </w:rPr>
              <w:t>its reasons for deciding to use the MSP process and, as a result, breached Regulation 24.</w:t>
            </w:r>
          </w:p>
        </w:tc>
      </w:tr>
      <w:tr w:rsidR="00EE4AF3" w:rsidRPr="006D433C" w14:paraId="3CEC55A7" w14:textId="77777777" w:rsidTr="00933338">
        <w:tc>
          <w:tcPr>
            <w:tcW w:w="2122" w:type="dxa"/>
          </w:tcPr>
          <w:p w14:paraId="2857DE47" w14:textId="77777777" w:rsidR="007C040C" w:rsidRPr="002B6D26" w:rsidRDefault="007C040C">
            <w:pPr>
              <w:spacing w:before="60" w:after="60"/>
              <w:rPr>
                <w:rFonts w:cs="Arial"/>
                <w:sz w:val="18"/>
                <w:szCs w:val="18"/>
              </w:rPr>
            </w:pPr>
            <w:r>
              <w:rPr>
                <w:rFonts w:cs="Arial"/>
                <w:sz w:val="18"/>
                <w:szCs w:val="18"/>
              </w:rPr>
              <w:t xml:space="preserve">2. </w:t>
            </w:r>
            <w:r w:rsidRPr="002B6D26">
              <w:rPr>
                <w:rFonts w:cs="Arial"/>
                <w:sz w:val="18"/>
                <w:szCs w:val="18"/>
              </w:rPr>
              <w:t xml:space="preserve">“Please also provide your rationale for that decision </w:t>
            </w:r>
            <w:r>
              <w:rPr>
                <w:rFonts w:cs="Arial"/>
                <w:sz w:val="18"/>
                <w:szCs w:val="18"/>
              </w:rPr>
              <w:t>[</w:t>
            </w:r>
            <w:r w:rsidRPr="002B6D26">
              <w:rPr>
                <w:rFonts w:cs="Arial"/>
                <w:sz w:val="18"/>
                <w:szCs w:val="18"/>
              </w:rPr>
              <w:t>which provider or providers the Trust identified as being the most suitable at the outset of the process</w:t>
            </w:r>
            <w:r>
              <w:rPr>
                <w:rFonts w:cs="Arial"/>
                <w:sz w:val="18"/>
                <w:szCs w:val="18"/>
              </w:rPr>
              <w:t>]</w:t>
            </w:r>
            <w:r w:rsidRPr="002B6D26">
              <w:rPr>
                <w:rFonts w:cs="Arial"/>
                <w:sz w:val="18"/>
                <w:szCs w:val="18"/>
              </w:rPr>
              <w:t xml:space="preserve"> based on the key criteria and the basic selection criteria.”</w:t>
            </w:r>
          </w:p>
        </w:tc>
        <w:tc>
          <w:tcPr>
            <w:tcW w:w="6237" w:type="dxa"/>
          </w:tcPr>
          <w:p w14:paraId="4DF709C8" w14:textId="77777777" w:rsidR="007C040C" w:rsidRDefault="007C040C">
            <w:pPr>
              <w:spacing w:before="60" w:after="60"/>
              <w:rPr>
                <w:rFonts w:cs="Arial"/>
                <w:sz w:val="18"/>
                <w:szCs w:val="18"/>
              </w:rPr>
            </w:pPr>
            <w:r w:rsidRPr="002B6D26">
              <w:rPr>
                <w:rFonts w:cs="Arial"/>
                <w:sz w:val="18"/>
                <w:szCs w:val="18"/>
              </w:rPr>
              <w:t>“Your question refers to a point in time prior to the posting of the notice required in 10(2), before</w:t>
            </w:r>
            <w:r>
              <w:rPr>
                <w:rFonts w:cs="Arial"/>
                <w:sz w:val="18"/>
                <w:szCs w:val="18"/>
              </w:rPr>
              <w:t xml:space="preserve"> </w:t>
            </w:r>
            <w:r w:rsidRPr="002B6D26">
              <w:rPr>
                <w:rFonts w:cs="Arial"/>
                <w:sz w:val="18"/>
                <w:szCs w:val="18"/>
              </w:rPr>
              <w:t>expressions of interest had been received.</w:t>
            </w:r>
            <w:r>
              <w:rPr>
                <w:rFonts w:cs="Arial"/>
                <w:sz w:val="18"/>
                <w:szCs w:val="18"/>
              </w:rPr>
              <w:t xml:space="preserve"> </w:t>
            </w:r>
            <w:r w:rsidRPr="002B6D26">
              <w:rPr>
                <w:rFonts w:cs="Arial"/>
                <w:sz w:val="18"/>
                <w:szCs w:val="18"/>
              </w:rPr>
              <w:t>It would not be appropriate to have assessed the potential providers in respect of these criteria until it was clear that they intended to take part in the process. Until such point  the trust would have had no information as to their interest or methodology in providing the service.</w:t>
            </w:r>
          </w:p>
          <w:p w14:paraId="193F1C25" w14:textId="77777777" w:rsidR="007C040C" w:rsidRPr="002B6D26" w:rsidRDefault="007C040C">
            <w:pPr>
              <w:spacing w:before="60" w:after="60"/>
              <w:rPr>
                <w:rFonts w:cs="Arial"/>
                <w:sz w:val="18"/>
                <w:szCs w:val="18"/>
              </w:rPr>
            </w:pPr>
            <w:r>
              <w:rPr>
                <w:rFonts w:cs="Arial"/>
                <w:sz w:val="18"/>
                <w:szCs w:val="18"/>
              </w:rPr>
              <w:t>“</w:t>
            </w:r>
            <w:r w:rsidRPr="00C808A1">
              <w:rPr>
                <w:rFonts w:cs="Arial"/>
                <w:sz w:val="18"/>
                <w:szCs w:val="18"/>
              </w:rPr>
              <w:t>As part of the process, and in response to a clarification submitted by NHUC, the trust confirmed that the criteria would have equal weighting. The trust has not applied a multiplying factor in respect of any criteria and each criteria has been of equal value during this process.</w:t>
            </w:r>
            <w:r>
              <w:rPr>
                <w:rFonts w:cs="Arial"/>
                <w:sz w:val="18"/>
                <w:szCs w:val="18"/>
              </w:rPr>
              <w:t>”</w:t>
            </w:r>
          </w:p>
        </w:tc>
        <w:tc>
          <w:tcPr>
            <w:tcW w:w="6662" w:type="dxa"/>
          </w:tcPr>
          <w:p w14:paraId="25276CCB" w14:textId="27E84A00" w:rsidR="007C040C" w:rsidRDefault="007C040C">
            <w:pPr>
              <w:spacing w:before="60" w:after="60"/>
              <w:rPr>
                <w:rFonts w:cs="Arial"/>
                <w:sz w:val="18"/>
                <w:szCs w:val="18"/>
              </w:rPr>
            </w:pPr>
            <w:r>
              <w:rPr>
                <w:rFonts w:cs="Arial"/>
                <w:sz w:val="18"/>
                <w:szCs w:val="18"/>
              </w:rPr>
              <w:t xml:space="preserve">The Panel notes that when deciding to use the MSP process there is no requirement </w:t>
            </w:r>
            <w:r w:rsidR="00D01F44">
              <w:rPr>
                <w:rFonts w:cs="Arial"/>
                <w:sz w:val="18"/>
                <w:szCs w:val="18"/>
              </w:rPr>
              <w:t xml:space="preserve">for the commissioner </w:t>
            </w:r>
            <w:r>
              <w:rPr>
                <w:rFonts w:cs="Arial"/>
                <w:sz w:val="18"/>
                <w:szCs w:val="18"/>
              </w:rPr>
              <w:t>to have assessed potential providers against the key criteria and basic selection criteria.</w:t>
            </w:r>
          </w:p>
          <w:p w14:paraId="748567CF" w14:textId="24BE285A" w:rsidR="007C040C" w:rsidRPr="002B6D26" w:rsidRDefault="007C040C">
            <w:pPr>
              <w:spacing w:before="60" w:after="60"/>
              <w:rPr>
                <w:rFonts w:cs="Arial"/>
                <w:sz w:val="18"/>
                <w:szCs w:val="18"/>
              </w:rPr>
            </w:pPr>
            <w:r>
              <w:rPr>
                <w:rFonts w:cs="Arial"/>
                <w:sz w:val="18"/>
                <w:szCs w:val="18"/>
              </w:rPr>
              <w:t xml:space="preserve">As a result, the Panel’s view is that there was no relevant recordkeeping obligation for HHFT under Regulation 24, and </w:t>
            </w:r>
            <w:r w:rsidR="008F35AC">
              <w:rPr>
                <w:rFonts w:cs="Arial"/>
                <w:sz w:val="18"/>
                <w:szCs w:val="18"/>
              </w:rPr>
              <w:t xml:space="preserve">consequently </w:t>
            </w:r>
            <w:r>
              <w:rPr>
                <w:rFonts w:cs="Arial"/>
                <w:sz w:val="18"/>
                <w:szCs w:val="18"/>
              </w:rPr>
              <w:t xml:space="preserve">no obligation </w:t>
            </w:r>
            <w:r w:rsidR="006F3582">
              <w:rPr>
                <w:rFonts w:cs="Arial"/>
                <w:sz w:val="18"/>
                <w:szCs w:val="18"/>
              </w:rPr>
              <w:t xml:space="preserve">on HHFT </w:t>
            </w:r>
            <w:r>
              <w:rPr>
                <w:rFonts w:cs="Arial"/>
                <w:sz w:val="18"/>
                <w:szCs w:val="18"/>
              </w:rPr>
              <w:t>to provide the requested information under Regulation 12(4)(b).</w:t>
            </w:r>
          </w:p>
        </w:tc>
      </w:tr>
    </w:tbl>
    <w:p w14:paraId="4DB10761" w14:textId="77777777" w:rsidR="00EE4AF3" w:rsidRDefault="00EE4AF3">
      <w:r>
        <w:br w:type="page"/>
      </w:r>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5953"/>
        <w:gridCol w:w="6946"/>
      </w:tblGrid>
      <w:tr w:rsidR="00EE4AF3" w:rsidRPr="006D433C" w14:paraId="424D949A" w14:textId="77777777" w:rsidTr="00B44674">
        <w:tc>
          <w:tcPr>
            <w:tcW w:w="2122" w:type="dxa"/>
            <w:shd w:val="clear" w:color="auto" w:fill="D9D9D9" w:themeFill="background1" w:themeFillShade="D9"/>
            <w:vAlign w:val="center"/>
          </w:tcPr>
          <w:p w14:paraId="49F9DFDB" w14:textId="37B192DD" w:rsidR="00EE4AF3" w:rsidRPr="002B6D26" w:rsidRDefault="00EE4AF3">
            <w:pPr>
              <w:spacing w:before="60" w:after="60"/>
              <w:jc w:val="center"/>
              <w:rPr>
                <w:rFonts w:cs="Arial"/>
                <w:b/>
                <w:bCs/>
                <w:sz w:val="18"/>
                <w:szCs w:val="18"/>
              </w:rPr>
            </w:pPr>
            <w:r w:rsidRPr="002B6D26">
              <w:rPr>
                <w:rFonts w:cs="Arial"/>
                <w:b/>
                <w:bCs/>
                <w:sz w:val="18"/>
                <w:szCs w:val="18"/>
              </w:rPr>
              <w:lastRenderedPageBreak/>
              <w:t>NHUC’s information request</w:t>
            </w:r>
          </w:p>
        </w:tc>
        <w:tc>
          <w:tcPr>
            <w:tcW w:w="5953" w:type="dxa"/>
            <w:shd w:val="clear" w:color="auto" w:fill="D9D9D9" w:themeFill="background1" w:themeFillShade="D9"/>
            <w:vAlign w:val="center"/>
          </w:tcPr>
          <w:p w14:paraId="120DAD47" w14:textId="77777777" w:rsidR="00EE4AF3" w:rsidRPr="002B6D26" w:rsidRDefault="00EE4AF3">
            <w:pPr>
              <w:spacing w:before="60" w:after="60"/>
              <w:jc w:val="center"/>
              <w:rPr>
                <w:rFonts w:cs="Arial"/>
                <w:b/>
                <w:bCs/>
                <w:sz w:val="18"/>
                <w:szCs w:val="18"/>
              </w:rPr>
            </w:pPr>
            <w:r w:rsidRPr="002B6D26">
              <w:rPr>
                <w:rFonts w:cs="Arial"/>
                <w:b/>
                <w:bCs/>
                <w:sz w:val="18"/>
                <w:szCs w:val="18"/>
              </w:rPr>
              <w:t>HHFT’s response</w:t>
            </w:r>
          </w:p>
        </w:tc>
        <w:tc>
          <w:tcPr>
            <w:tcW w:w="6946" w:type="dxa"/>
            <w:shd w:val="clear" w:color="auto" w:fill="D9D9D9" w:themeFill="background1" w:themeFillShade="D9"/>
            <w:vAlign w:val="center"/>
          </w:tcPr>
          <w:p w14:paraId="31BD32AB" w14:textId="77777777" w:rsidR="00EE4AF3" w:rsidRPr="002B6D26" w:rsidRDefault="00EE4AF3">
            <w:pPr>
              <w:spacing w:before="60" w:after="60"/>
              <w:jc w:val="center"/>
              <w:rPr>
                <w:rFonts w:cs="Arial"/>
                <w:b/>
                <w:bCs/>
                <w:sz w:val="18"/>
                <w:szCs w:val="18"/>
              </w:rPr>
            </w:pPr>
            <w:r w:rsidRPr="002B6D26">
              <w:rPr>
                <w:rFonts w:cs="Arial"/>
                <w:b/>
                <w:bCs/>
                <w:sz w:val="18"/>
                <w:szCs w:val="18"/>
              </w:rPr>
              <w:t>Panel’s view</w:t>
            </w:r>
          </w:p>
        </w:tc>
      </w:tr>
      <w:tr w:rsidR="00EE4AF3" w:rsidRPr="006D433C" w14:paraId="209D40FA" w14:textId="77777777" w:rsidTr="00B44674">
        <w:tc>
          <w:tcPr>
            <w:tcW w:w="2122" w:type="dxa"/>
          </w:tcPr>
          <w:p w14:paraId="519EBF69" w14:textId="1859F24C" w:rsidR="007C040C" w:rsidRPr="002B6D26" w:rsidRDefault="007C040C">
            <w:pPr>
              <w:spacing w:before="60" w:after="60"/>
              <w:rPr>
                <w:rFonts w:cs="Arial"/>
                <w:sz w:val="18"/>
                <w:szCs w:val="18"/>
              </w:rPr>
            </w:pPr>
            <w:r>
              <w:rPr>
                <w:rFonts w:cs="Arial"/>
                <w:sz w:val="18"/>
                <w:szCs w:val="18"/>
              </w:rPr>
              <w:t xml:space="preserve">3. </w:t>
            </w:r>
            <w:r w:rsidRPr="002B6D26">
              <w:rPr>
                <w:rFonts w:cs="Arial"/>
                <w:sz w:val="18"/>
                <w:szCs w:val="18"/>
              </w:rPr>
              <w:t>“Please explain why you consider the Trust has complied with the most suitable provider process.”</w:t>
            </w:r>
          </w:p>
        </w:tc>
        <w:tc>
          <w:tcPr>
            <w:tcW w:w="5953" w:type="dxa"/>
          </w:tcPr>
          <w:p w14:paraId="5221ED85" w14:textId="4FBA94F6" w:rsidR="007C040C" w:rsidRPr="001E7D33" w:rsidRDefault="007C040C">
            <w:pPr>
              <w:spacing w:before="60" w:after="60"/>
              <w:rPr>
                <w:rFonts w:cs="Arial"/>
                <w:sz w:val="18"/>
                <w:szCs w:val="18"/>
              </w:rPr>
            </w:pPr>
            <w:r w:rsidRPr="0033140B">
              <w:rPr>
                <w:rFonts w:cs="Arial"/>
                <w:sz w:val="18"/>
                <w:szCs w:val="18"/>
              </w:rPr>
              <w:t xml:space="preserve">The Panel notes that HHFT </w:t>
            </w:r>
            <w:r w:rsidR="00BB3024">
              <w:rPr>
                <w:rFonts w:cs="Arial"/>
                <w:sz w:val="18"/>
                <w:szCs w:val="18"/>
              </w:rPr>
              <w:t>did</w:t>
            </w:r>
            <w:r w:rsidRPr="0033140B">
              <w:rPr>
                <w:rFonts w:cs="Arial"/>
                <w:sz w:val="18"/>
                <w:szCs w:val="18"/>
              </w:rPr>
              <w:t xml:space="preserve"> not </w:t>
            </w:r>
            <w:r w:rsidR="004335B1">
              <w:rPr>
                <w:rFonts w:cs="Arial"/>
                <w:sz w:val="18"/>
                <w:szCs w:val="18"/>
              </w:rPr>
              <w:t xml:space="preserve">directly </w:t>
            </w:r>
            <w:r w:rsidRPr="0033140B">
              <w:rPr>
                <w:rFonts w:cs="Arial"/>
                <w:sz w:val="18"/>
                <w:szCs w:val="18"/>
              </w:rPr>
              <w:t>respond to this request</w:t>
            </w:r>
            <w:r w:rsidR="00416A18">
              <w:rPr>
                <w:rFonts w:cs="Arial"/>
                <w:sz w:val="18"/>
                <w:szCs w:val="18"/>
              </w:rPr>
              <w:t xml:space="preserve">, and HHFT </w:t>
            </w:r>
            <w:r w:rsidR="0037264E">
              <w:rPr>
                <w:rFonts w:cs="Arial"/>
                <w:sz w:val="18"/>
                <w:szCs w:val="18"/>
              </w:rPr>
              <w:t>told</w:t>
            </w:r>
            <w:r w:rsidR="00416A18">
              <w:rPr>
                <w:rFonts w:cs="Arial"/>
                <w:sz w:val="18"/>
                <w:szCs w:val="18"/>
              </w:rPr>
              <w:t xml:space="preserve"> the </w:t>
            </w:r>
            <w:r w:rsidR="0037264E">
              <w:rPr>
                <w:rFonts w:cs="Arial"/>
                <w:sz w:val="18"/>
                <w:szCs w:val="18"/>
              </w:rPr>
              <w:t>Panel</w:t>
            </w:r>
            <w:r w:rsidR="00416A18">
              <w:rPr>
                <w:rFonts w:cs="Arial"/>
                <w:sz w:val="18"/>
                <w:szCs w:val="18"/>
              </w:rPr>
              <w:t xml:space="preserve"> that this request was covered in its overall response</w:t>
            </w:r>
            <w:r w:rsidR="00BF2AD0">
              <w:rPr>
                <w:rFonts w:cs="Arial"/>
                <w:sz w:val="18"/>
                <w:szCs w:val="18"/>
              </w:rPr>
              <w:t xml:space="preserve"> to the representations</w:t>
            </w:r>
            <w:r w:rsidRPr="0033140B">
              <w:rPr>
                <w:rFonts w:cs="Arial"/>
                <w:sz w:val="18"/>
                <w:szCs w:val="18"/>
              </w:rPr>
              <w:t>.</w:t>
            </w:r>
          </w:p>
        </w:tc>
        <w:tc>
          <w:tcPr>
            <w:tcW w:w="6946" w:type="dxa"/>
          </w:tcPr>
          <w:p w14:paraId="4D9D5E86" w14:textId="1556E446" w:rsidR="007A12AC" w:rsidRDefault="005A60FD">
            <w:pPr>
              <w:spacing w:before="60" w:after="60"/>
              <w:rPr>
                <w:rFonts w:cs="Arial"/>
                <w:sz w:val="18"/>
                <w:szCs w:val="18"/>
              </w:rPr>
            </w:pPr>
            <w:r>
              <w:rPr>
                <w:rFonts w:cs="Arial"/>
                <w:sz w:val="18"/>
                <w:szCs w:val="18"/>
              </w:rPr>
              <w:t xml:space="preserve">The Panel notes that there is no </w:t>
            </w:r>
            <w:r w:rsidR="006C491D">
              <w:rPr>
                <w:rFonts w:cs="Arial"/>
                <w:sz w:val="18"/>
                <w:szCs w:val="18"/>
              </w:rPr>
              <w:t xml:space="preserve">specific </w:t>
            </w:r>
            <w:r>
              <w:rPr>
                <w:rFonts w:cs="Arial"/>
                <w:sz w:val="18"/>
                <w:szCs w:val="18"/>
              </w:rPr>
              <w:t xml:space="preserve">requirement </w:t>
            </w:r>
            <w:r w:rsidR="006C491D">
              <w:rPr>
                <w:rFonts w:cs="Arial"/>
                <w:sz w:val="18"/>
                <w:szCs w:val="18"/>
              </w:rPr>
              <w:t xml:space="preserve">under Regulation 24 </w:t>
            </w:r>
            <w:r>
              <w:rPr>
                <w:rFonts w:cs="Arial"/>
                <w:sz w:val="18"/>
                <w:szCs w:val="18"/>
              </w:rPr>
              <w:t xml:space="preserve">to keep a record </w:t>
            </w:r>
            <w:r w:rsidR="00C83353">
              <w:rPr>
                <w:rFonts w:cs="Arial"/>
                <w:sz w:val="18"/>
                <w:szCs w:val="18"/>
              </w:rPr>
              <w:t xml:space="preserve">directly </w:t>
            </w:r>
            <w:r w:rsidR="00114FA9">
              <w:rPr>
                <w:rFonts w:cs="Arial"/>
                <w:sz w:val="18"/>
                <w:szCs w:val="18"/>
              </w:rPr>
              <w:t xml:space="preserve">matching </w:t>
            </w:r>
            <w:r w:rsidR="00EA7629">
              <w:rPr>
                <w:rFonts w:cs="Arial"/>
                <w:sz w:val="18"/>
                <w:szCs w:val="18"/>
              </w:rPr>
              <w:t>“</w:t>
            </w:r>
            <w:r w:rsidR="006C491D">
              <w:rPr>
                <w:rFonts w:cs="Arial"/>
                <w:sz w:val="18"/>
                <w:szCs w:val="18"/>
              </w:rPr>
              <w:t xml:space="preserve">why </w:t>
            </w:r>
            <w:r w:rsidR="00114FA9">
              <w:rPr>
                <w:rFonts w:cs="Arial"/>
                <w:sz w:val="18"/>
                <w:szCs w:val="18"/>
              </w:rPr>
              <w:t>you con</w:t>
            </w:r>
            <w:r w:rsidR="00EA7629">
              <w:rPr>
                <w:rFonts w:cs="Arial"/>
                <w:sz w:val="18"/>
                <w:szCs w:val="18"/>
              </w:rPr>
              <w:t xml:space="preserve">sider </w:t>
            </w:r>
            <w:r w:rsidR="006C491D">
              <w:rPr>
                <w:rFonts w:cs="Arial"/>
                <w:sz w:val="18"/>
                <w:szCs w:val="18"/>
              </w:rPr>
              <w:t xml:space="preserve">the Trust has complied with the most suitable provider process”. </w:t>
            </w:r>
            <w:r w:rsidR="007C040C" w:rsidRPr="0033140B">
              <w:rPr>
                <w:rFonts w:cs="Arial"/>
                <w:sz w:val="18"/>
                <w:szCs w:val="18"/>
              </w:rPr>
              <w:t>The Panel</w:t>
            </w:r>
            <w:r w:rsidR="007A12AC">
              <w:rPr>
                <w:rFonts w:cs="Arial"/>
                <w:sz w:val="18"/>
                <w:szCs w:val="18"/>
              </w:rPr>
              <w:t xml:space="preserve"> notes</w:t>
            </w:r>
            <w:r w:rsidR="00EE4014">
              <w:rPr>
                <w:rFonts w:cs="Arial"/>
                <w:sz w:val="18"/>
                <w:szCs w:val="18"/>
              </w:rPr>
              <w:t>, however,</w:t>
            </w:r>
            <w:r w:rsidR="007A12AC">
              <w:rPr>
                <w:rFonts w:cs="Arial"/>
                <w:sz w:val="18"/>
                <w:szCs w:val="18"/>
              </w:rPr>
              <w:t xml:space="preserve"> </w:t>
            </w:r>
            <w:r w:rsidR="00536AD5">
              <w:rPr>
                <w:rFonts w:cs="Arial"/>
                <w:sz w:val="18"/>
                <w:szCs w:val="18"/>
              </w:rPr>
              <w:t xml:space="preserve">that </w:t>
            </w:r>
            <w:r w:rsidR="00EE72C5">
              <w:rPr>
                <w:rFonts w:cs="Arial"/>
                <w:sz w:val="18"/>
                <w:szCs w:val="18"/>
              </w:rPr>
              <w:t>HHFT was obliged to keep record</w:t>
            </w:r>
            <w:r w:rsidR="00BE5060">
              <w:rPr>
                <w:rFonts w:cs="Arial"/>
                <w:sz w:val="18"/>
                <w:szCs w:val="18"/>
              </w:rPr>
              <w:t>s</w:t>
            </w:r>
            <w:r w:rsidR="00EE72C5">
              <w:rPr>
                <w:rFonts w:cs="Arial"/>
                <w:sz w:val="18"/>
                <w:szCs w:val="18"/>
              </w:rPr>
              <w:t xml:space="preserve"> </w:t>
            </w:r>
            <w:r w:rsidR="00BE5060">
              <w:rPr>
                <w:rFonts w:cs="Arial"/>
                <w:sz w:val="18"/>
                <w:szCs w:val="18"/>
              </w:rPr>
              <w:t xml:space="preserve">that demonstrated </w:t>
            </w:r>
            <w:r w:rsidR="00425E91">
              <w:rPr>
                <w:rFonts w:cs="Arial"/>
                <w:sz w:val="18"/>
                <w:szCs w:val="18"/>
              </w:rPr>
              <w:t xml:space="preserve">how it complied with the </w:t>
            </w:r>
            <w:r w:rsidR="00A32697">
              <w:rPr>
                <w:rFonts w:cs="Arial"/>
                <w:sz w:val="18"/>
                <w:szCs w:val="18"/>
              </w:rPr>
              <w:t>MSP process,</w:t>
            </w:r>
            <w:r w:rsidR="00775AFD">
              <w:rPr>
                <w:rFonts w:cs="Arial"/>
                <w:sz w:val="18"/>
                <w:szCs w:val="18"/>
              </w:rPr>
              <w:t xml:space="preserve"> including</w:t>
            </w:r>
            <w:r w:rsidR="00EE72C5">
              <w:rPr>
                <w:rFonts w:cs="Arial"/>
                <w:sz w:val="18"/>
                <w:szCs w:val="18"/>
              </w:rPr>
              <w:t xml:space="preserve"> </w:t>
            </w:r>
            <w:r w:rsidR="00242E60">
              <w:rPr>
                <w:rFonts w:cs="Arial"/>
                <w:sz w:val="18"/>
                <w:szCs w:val="18"/>
              </w:rPr>
              <w:t xml:space="preserve">“the way in which the key criteria were taken into account and the basic selection criteria were assessed when making a decision” (Regulation 24(e)) and </w:t>
            </w:r>
            <w:r w:rsidR="00FC4D3A">
              <w:rPr>
                <w:rFonts w:cs="Arial"/>
                <w:sz w:val="18"/>
                <w:szCs w:val="18"/>
              </w:rPr>
              <w:t>“the reasons for decisions made under these Regulations” (Regulation 24(g)).</w:t>
            </w:r>
          </w:p>
          <w:p w14:paraId="2F41CD77" w14:textId="0E079542" w:rsidR="007C040C" w:rsidRDefault="00775AFD">
            <w:pPr>
              <w:spacing w:before="60" w:after="60"/>
              <w:rPr>
                <w:rFonts w:cs="Arial"/>
                <w:sz w:val="18"/>
                <w:szCs w:val="18"/>
              </w:rPr>
            </w:pPr>
            <w:r>
              <w:rPr>
                <w:rFonts w:cs="Arial"/>
                <w:sz w:val="18"/>
                <w:szCs w:val="18"/>
              </w:rPr>
              <w:t>As a result, t</w:t>
            </w:r>
            <w:r w:rsidR="007C040C" w:rsidRPr="0033140B">
              <w:rPr>
                <w:rFonts w:cs="Arial"/>
                <w:sz w:val="18"/>
                <w:szCs w:val="18"/>
              </w:rPr>
              <w:t xml:space="preserve">he Panel’s view is that </w:t>
            </w:r>
            <w:r w:rsidR="00926D77">
              <w:rPr>
                <w:rFonts w:cs="Arial"/>
                <w:sz w:val="18"/>
                <w:szCs w:val="18"/>
              </w:rPr>
              <w:t xml:space="preserve">at least some elements of </w:t>
            </w:r>
            <w:r w:rsidR="00C83781">
              <w:rPr>
                <w:rFonts w:cs="Arial"/>
                <w:sz w:val="18"/>
                <w:szCs w:val="18"/>
              </w:rPr>
              <w:t>HHFT’s</w:t>
            </w:r>
            <w:r w:rsidR="00926D77">
              <w:rPr>
                <w:rFonts w:cs="Arial"/>
                <w:sz w:val="18"/>
                <w:szCs w:val="18"/>
              </w:rPr>
              <w:t xml:space="preserve"> records </w:t>
            </w:r>
            <w:r w:rsidR="006A2755">
              <w:rPr>
                <w:rFonts w:cs="Arial"/>
                <w:sz w:val="18"/>
                <w:szCs w:val="18"/>
              </w:rPr>
              <w:t>are relevant</w:t>
            </w:r>
            <w:r w:rsidR="00926D77">
              <w:rPr>
                <w:rFonts w:cs="Arial"/>
                <w:sz w:val="18"/>
                <w:szCs w:val="18"/>
              </w:rPr>
              <w:t xml:space="preserve"> to NHUC’s request</w:t>
            </w:r>
            <w:r w:rsidR="007D3403">
              <w:rPr>
                <w:rFonts w:cs="Arial"/>
                <w:sz w:val="18"/>
                <w:szCs w:val="18"/>
              </w:rPr>
              <w:t xml:space="preserve">, and that while HHFT did not keep </w:t>
            </w:r>
            <w:r w:rsidR="00DE4A89">
              <w:rPr>
                <w:rFonts w:cs="Arial"/>
                <w:sz w:val="18"/>
                <w:szCs w:val="18"/>
              </w:rPr>
              <w:t xml:space="preserve">a full set of records (e.g. in relation to its decision to use the MSP process), it </w:t>
            </w:r>
            <w:r w:rsidR="00830530">
              <w:rPr>
                <w:rFonts w:cs="Arial"/>
                <w:sz w:val="18"/>
                <w:szCs w:val="18"/>
              </w:rPr>
              <w:t>possessed other records relevant to showing how it followed the MSP process</w:t>
            </w:r>
            <w:r w:rsidR="00636CD1">
              <w:rPr>
                <w:rFonts w:cs="Arial"/>
                <w:sz w:val="18"/>
                <w:szCs w:val="18"/>
              </w:rPr>
              <w:t>. The Panel’s view is that these records should have been shared with HHFT subject to any redactions consistent with Regulation 12(5).</w:t>
            </w:r>
            <w:r w:rsidR="004F0CF8">
              <w:rPr>
                <w:rFonts w:cs="Arial"/>
                <w:sz w:val="18"/>
                <w:szCs w:val="18"/>
              </w:rPr>
              <w:t xml:space="preserve"> </w:t>
            </w:r>
            <w:r w:rsidR="00BF2269">
              <w:rPr>
                <w:rFonts w:cs="Arial"/>
                <w:sz w:val="18"/>
                <w:szCs w:val="18"/>
              </w:rPr>
              <w:t>Where HHFT believed that it had shared relevant records in response to other</w:t>
            </w:r>
            <w:r w:rsidR="00345C73">
              <w:rPr>
                <w:rFonts w:cs="Arial"/>
                <w:sz w:val="18"/>
                <w:szCs w:val="18"/>
              </w:rPr>
              <w:t xml:space="preserve"> NHUC information requests, it </w:t>
            </w:r>
            <w:r w:rsidR="009F7A67">
              <w:rPr>
                <w:rFonts w:cs="Arial"/>
                <w:sz w:val="18"/>
                <w:szCs w:val="18"/>
              </w:rPr>
              <w:t>sh</w:t>
            </w:r>
            <w:r w:rsidR="00345C73">
              <w:rPr>
                <w:rFonts w:cs="Arial"/>
                <w:sz w:val="18"/>
                <w:szCs w:val="18"/>
              </w:rPr>
              <w:t xml:space="preserve">ould have signposted NHUC to these records </w:t>
            </w:r>
            <w:r w:rsidR="009F7A67">
              <w:rPr>
                <w:rFonts w:cs="Arial"/>
                <w:sz w:val="18"/>
                <w:szCs w:val="18"/>
              </w:rPr>
              <w:t xml:space="preserve">in responding </w:t>
            </w:r>
            <w:r w:rsidR="00290D03">
              <w:rPr>
                <w:rFonts w:cs="Arial"/>
                <w:sz w:val="18"/>
                <w:szCs w:val="18"/>
              </w:rPr>
              <w:t>to this request.</w:t>
            </w:r>
          </w:p>
          <w:p w14:paraId="0A740981" w14:textId="2F806C8F" w:rsidR="007C040C" w:rsidRPr="002B6D26" w:rsidRDefault="009A25F2">
            <w:pPr>
              <w:spacing w:before="60" w:after="60"/>
              <w:rPr>
                <w:rFonts w:cs="Arial"/>
                <w:sz w:val="18"/>
                <w:szCs w:val="18"/>
              </w:rPr>
            </w:pPr>
            <w:r w:rsidRPr="009F5235">
              <w:rPr>
                <w:sz w:val="18"/>
                <w:szCs w:val="18"/>
              </w:rPr>
              <w:t xml:space="preserve">As a result, the Panel </w:t>
            </w:r>
            <w:r>
              <w:rPr>
                <w:sz w:val="18"/>
                <w:szCs w:val="18"/>
              </w:rPr>
              <w:t>finds that HHFT, in not responding to NHUC’s request for information, breached the PSR regulations</w:t>
            </w:r>
            <w:r w:rsidR="000D6342">
              <w:rPr>
                <w:sz w:val="18"/>
                <w:szCs w:val="18"/>
              </w:rPr>
              <w:t>,</w:t>
            </w:r>
            <w:r>
              <w:rPr>
                <w:sz w:val="18"/>
                <w:szCs w:val="18"/>
              </w:rPr>
              <w:t xml:space="preserve"> and in particular </w:t>
            </w:r>
            <w:r w:rsidRPr="009F5235">
              <w:rPr>
                <w:sz w:val="18"/>
                <w:szCs w:val="18"/>
              </w:rPr>
              <w:t>Regulation 12(4)(b).</w:t>
            </w:r>
          </w:p>
        </w:tc>
      </w:tr>
      <w:tr w:rsidR="00EE4AF3" w:rsidRPr="006D433C" w14:paraId="172AF5B7" w14:textId="77777777" w:rsidTr="00B44674">
        <w:tc>
          <w:tcPr>
            <w:tcW w:w="2122" w:type="dxa"/>
          </w:tcPr>
          <w:p w14:paraId="4BD2899E" w14:textId="77777777" w:rsidR="007C040C" w:rsidRPr="002B6D26" w:rsidRDefault="007C040C">
            <w:pPr>
              <w:spacing w:before="60" w:after="60"/>
              <w:rPr>
                <w:rFonts w:cs="Arial"/>
                <w:sz w:val="18"/>
                <w:szCs w:val="18"/>
              </w:rPr>
            </w:pPr>
            <w:r>
              <w:rPr>
                <w:rFonts w:cs="Arial"/>
                <w:sz w:val="18"/>
                <w:szCs w:val="18"/>
              </w:rPr>
              <w:t xml:space="preserve">4. </w:t>
            </w:r>
            <w:r w:rsidRPr="002B6D26">
              <w:rPr>
                <w:rFonts w:cs="Arial"/>
                <w:sz w:val="18"/>
                <w:szCs w:val="18"/>
              </w:rPr>
              <w:t>“Please provide a description of the way in which the key criteria were taken into account and basic selection criteria were assessed when making a decision.”</w:t>
            </w:r>
          </w:p>
        </w:tc>
        <w:tc>
          <w:tcPr>
            <w:tcW w:w="5953" w:type="dxa"/>
          </w:tcPr>
          <w:p w14:paraId="66F64139" w14:textId="77777777" w:rsidR="007C040C" w:rsidRPr="00D25DE3" w:rsidRDefault="007C040C">
            <w:pPr>
              <w:spacing w:before="60" w:after="60"/>
              <w:rPr>
                <w:rFonts w:cs="Arial"/>
                <w:sz w:val="18"/>
                <w:szCs w:val="18"/>
              </w:rPr>
            </w:pPr>
            <w:r w:rsidRPr="00D25DE3">
              <w:rPr>
                <w:rFonts w:cs="Arial"/>
                <w:sz w:val="18"/>
                <w:szCs w:val="18"/>
              </w:rPr>
              <w:t>“As per section VI within FTS notice identifier 2025/S 000-086331” </w:t>
            </w:r>
          </w:p>
          <w:p w14:paraId="103104D9" w14:textId="77777777" w:rsidR="007C040C" w:rsidRPr="0033140B" w:rsidRDefault="007C040C">
            <w:pPr>
              <w:spacing w:before="60" w:after="60"/>
              <w:rPr>
                <w:rFonts w:cs="Arial"/>
                <w:sz w:val="18"/>
                <w:szCs w:val="18"/>
              </w:rPr>
            </w:pPr>
            <w:r w:rsidRPr="0033140B">
              <w:rPr>
                <w:rFonts w:cs="Arial"/>
                <w:sz w:val="18"/>
                <w:szCs w:val="18"/>
              </w:rPr>
              <w:t>(The Panel notes that section VI of this notice included the following:</w:t>
            </w:r>
          </w:p>
          <w:p w14:paraId="4393A3D7" w14:textId="77777777" w:rsidR="007C040C" w:rsidRPr="0033140B" w:rsidRDefault="007C040C">
            <w:pPr>
              <w:spacing w:before="60" w:after="60"/>
              <w:ind w:left="176"/>
              <w:rPr>
                <w:rFonts w:cs="Arial"/>
                <w:sz w:val="18"/>
                <w:szCs w:val="18"/>
              </w:rPr>
            </w:pPr>
            <w:r w:rsidRPr="0033140B">
              <w:rPr>
                <w:rFonts w:cs="Arial"/>
                <w:sz w:val="18"/>
                <w:szCs w:val="18"/>
              </w:rPr>
              <w:t xml:space="preserve">“Provider assessments requested that likely providers submitted evidence responses around the 5 key criteria under the PSR … A provider assessment panel was established inclusive of clinical, operational and financial representation. Provider engagement sessions were also established to allow 30 minutes of direct dialogue with likely providers to aid the assessment of suitability, the panel were then assembled to </w:t>
            </w:r>
            <w:proofErr w:type="gramStart"/>
            <w:r w:rsidRPr="0033140B">
              <w:rPr>
                <w:rFonts w:cs="Arial"/>
                <w:sz w:val="18"/>
                <w:szCs w:val="18"/>
              </w:rPr>
              <w:t>asses</w:t>
            </w:r>
            <w:proofErr w:type="gramEnd"/>
            <w:r w:rsidRPr="0033140B">
              <w:rPr>
                <w:rFonts w:cs="Arial"/>
                <w:sz w:val="18"/>
                <w:szCs w:val="18"/>
              </w:rPr>
              <w:t xml:space="preserve"> and reach moderated scores against provider responses based upon the evidence submitted in responses and throughout the direct engagement sessions.</w:t>
            </w:r>
          </w:p>
          <w:p w14:paraId="120152FD" w14:textId="77777777" w:rsidR="007C040C" w:rsidRPr="00D25DE3" w:rsidRDefault="007C040C">
            <w:pPr>
              <w:spacing w:before="60" w:after="60"/>
              <w:ind w:left="176"/>
              <w:rPr>
                <w:rFonts w:cs="Arial"/>
                <w:sz w:val="18"/>
                <w:szCs w:val="18"/>
              </w:rPr>
            </w:pPr>
            <w:r w:rsidRPr="0033140B">
              <w:rPr>
                <w:rFonts w:cs="Arial"/>
                <w:sz w:val="18"/>
                <w:szCs w:val="18"/>
              </w:rPr>
              <w:t xml:space="preserve">It was determined that all 5 criteria were to be assessed equally in terms of prioritisation when selecting the most suitable provider, therefore an </w:t>
            </w:r>
            <w:proofErr w:type="gramStart"/>
            <w:r w:rsidRPr="0033140B">
              <w:rPr>
                <w:rFonts w:cs="Arial"/>
                <w:sz w:val="18"/>
                <w:szCs w:val="18"/>
              </w:rPr>
              <w:t>evidence based</w:t>
            </w:r>
            <w:proofErr w:type="gramEnd"/>
            <w:r w:rsidRPr="0033140B">
              <w:rPr>
                <w:rFonts w:cs="Arial"/>
                <w:sz w:val="18"/>
                <w:szCs w:val="18"/>
              </w:rPr>
              <w:t xml:space="preserve"> scoring card approach was utilised allowing a maximum score of 25 (5 per criteria) to be achievable by any one likely provider …”)</w:t>
            </w:r>
          </w:p>
        </w:tc>
        <w:tc>
          <w:tcPr>
            <w:tcW w:w="6946" w:type="dxa"/>
          </w:tcPr>
          <w:p w14:paraId="57D96C41" w14:textId="4B9BD4E7" w:rsidR="007C040C" w:rsidRDefault="007C040C">
            <w:pPr>
              <w:spacing w:before="60" w:after="60"/>
              <w:rPr>
                <w:rFonts w:cs="Arial"/>
                <w:sz w:val="18"/>
                <w:szCs w:val="18"/>
              </w:rPr>
            </w:pPr>
            <w:r w:rsidRPr="004079D1">
              <w:rPr>
                <w:rFonts w:cs="Arial"/>
                <w:sz w:val="18"/>
                <w:szCs w:val="18"/>
              </w:rPr>
              <w:t xml:space="preserve">The Panel notes that HHFT was obliged to keep a record of the requested information </w:t>
            </w:r>
            <w:r w:rsidRPr="0089705F">
              <w:rPr>
                <w:rFonts w:cs="Arial"/>
                <w:sz w:val="18"/>
                <w:szCs w:val="18"/>
              </w:rPr>
              <w:t>under Regulation 24(e)</w:t>
            </w:r>
            <w:r w:rsidR="00DC3174" w:rsidRPr="0089705F">
              <w:rPr>
                <w:rFonts w:cs="Arial"/>
                <w:sz w:val="18"/>
                <w:szCs w:val="18"/>
              </w:rPr>
              <w:t xml:space="preserve">, which requires commissioners to </w:t>
            </w:r>
            <w:r w:rsidR="0089705F" w:rsidRPr="0089705F">
              <w:rPr>
                <w:rFonts w:cs="Arial"/>
                <w:sz w:val="18"/>
                <w:szCs w:val="18"/>
              </w:rPr>
              <w:t>keep a record of “</w:t>
            </w:r>
            <w:r w:rsidR="0089705F" w:rsidRPr="009F5235">
              <w:rPr>
                <w:rFonts w:cs="Arial"/>
                <w:sz w:val="18"/>
                <w:szCs w:val="18"/>
              </w:rPr>
              <w:t>a</w:t>
            </w:r>
            <w:r w:rsidR="0089705F" w:rsidRPr="009F5235">
              <w:rPr>
                <w:sz w:val="18"/>
                <w:szCs w:val="18"/>
              </w:rPr>
              <w:t xml:space="preserve"> </w:t>
            </w:r>
            <w:r w:rsidR="0089705F" w:rsidRPr="009F5235">
              <w:rPr>
                <w:rFonts w:cs="Arial"/>
                <w:sz w:val="18"/>
                <w:szCs w:val="18"/>
              </w:rPr>
              <w:t>description of the way in which the key criteria were taken into account and the basic</w:t>
            </w:r>
            <w:r w:rsidR="0089705F" w:rsidRPr="009F5235">
              <w:rPr>
                <w:sz w:val="18"/>
                <w:szCs w:val="18"/>
              </w:rPr>
              <w:t xml:space="preserve"> </w:t>
            </w:r>
            <w:r w:rsidR="0089705F" w:rsidRPr="009F5235">
              <w:rPr>
                <w:rFonts w:cs="Arial"/>
                <w:sz w:val="18"/>
                <w:szCs w:val="18"/>
              </w:rPr>
              <w:t>selection criteria were assessed when making a decision”.</w:t>
            </w:r>
          </w:p>
          <w:p w14:paraId="3D3BA04A" w14:textId="04113D0D" w:rsidR="00473D53" w:rsidRDefault="004079D1" w:rsidP="004079D1">
            <w:pPr>
              <w:spacing w:before="60" w:after="60"/>
              <w:rPr>
                <w:sz w:val="18"/>
                <w:szCs w:val="18"/>
              </w:rPr>
            </w:pPr>
            <w:r>
              <w:rPr>
                <w:sz w:val="18"/>
                <w:szCs w:val="18"/>
              </w:rPr>
              <w:t xml:space="preserve">The Panel’s view </w:t>
            </w:r>
            <w:r w:rsidR="008D2F9D">
              <w:rPr>
                <w:sz w:val="18"/>
                <w:szCs w:val="18"/>
              </w:rPr>
              <w:t xml:space="preserve">is that </w:t>
            </w:r>
            <w:r w:rsidR="00473D53">
              <w:rPr>
                <w:sz w:val="18"/>
                <w:szCs w:val="18"/>
              </w:rPr>
              <w:t xml:space="preserve">HHFT should have </w:t>
            </w:r>
            <w:r w:rsidR="001659ED">
              <w:rPr>
                <w:sz w:val="18"/>
                <w:szCs w:val="18"/>
              </w:rPr>
              <w:t xml:space="preserve">supplied NHUC with a copy of </w:t>
            </w:r>
            <w:r w:rsidR="004D0729">
              <w:rPr>
                <w:sz w:val="18"/>
                <w:szCs w:val="18"/>
              </w:rPr>
              <w:t>appropriate records (such as a</w:t>
            </w:r>
            <w:r w:rsidR="001659ED">
              <w:rPr>
                <w:sz w:val="18"/>
                <w:szCs w:val="18"/>
              </w:rPr>
              <w:t xml:space="preserve"> contract award recommendation report or </w:t>
            </w:r>
            <w:r w:rsidR="004D0729">
              <w:rPr>
                <w:sz w:val="18"/>
                <w:szCs w:val="18"/>
              </w:rPr>
              <w:t>decision log)</w:t>
            </w:r>
            <w:r w:rsidR="00436059">
              <w:rPr>
                <w:sz w:val="18"/>
                <w:szCs w:val="18"/>
              </w:rPr>
              <w:t xml:space="preserve">, which described the provider selection process and </w:t>
            </w:r>
            <w:r w:rsidR="00FC4B63">
              <w:rPr>
                <w:sz w:val="18"/>
                <w:szCs w:val="18"/>
              </w:rPr>
              <w:t>was the basis for the information that was published in summary form in the contract notice of 29</w:t>
            </w:r>
            <w:r w:rsidR="00E11F68">
              <w:rPr>
                <w:sz w:val="18"/>
                <w:szCs w:val="18"/>
              </w:rPr>
              <w:t> </w:t>
            </w:r>
            <w:r w:rsidR="00FC4B63">
              <w:rPr>
                <w:sz w:val="18"/>
                <w:szCs w:val="18"/>
              </w:rPr>
              <w:t>December 2025</w:t>
            </w:r>
            <w:r w:rsidR="00B1282C">
              <w:rPr>
                <w:sz w:val="18"/>
                <w:szCs w:val="18"/>
              </w:rPr>
              <w:t>.</w:t>
            </w:r>
          </w:p>
          <w:p w14:paraId="6A04B903" w14:textId="192187A4" w:rsidR="00E11F68" w:rsidRDefault="00E11F68" w:rsidP="00E11F68">
            <w:pPr>
              <w:spacing w:before="60" w:after="60"/>
              <w:rPr>
                <w:rFonts w:cs="Arial"/>
                <w:sz w:val="18"/>
                <w:szCs w:val="18"/>
              </w:rPr>
            </w:pPr>
            <w:r>
              <w:rPr>
                <w:rFonts w:cs="Arial"/>
                <w:sz w:val="18"/>
                <w:szCs w:val="18"/>
              </w:rPr>
              <w:t xml:space="preserve">The Panel’s view is that </w:t>
            </w:r>
            <w:r>
              <w:rPr>
                <w:sz w:val="18"/>
                <w:szCs w:val="18"/>
              </w:rPr>
              <w:t xml:space="preserve">the </w:t>
            </w:r>
            <w:r w:rsidRPr="0033140B">
              <w:rPr>
                <w:sz w:val="18"/>
                <w:szCs w:val="18"/>
              </w:rPr>
              <w:t xml:space="preserve">summary information in </w:t>
            </w:r>
            <w:r>
              <w:rPr>
                <w:sz w:val="18"/>
                <w:szCs w:val="18"/>
              </w:rPr>
              <w:t xml:space="preserve">the </w:t>
            </w:r>
            <w:r w:rsidRPr="0033140B">
              <w:rPr>
                <w:sz w:val="18"/>
                <w:szCs w:val="18"/>
              </w:rPr>
              <w:t>contract notice</w:t>
            </w:r>
            <w:r>
              <w:rPr>
                <w:sz w:val="18"/>
                <w:szCs w:val="18"/>
              </w:rPr>
              <w:t xml:space="preserve"> of 29 December 2025 was not </w:t>
            </w:r>
            <w:r w:rsidRPr="0033140B">
              <w:rPr>
                <w:sz w:val="18"/>
                <w:szCs w:val="18"/>
              </w:rPr>
              <w:t xml:space="preserve">sufficient for the purposes of responding to </w:t>
            </w:r>
            <w:r>
              <w:rPr>
                <w:sz w:val="18"/>
                <w:szCs w:val="18"/>
              </w:rPr>
              <w:t xml:space="preserve">NHUC’s </w:t>
            </w:r>
            <w:r w:rsidRPr="0033140B">
              <w:rPr>
                <w:sz w:val="18"/>
                <w:szCs w:val="18"/>
              </w:rPr>
              <w:t>request for information</w:t>
            </w:r>
            <w:r>
              <w:rPr>
                <w:sz w:val="18"/>
                <w:szCs w:val="18"/>
              </w:rPr>
              <w:t>.</w:t>
            </w:r>
          </w:p>
          <w:p w14:paraId="6298B37F" w14:textId="10DD5D9A" w:rsidR="007C040C" w:rsidRPr="009F5235" w:rsidRDefault="004079D1" w:rsidP="004079D1">
            <w:pPr>
              <w:spacing w:before="60" w:after="60"/>
              <w:rPr>
                <w:rFonts w:cs="Arial"/>
                <w:sz w:val="18"/>
                <w:szCs w:val="18"/>
              </w:rPr>
            </w:pPr>
            <w:r w:rsidRPr="009F5235">
              <w:rPr>
                <w:sz w:val="18"/>
                <w:szCs w:val="18"/>
              </w:rPr>
              <w:t xml:space="preserve">As a result, the Panel </w:t>
            </w:r>
            <w:r w:rsidR="00E2538C">
              <w:rPr>
                <w:sz w:val="18"/>
                <w:szCs w:val="18"/>
              </w:rPr>
              <w:t xml:space="preserve">finds that HHFT, in responding to NHUC’s request for information by referring NHUC to the </w:t>
            </w:r>
            <w:r w:rsidR="00E2538C" w:rsidRPr="00CD305C">
              <w:rPr>
                <w:sz w:val="18"/>
                <w:szCs w:val="18"/>
              </w:rPr>
              <w:t>notice published on 29</w:t>
            </w:r>
            <w:r w:rsidR="00AA1471">
              <w:rPr>
                <w:sz w:val="18"/>
                <w:szCs w:val="18"/>
              </w:rPr>
              <w:t> </w:t>
            </w:r>
            <w:r w:rsidR="00E2538C" w:rsidRPr="00CD305C">
              <w:rPr>
                <w:sz w:val="18"/>
                <w:szCs w:val="18"/>
              </w:rPr>
              <w:t>December 2025</w:t>
            </w:r>
            <w:r w:rsidR="00E2538C">
              <w:rPr>
                <w:sz w:val="18"/>
                <w:szCs w:val="18"/>
              </w:rPr>
              <w:t>, breached the PSR regulations</w:t>
            </w:r>
            <w:r w:rsidR="00C54165">
              <w:rPr>
                <w:sz w:val="18"/>
                <w:szCs w:val="18"/>
              </w:rPr>
              <w:t>,</w:t>
            </w:r>
            <w:r w:rsidR="00E2538C">
              <w:rPr>
                <w:sz w:val="18"/>
                <w:szCs w:val="18"/>
              </w:rPr>
              <w:t xml:space="preserve"> and in particular </w:t>
            </w:r>
            <w:r w:rsidRPr="009F5235">
              <w:rPr>
                <w:sz w:val="18"/>
                <w:szCs w:val="18"/>
              </w:rPr>
              <w:t>Regulation 12(4)(b).</w:t>
            </w:r>
          </w:p>
        </w:tc>
      </w:tr>
    </w:tbl>
    <w:p w14:paraId="57679478" w14:textId="77777777" w:rsidR="00AA1471" w:rsidRDefault="00AA1471">
      <w:r>
        <w:br w:type="page"/>
      </w:r>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5811"/>
        <w:gridCol w:w="7088"/>
      </w:tblGrid>
      <w:tr w:rsidR="00EE4AF3" w:rsidRPr="006D433C" w14:paraId="78ADAC05" w14:textId="77777777" w:rsidTr="00E4272E">
        <w:tc>
          <w:tcPr>
            <w:tcW w:w="2122" w:type="dxa"/>
            <w:shd w:val="clear" w:color="auto" w:fill="D9D9D9" w:themeFill="background1" w:themeFillShade="D9"/>
            <w:vAlign w:val="center"/>
          </w:tcPr>
          <w:p w14:paraId="25E54D8D" w14:textId="549AF2F5" w:rsidR="00EE4AF3" w:rsidRPr="002B6D26" w:rsidRDefault="00EE4AF3">
            <w:pPr>
              <w:spacing w:before="60" w:after="60"/>
              <w:jc w:val="center"/>
              <w:rPr>
                <w:rFonts w:cs="Arial"/>
                <w:b/>
                <w:bCs/>
                <w:sz w:val="18"/>
                <w:szCs w:val="18"/>
              </w:rPr>
            </w:pPr>
            <w:r w:rsidRPr="002B6D26">
              <w:rPr>
                <w:rFonts w:cs="Arial"/>
                <w:b/>
                <w:bCs/>
                <w:sz w:val="18"/>
                <w:szCs w:val="18"/>
              </w:rPr>
              <w:lastRenderedPageBreak/>
              <w:t>NHUC’s information request</w:t>
            </w:r>
          </w:p>
        </w:tc>
        <w:tc>
          <w:tcPr>
            <w:tcW w:w="5811" w:type="dxa"/>
            <w:shd w:val="clear" w:color="auto" w:fill="D9D9D9" w:themeFill="background1" w:themeFillShade="D9"/>
            <w:vAlign w:val="center"/>
          </w:tcPr>
          <w:p w14:paraId="68DCE752" w14:textId="77777777" w:rsidR="00EE4AF3" w:rsidRPr="002B6D26" w:rsidRDefault="00EE4AF3">
            <w:pPr>
              <w:spacing w:before="60" w:after="60"/>
              <w:jc w:val="center"/>
              <w:rPr>
                <w:rFonts w:cs="Arial"/>
                <w:b/>
                <w:bCs/>
                <w:sz w:val="18"/>
                <w:szCs w:val="18"/>
              </w:rPr>
            </w:pPr>
            <w:r w:rsidRPr="002B6D26">
              <w:rPr>
                <w:rFonts w:cs="Arial"/>
                <w:b/>
                <w:bCs/>
                <w:sz w:val="18"/>
                <w:szCs w:val="18"/>
              </w:rPr>
              <w:t>HHFT’s response</w:t>
            </w:r>
          </w:p>
        </w:tc>
        <w:tc>
          <w:tcPr>
            <w:tcW w:w="7088" w:type="dxa"/>
            <w:shd w:val="clear" w:color="auto" w:fill="D9D9D9" w:themeFill="background1" w:themeFillShade="D9"/>
            <w:vAlign w:val="center"/>
          </w:tcPr>
          <w:p w14:paraId="7DA33177" w14:textId="77777777" w:rsidR="00EE4AF3" w:rsidRPr="002B6D26" w:rsidRDefault="00EE4AF3">
            <w:pPr>
              <w:spacing w:before="60" w:after="60"/>
              <w:jc w:val="center"/>
              <w:rPr>
                <w:rFonts w:cs="Arial"/>
                <w:b/>
                <w:bCs/>
                <w:sz w:val="18"/>
                <w:szCs w:val="18"/>
              </w:rPr>
            </w:pPr>
            <w:r w:rsidRPr="002B6D26">
              <w:rPr>
                <w:rFonts w:cs="Arial"/>
                <w:b/>
                <w:bCs/>
                <w:sz w:val="18"/>
                <w:szCs w:val="18"/>
              </w:rPr>
              <w:t>Panel’s view</w:t>
            </w:r>
          </w:p>
        </w:tc>
      </w:tr>
      <w:tr w:rsidR="00E11F68" w:rsidRPr="006D433C" w14:paraId="1B015151" w14:textId="77777777" w:rsidTr="00E4272E">
        <w:tc>
          <w:tcPr>
            <w:tcW w:w="2122" w:type="dxa"/>
          </w:tcPr>
          <w:p w14:paraId="62344899" w14:textId="77777777" w:rsidR="00E11F68" w:rsidRPr="002B6D26" w:rsidRDefault="00E11F68">
            <w:pPr>
              <w:tabs>
                <w:tab w:val="left" w:pos="825"/>
              </w:tabs>
              <w:spacing w:before="60" w:after="60"/>
              <w:rPr>
                <w:rFonts w:cs="Arial"/>
                <w:sz w:val="18"/>
                <w:szCs w:val="18"/>
              </w:rPr>
            </w:pPr>
            <w:r>
              <w:rPr>
                <w:rFonts w:cs="Arial"/>
                <w:sz w:val="18"/>
                <w:szCs w:val="18"/>
              </w:rPr>
              <w:t xml:space="preserve">5. </w:t>
            </w:r>
            <w:r w:rsidRPr="002B6D26">
              <w:rPr>
                <w:rFonts w:cs="Arial"/>
                <w:sz w:val="18"/>
                <w:szCs w:val="18"/>
              </w:rPr>
              <w:t>“Please provide the reasons for decisions made under the PSR Regulations when deciding to follow the most suitable provider process and selecting the most suitable provider.”</w:t>
            </w:r>
          </w:p>
        </w:tc>
        <w:tc>
          <w:tcPr>
            <w:tcW w:w="5811" w:type="dxa"/>
          </w:tcPr>
          <w:p w14:paraId="0AD1F305" w14:textId="77777777" w:rsidR="00E11F68" w:rsidRPr="00010274" w:rsidRDefault="00E11F68">
            <w:pPr>
              <w:spacing w:before="60" w:after="60"/>
              <w:rPr>
                <w:rFonts w:cs="Arial"/>
                <w:sz w:val="18"/>
                <w:szCs w:val="18"/>
              </w:rPr>
            </w:pPr>
            <w:r w:rsidRPr="00010274">
              <w:rPr>
                <w:rFonts w:cs="Arial"/>
                <w:sz w:val="18"/>
                <w:szCs w:val="18"/>
              </w:rPr>
              <w:t>“As per section VI within FTS notice identifier 2025/S 000-086331” </w:t>
            </w:r>
          </w:p>
          <w:p w14:paraId="3364CDB3" w14:textId="77777777" w:rsidR="00E11F68" w:rsidRPr="0033140B" w:rsidRDefault="00E11F68">
            <w:pPr>
              <w:spacing w:before="60" w:after="60"/>
              <w:rPr>
                <w:rFonts w:cs="Arial"/>
                <w:sz w:val="18"/>
                <w:szCs w:val="18"/>
              </w:rPr>
            </w:pPr>
            <w:r w:rsidRPr="0033140B">
              <w:rPr>
                <w:rFonts w:cs="Arial"/>
                <w:sz w:val="18"/>
                <w:szCs w:val="18"/>
              </w:rPr>
              <w:t xml:space="preserve">(The Panel notes that section VI of this notice included the following: </w:t>
            </w:r>
          </w:p>
          <w:p w14:paraId="3D341F6C" w14:textId="77777777" w:rsidR="00E11F68" w:rsidRPr="00010274" w:rsidRDefault="00E11F68">
            <w:pPr>
              <w:spacing w:before="60" w:after="60"/>
              <w:ind w:left="176"/>
              <w:rPr>
                <w:rFonts w:cs="Arial"/>
                <w:sz w:val="18"/>
                <w:szCs w:val="18"/>
              </w:rPr>
            </w:pPr>
            <w:r w:rsidRPr="0033140B">
              <w:rPr>
                <w:rFonts w:cs="Arial"/>
                <w:sz w:val="18"/>
                <w:szCs w:val="18"/>
              </w:rPr>
              <w:t>"It was determined that all 5 criteria were to be assessed equally in terms of prioritisation when selecting the most suitable provider, therefore an evidence based scoring card approach was utilised allowing a maximum score of 25 (5 per criteria) to be achievable by any one likely provider - the most suitable provider achieved the highest score of 21 across the assessed providers …"</w:t>
            </w:r>
            <w:r w:rsidRPr="00010274">
              <w:rPr>
                <w:rFonts w:cs="Arial"/>
                <w:sz w:val="18"/>
                <w:szCs w:val="18"/>
              </w:rPr>
              <w:t>)</w:t>
            </w:r>
          </w:p>
        </w:tc>
        <w:tc>
          <w:tcPr>
            <w:tcW w:w="7088" w:type="dxa"/>
          </w:tcPr>
          <w:p w14:paraId="13A65272" w14:textId="413EFCA5" w:rsidR="00E11F68" w:rsidRDefault="00E11F68">
            <w:pPr>
              <w:spacing w:before="60" w:after="60"/>
              <w:rPr>
                <w:rFonts w:cs="Arial"/>
                <w:sz w:val="18"/>
                <w:szCs w:val="18"/>
              </w:rPr>
            </w:pPr>
            <w:r>
              <w:rPr>
                <w:rFonts w:cs="Arial"/>
                <w:sz w:val="18"/>
                <w:szCs w:val="18"/>
              </w:rPr>
              <w:t xml:space="preserve">The Panel notes that </w:t>
            </w:r>
            <w:r w:rsidR="00133226">
              <w:rPr>
                <w:rFonts w:cs="Arial"/>
                <w:sz w:val="18"/>
                <w:szCs w:val="18"/>
              </w:rPr>
              <w:t>NHUC’s</w:t>
            </w:r>
            <w:r>
              <w:rPr>
                <w:rFonts w:cs="Arial"/>
                <w:sz w:val="18"/>
                <w:szCs w:val="18"/>
              </w:rPr>
              <w:t xml:space="preserve"> request encompasses two elements: (</w:t>
            </w:r>
            <w:proofErr w:type="spellStart"/>
            <w:r>
              <w:rPr>
                <w:rFonts w:cs="Arial"/>
                <w:sz w:val="18"/>
                <w:szCs w:val="18"/>
              </w:rPr>
              <w:t>i</w:t>
            </w:r>
            <w:proofErr w:type="spellEnd"/>
            <w:r>
              <w:rPr>
                <w:rFonts w:cs="Arial"/>
                <w:sz w:val="18"/>
                <w:szCs w:val="18"/>
              </w:rPr>
              <w:t>) HHFT’s reasons for using the MSP process; and (ii) HHFT’s decisions when following the MSP process.</w:t>
            </w:r>
          </w:p>
          <w:p w14:paraId="6EB59B94" w14:textId="6062BBE0" w:rsidR="00E11F68" w:rsidRDefault="00E11F68">
            <w:pPr>
              <w:spacing w:before="60" w:after="60"/>
              <w:rPr>
                <w:rFonts w:cs="Arial"/>
                <w:sz w:val="18"/>
                <w:szCs w:val="18"/>
              </w:rPr>
            </w:pPr>
            <w:r>
              <w:rPr>
                <w:rFonts w:cs="Arial"/>
                <w:sz w:val="18"/>
                <w:szCs w:val="18"/>
              </w:rPr>
              <w:t>On point (</w:t>
            </w:r>
            <w:proofErr w:type="spellStart"/>
            <w:r>
              <w:rPr>
                <w:rFonts w:cs="Arial"/>
                <w:sz w:val="18"/>
                <w:szCs w:val="18"/>
              </w:rPr>
              <w:t>i</w:t>
            </w:r>
            <w:proofErr w:type="spellEnd"/>
            <w:r>
              <w:rPr>
                <w:rFonts w:cs="Arial"/>
                <w:sz w:val="18"/>
                <w:szCs w:val="18"/>
              </w:rPr>
              <w:t xml:space="preserve">), the Panel’s view is set out above in relation to NHUC’s first information request. On point (ii), the Panel’s view is set out above in relation to NHUC’s fourth information request. In particular, the Panel’s view is that HHFT’s </w:t>
            </w:r>
            <w:r w:rsidR="002E3B74">
              <w:rPr>
                <w:rFonts w:cs="Arial"/>
                <w:sz w:val="18"/>
                <w:szCs w:val="18"/>
              </w:rPr>
              <w:t xml:space="preserve">should have provided a copy of an appropriate record (such as a </w:t>
            </w:r>
            <w:r>
              <w:rPr>
                <w:rFonts w:cs="Arial"/>
                <w:sz w:val="18"/>
                <w:szCs w:val="18"/>
              </w:rPr>
              <w:t>contract award recommendation report or equivalent</w:t>
            </w:r>
            <w:r w:rsidR="002E3B74">
              <w:rPr>
                <w:rFonts w:cs="Arial"/>
                <w:sz w:val="18"/>
                <w:szCs w:val="18"/>
              </w:rPr>
              <w:t>), which</w:t>
            </w:r>
            <w:r>
              <w:rPr>
                <w:rFonts w:cs="Arial"/>
                <w:sz w:val="18"/>
                <w:szCs w:val="18"/>
              </w:rPr>
              <w:t xml:space="preserve"> contained the information that NHUC was obliged to </w:t>
            </w:r>
            <w:proofErr w:type="gramStart"/>
            <w:r>
              <w:rPr>
                <w:rFonts w:cs="Arial"/>
                <w:sz w:val="18"/>
                <w:szCs w:val="18"/>
              </w:rPr>
              <w:t>record</w:t>
            </w:r>
            <w:proofErr w:type="gramEnd"/>
            <w:r>
              <w:rPr>
                <w:rFonts w:cs="Arial"/>
                <w:sz w:val="18"/>
                <w:szCs w:val="18"/>
              </w:rPr>
              <w:t xml:space="preserve"> and which was requested by HHFT.</w:t>
            </w:r>
          </w:p>
          <w:p w14:paraId="481E777F" w14:textId="77777777" w:rsidR="00E11F68" w:rsidRDefault="00E11F68">
            <w:pPr>
              <w:spacing w:before="60" w:after="60"/>
              <w:rPr>
                <w:rFonts w:cs="Arial"/>
                <w:sz w:val="18"/>
                <w:szCs w:val="18"/>
              </w:rPr>
            </w:pPr>
            <w:r>
              <w:rPr>
                <w:rFonts w:cs="Arial"/>
                <w:sz w:val="18"/>
                <w:szCs w:val="18"/>
              </w:rPr>
              <w:t xml:space="preserve">The Panel’s view is that </w:t>
            </w:r>
            <w:r>
              <w:rPr>
                <w:sz w:val="18"/>
                <w:szCs w:val="18"/>
              </w:rPr>
              <w:t xml:space="preserve">the </w:t>
            </w:r>
            <w:r w:rsidRPr="0033140B">
              <w:rPr>
                <w:sz w:val="18"/>
                <w:szCs w:val="18"/>
              </w:rPr>
              <w:t xml:space="preserve">summary information published in </w:t>
            </w:r>
            <w:r>
              <w:rPr>
                <w:sz w:val="18"/>
                <w:szCs w:val="18"/>
              </w:rPr>
              <w:t xml:space="preserve">the </w:t>
            </w:r>
            <w:r w:rsidRPr="0033140B">
              <w:rPr>
                <w:sz w:val="18"/>
                <w:szCs w:val="18"/>
              </w:rPr>
              <w:t>contract notice</w:t>
            </w:r>
            <w:r>
              <w:rPr>
                <w:sz w:val="18"/>
                <w:szCs w:val="18"/>
              </w:rPr>
              <w:t xml:space="preserve"> of 29 December 2025 was not </w:t>
            </w:r>
            <w:r w:rsidRPr="0033140B">
              <w:rPr>
                <w:sz w:val="18"/>
                <w:szCs w:val="18"/>
              </w:rPr>
              <w:t xml:space="preserve">sufficient for the purposes of responding to </w:t>
            </w:r>
            <w:r>
              <w:rPr>
                <w:sz w:val="18"/>
                <w:szCs w:val="18"/>
              </w:rPr>
              <w:t xml:space="preserve">NHUC’s </w:t>
            </w:r>
            <w:r w:rsidRPr="0033140B">
              <w:rPr>
                <w:sz w:val="18"/>
                <w:szCs w:val="18"/>
              </w:rPr>
              <w:t>request for information</w:t>
            </w:r>
            <w:r>
              <w:rPr>
                <w:sz w:val="18"/>
                <w:szCs w:val="18"/>
              </w:rPr>
              <w:t>.</w:t>
            </w:r>
          </w:p>
          <w:p w14:paraId="53DB315B" w14:textId="71A17656" w:rsidR="00E11F68" w:rsidRPr="009F5235" w:rsidRDefault="00E11F68">
            <w:pPr>
              <w:spacing w:before="60" w:after="60"/>
              <w:rPr>
                <w:rFonts w:cs="Arial"/>
                <w:sz w:val="18"/>
                <w:szCs w:val="18"/>
              </w:rPr>
            </w:pPr>
            <w:r w:rsidRPr="0033140B">
              <w:rPr>
                <w:sz w:val="18"/>
                <w:szCs w:val="18"/>
              </w:rPr>
              <w:t xml:space="preserve">As a result, the Panel </w:t>
            </w:r>
            <w:r>
              <w:rPr>
                <w:sz w:val="18"/>
                <w:szCs w:val="18"/>
              </w:rPr>
              <w:t xml:space="preserve">finds that HHFT, in responding to NHUC’s request for information by referring NHUC to the </w:t>
            </w:r>
            <w:r w:rsidRPr="00CD305C">
              <w:rPr>
                <w:sz w:val="18"/>
                <w:szCs w:val="18"/>
              </w:rPr>
              <w:t>notice published on 29</w:t>
            </w:r>
            <w:r>
              <w:rPr>
                <w:sz w:val="18"/>
                <w:szCs w:val="18"/>
              </w:rPr>
              <w:t> </w:t>
            </w:r>
            <w:r w:rsidRPr="00CD305C">
              <w:rPr>
                <w:sz w:val="18"/>
                <w:szCs w:val="18"/>
              </w:rPr>
              <w:t>December 2025</w:t>
            </w:r>
            <w:r>
              <w:rPr>
                <w:sz w:val="18"/>
                <w:szCs w:val="18"/>
              </w:rPr>
              <w:t>, has breached the PSR regulations</w:t>
            </w:r>
            <w:r w:rsidR="000D6C3B">
              <w:rPr>
                <w:sz w:val="18"/>
                <w:szCs w:val="18"/>
              </w:rPr>
              <w:t>,</w:t>
            </w:r>
            <w:r>
              <w:rPr>
                <w:sz w:val="18"/>
                <w:szCs w:val="18"/>
              </w:rPr>
              <w:t xml:space="preserve"> and in particular </w:t>
            </w:r>
            <w:r w:rsidRPr="0033140B">
              <w:rPr>
                <w:sz w:val="18"/>
                <w:szCs w:val="18"/>
              </w:rPr>
              <w:t>Regulation 12(4)(b).</w:t>
            </w:r>
          </w:p>
        </w:tc>
      </w:tr>
      <w:tr w:rsidR="00AA1471" w:rsidRPr="006D433C" w14:paraId="08A1FADC" w14:textId="77777777" w:rsidTr="00E4272E">
        <w:tc>
          <w:tcPr>
            <w:tcW w:w="2122" w:type="dxa"/>
          </w:tcPr>
          <w:p w14:paraId="285A42EF" w14:textId="77777777" w:rsidR="00AA1471" w:rsidRPr="002B6D26" w:rsidRDefault="00AA1471">
            <w:pPr>
              <w:spacing w:before="60" w:after="60"/>
              <w:rPr>
                <w:rFonts w:cs="Arial"/>
                <w:sz w:val="18"/>
                <w:szCs w:val="18"/>
              </w:rPr>
            </w:pPr>
            <w:r>
              <w:rPr>
                <w:rFonts w:cs="Arial"/>
                <w:sz w:val="18"/>
                <w:szCs w:val="18"/>
              </w:rPr>
              <w:t xml:space="preserve">6. </w:t>
            </w:r>
            <w:r w:rsidRPr="002B6D26">
              <w:rPr>
                <w:rFonts w:cs="Arial"/>
                <w:sz w:val="18"/>
                <w:szCs w:val="18"/>
              </w:rPr>
              <w:t>“Please provide the Trust’s justification for the weighting, or lack of, for the key criteria.”</w:t>
            </w:r>
          </w:p>
        </w:tc>
        <w:tc>
          <w:tcPr>
            <w:tcW w:w="5811" w:type="dxa"/>
          </w:tcPr>
          <w:p w14:paraId="29C6A4BD" w14:textId="46CE6EAB" w:rsidR="00AA1471" w:rsidRPr="002B6D26" w:rsidRDefault="00AA1471">
            <w:pPr>
              <w:spacing w:before="60" w:after="60"/>
              <w:rPr>
                <w:rFonts w:cs="Arial"/>
                <w:sz w:val="18"/>
                <w:szCs w:val="18"/>
              </w:rPr>
            </w:pPr>
            <w:r w:rsidRPr="002B6D26">
              <w:rPr>
                <w:rFonts w:cs="Arial"/>
                <w:sz w:val="18"/>
                <w:szCs w:val="18"/>
              </w:rPr>
              <w:t>“</w:t>
            </w:r>
            <w:r>
              <w:rPr>
                <w:rFonts w:cs="Arial"/>
                <w:sz w:val="18"/>
                <w:szCs w:val="18"/>
              </w:rPr>
              <w:t>T</w:t>
            </w:r>
            <w:r w:rsidRPr="002B6D26">
              <w:rPr>
                <w:rFonts w:cs="Arial"/>
                <w:sz w:val="18"/>
                <w:szCs w:val="18"/>
              </w:rPr>
              <w:t>he</w:t>
            </w:r>
            <w:r w:rsidR="008D5B05">
              <w:rPr>
                <w:rFonts w:cs="Arial"/>
                <w:sz w:val="18"/>
                <w:szCs w:val="18"/>
              </w:rPr>
              <w:t xml:space="preserve"> </w:t>
            </w:r>
            <w:r w:rsidRPr="002B6D26">
              <w:rPr>
                <w:rFonts w:cs="Arial"/>
                <w:sz w:val="18"/>
                <w:szCs w:val="18"/>
              </w:rPr>
              <w:t>trust did not weight the assessment criteria and each </w:t>
            </w:r>
            <w:proofErr w:type="gramStart"/>
            <w:r w:rsidRPr="002B6D26">
              <w:rPr>
                <w:rFonts w:cs="Arial"/>
                <w:sz w:val="18"/>
                <w:szCs w:val="18"/>
              </w:rPr>
              <w:t>criteria</w:t>
            </w:r>
            <w:proofErr w:type="gramEnd"/>
            <w:r w:rsidRPr="002B6D26">
              <w:rPr>
                <w:rFonts w:cs="Arial"/>
                <w:sz w:val="18"/>
                <w:szCs w:val="18"/>
              </w:rPr>
              <w:t> was considered to be of equal value.”</w:t>
            </w:r>
          </w:p>
        </w:tc>
        <w:tc>
          <w:tcPr>
            <w:tcW w:w="7088" w:type="dxa"/>
          </w:tcPr>
          <w:p w14:paraId="036FBEDB" w14:textId="7DB8A6C9" w:rsidR="009816ED" w:rsidRDefault="009816ED" w:rsidP="009816ED">
            <w:pPr>
              <w:spacing w:before="60" w:after="60"/>
              <w:rPr>
                <w:rFonts w:cs="Arial"/>
                <w:sz w:val="18"/>
                <w:szCs w:val="18"/>
              </w:rPr>
            </w:pPr>
            <w:r w:rsidRPr="0033140B">
              <w:rPr>
                <w:rFonts w:cs="Arial"/>
                <w:sz w:val="18"/>
                <w:szCs w:val="18"/>
              </w:rPr>
              <w:t>The Panel</w:t>
            </w:r>
            <w:r>
              <w:rPr>
                <w:rFonts w:cs="Arial"/>
                <w:sz w:val="18"/>
                <w:szCs w:val="18"/>
              </w:rPr>
              <w:t xml:space="preserve"> notes that HHFT was obliged to keep a record of its reasons for </w:t>
            </w:r>
            <w:r w:rsidR="00F82DAB">
              <w:rPr>
                <w:rFonts w:cs="Arial"/>
                <w:sz w:val="18"/>
                <w:szCs w:val="18"/>
              </w:rPr>
              <w:t xml:space="preserve">decisions </w:t>
            </w:r>
            <w:r w:rsidR="000D6C3B">
              <w:rPr>
                <w:rFonts w:cs="Arial"/>
                <w:sz w:val="18"/>
                <w:szCs w:val="18"/>
              </w:rPr>
              <w:t xml:space="preserve">under </w:t>
            </w:r>
            <w:r>
              <w:rPr>
                <w:rFonts w:cs="Arial"/>
                <w:sz w:val="18"/>
                <w:szCs w:val="18"/>
              </w:rPr>
              <w:t>Regulation 24(g).</w:t>
            </w:r>
            <w:r w:rsidR="00DA675E">
              <w:rPr>
                <w:rFonts w:cs="Arial"/>
                <w:sz w:val="18"/>
                <w:szCs w:val="18"/>
              </w:rPr>
              <w:t xml:space="preserve"> The Panel’s view is that </w:t>
            </w:r>
            <w:r w:rsidR="004C3274">
              <w:rPr>
                <w:rFonts w:cs="Arial"/>
                <w:sz w:val="18"/>
                <w:szCs w:val="18"/>
              </w:rPr>
              <w:t>this record should include a record of its decision determining the weight</w:t>
            </w:r>
            <w:r w:rsidR="00F065AD">
              <w:rPr>
                <w:rFonts w:cs="Arial"/>
                <w:sz w:val="18"/>
                <w:szCs w:val="18"/>
              </w:rPr>
              <w:t>ings</w:t>
            </w:r>
            <w:r w:rsidR="004C3274">
              <w:rPr>
                <w:rFonts w:cs="Arial"/>
                <w:sz w:val="18"/>
                <w:szCs w:val="18"/>
              </w:rPr>
              <w:t xml:space="preserve"> to be attached to each criteria</w:t>
            </w:r>
            <w:r w:rsidR="00495D1F">
              <w:rPr>
                <w:rFonts w:cs="Arial"/>
                <w:sz w:val="18"/>
                <w:szCs w:val="18"/>
              </w:rPr>
              <w:t>.</w:t>
            </w:r>
          </w:p>
          <w:p w14:paraId="0B1D9320" w14:textId="739DEEB3" w:rsidR="00AA1471" w:rsidRPr="009F5235" w:rsidRDefault="008D5B05">
            <w:pPr>
              <w:spacing w:before="60" w:after="60"/>
              <w:rPr>
                <w:rFonts w:cs="Arial"/>
                <w:sz w:val="18"/>
                <w:szCs w:val="18"/>
              </w:rPr>
            </w:pPr>
            <w:r>
              <w:rPr>
                <w:rFonts w:cs="Arial"/>
                <w:sz w:val="18"/>
                <w:szCs w:val="18"/>
              </w:rPr>
              <w:t>In this case, t</w:t>
            </w:r>
            <w:r w:rsidR="00D42236">
              <w:rPr>
                <w:rFonts w:cs="Arial"/>
                <w:sz w:val="18"/>
                <w:szCs w:val="18"/>
              </w:rPr>
              <w:t>he Panel</w:t>
            </w:r>
            <w:r w:rsidR="00EA2A8D">
              <w:rPr>
                <w:rFonts w:cs="Arial"/>
                <w:sz w:val="18"/>
                <w:szCs w:val="18"/>
              </w:rPr>
              <w:t xml:space="preserve"> has requested</w:t>
            </w:r>
            <w:r w:rsidR="00A17059">
              <w:rPr>
                <w:rFonts w:cs="Arial"/>
                <w:sz w:val="18"/>
                <w:szCs w:val="18"/>
              </w:rPr>
              <w:t>,</w:t>
            </w:r>
            <w:r w:rsidR="00EA2A8D">
              <w:rPr>
                <w:rFonts w:cs="Arial"/>
                <w:sz w:val="18"/>
                <w:szCs w:val="18"/>
              </w:rPr>
              <w:t xml:space="preserve"> but </w:t>
            </w:r>
            <w:r w:rsidR="00A17059">
              <w:rPr>
                <w:rFonts w:cs="Arial"/>
                <w:sz w:val="18"/>
                <w:szCs w:val="18"/>
              </w:rPr>
              <w:t xml:space="preserve">not seen, </w:t>
            </w:r>
            <w:r w:rsidR="00D42236">
              <w:rPr>
                <w:rFonts w:cs="Arial"/>
                <w:sz w:val="18"/>
                <w:szCs w:val="18"/>
              </w:rPr>
              <w:t xml:space="preserve">any </w:t>
            </w:r>
            <w:r w:rsidR="00E24A72">
              <w:rPr>
                <w:rFonts w:cs="Arial"/>
                <w:sz w:val="18"/>
                <w:szCs w:val="18"/>
              </w:rPr>
              <w:t>such record</w:t>
            </w:r>
            <w:r w:rsidR="001E57DA">
              <w:rPr>
                <w:rFonts w:cs="Arial"/>
                <w:sz w:val="18"/>
                <w:szCs w:val="18"/>
              </w:rPr>
              <w:t>. As a result, the Panel finds that HHFT</w:t>
            </w:r>
            <w:r w:rsidR="00E77DEC">
              <w:rPr>
                <w:rFonts w:cs="Arial"/>
                <w:sz w:val="18"/>
                <w:szCs w:val="18"/>
              </w:rPr>
              <w:t>, in failing to keep a record of its reasons for the weightings attached to the key criteria, breached the PSR regulations</w:t>
            </w:r>
            <w:r w:rsidR="00F065AD">
              <w:rPr>
                <w:rFonts w:cs="Arial"/>
                <w:sz w:val="18"/>
                <w:szCs w:val="18"/>
              </w:rPr>
              <w:t>,</w:t>
            </w:r>
            <w:r w:rsidR="00E77DEC">
              <w:rPr>
                <w:rFonts w:cs="Arial"/>
                <w:sz w:val="18"/>
                <w:szCs w:val="18"/>
              </w:rPr>
              <w:t xml:space="preserve"> and in particular Regulation 24(g).</w:t>
            </w:r>
          </w:p>
        </w:tc>
      </w:tr>
      <w:tr w:rsidR="00EE4AF3" w:rsidRPr="006D433C" w14:paraId="65C5C19B" w14:textId="77777777" w:rsidTr="00E4272E">
        <w:tc>
          <w:tcPr>
            <w:tcW w:w="2122" w:type="dxa"/>
          </w:tcPr>
          <w:p w14:paraId="23F69860" w14:textId="7B716AE9" w:rsidR="007C040C" w:rsidRPr="002B6D26" w:rsidRDefault="007C040C">
            <w:pPr>
              <w:spacing w:before="60" w:after="60"/>
              <w:rPr>
                <w:rFonts w:cs="Arial"/>
                <w:sz w:val="18"/>
                <w:szCs w:val="18"/>
              </w:rPr>
            </w:pPr>
            <w:r>
              <w:rPr>
                <w:rFonts w:cs="Arial"/>
                <w:sz w:val="18"/>
                <w:szCs w:val="18"/>
              </w:rPr>
              <w:t xml:space="preserve">7. </w:t>
            </w:r>
            <w:r w:rsidRPr="002B6D26">
              <w:rPr>
                <w:rFonts w:cs="Arial"/>
                <w:sz w:val="18"/>
                <w:szCs w:val="18"/>
              </w:rPr>
              <w:t>“Please provide your rationale for how the most suitable provider demonstrated</w:t>
            </w:r>
            <w:r>
              <w:rPr>
                <w:rFonts w:cs="Arial"/>
                <w:sz w:val="18"/>
                <w:szCs w:val="18"/>
              </w:rPr>
              <w:t xml:space="preserve"> </w:t>
            </w:r>
            <w:r w:rsidRPr="002B6D26">
              <w:rPr>
                <w:rFonts w:cs="Arial"/>
                <w:sz w:val="18"/>
                <w:szCs w:val="18"/>
              </w:rPr>
              <w:t>integration, collaboration, and sustainability.”</w:t>
            </w:r>
          </w:p>
        </w:tc>
        <w:tc>
          <w:tcPr>
            <w:tcW w:w="5811" w:type="dxa"/>
          </w:tcPr>
          <w:p w14:paraId="46405492" w14:textId="25BD0556" w:rsidR="007C040C" w:rsidRDefault="007C040C">
            <w:pPr>
              <w:spacing w:before="60" w:after="60"/>
              <w:rPr>
                <w:rFonts w:cs="Arial"/>
                <w:sz w:val="18"/>
                <w:szCs w:val="18"/>
              </w:rPr>
            </w:pPr>
            <w:r>
              <w:rPr>
                <w:rFonts w:cs="Arial"/>
                <w:sz w:val="18"/>
                <w:szCs w:val="18"/>
              </w:rPr>
              <w:t xml:space="preserve">The Panel notes that HHFT </w:t>
            </w:r>
            <w:r w:rsidR="00B81AF1">
              <w:rPr>
                <w:rFonts w:cs="Arial"/>
                <w:sz w:val="18"/>
                <w:szCs w:val="18"/>
              </w:rPr>
              <w:t>did</w:t>
            </w:r>
            <w:r>
              <w:rPr>
                <w:rFonts w:cs="Arial"/>
                <w:sz w:val="18"/>
                <w:szCs w:val="18"/>
              </w:rPr>
              <w:t xml:space="preserve"> not specifically respond to this information request, other than with the general response set out below.</w:t>
            </w:r>
          </w:p>
          <w:p w14:paraId="2CF939A2" w14:textId="77777777" w:rsidR="007C040C" w:rsidRPr="00593B5A" w:rsidRDefault="007C040C" w:rsidP="009F5235">
            <w:pPr>
              <w:spacing w:before="60" w:after="60"/>
              <w:ind w:left="176"/>
              <w:rPr>
                <w:rFonts w:cs="Arial"/>
                <w:sz w:val="18"/>
                <w:szCs w:val="18"/>
              </w:rPr>
            </w:pPr>
            <w:r>
              <w:rPr>
                <w:rFonts w:cs="Arial"/>
                <w:sz w:val="18"/>
                <w:szCs w:val="18"/>
              </w:rPr>
              <w:t>“</w:t>
            </w:r>
            <w:r w:rsidRPr="00593B5A">
              <w:rPr>
                <w:rFonts w:cs="Arial"/>
                <w:sz w:val="18"/>
                <w:szCs w:val="18"/>
              </w:rPr>
              <w:t>I note your disappointment about not being selected and this is understandable. However, in accordance with the process undertaken, in accordance with the regulations, the trust has decided that another provider will be more suitable going forward.</w:t>
            </w:r>
          </w:p>
          <w:p w14:paraId="7024D876" w14:textId="77777777" w:rsidR="007C040C" w:rsidRPr="002B6D26" w:rsidRDefault="007C040C" w:rsidP="009F5235">
            <w:pPr>
              <w:spacing w:before="60" w:after="60"/>
              <w:ind w:left="176"/>
              <w:rPr>
                <w:rFonts w:cs="Arial"/>
                <w:sz w:val="18"/>
                <w:szCs w:val="18"/>
                <w:highlight w:val="yellow"/>
              </w:rPr>
            </w:pPr>
            <w:r>
              <w:rPr>
                <w:rFonts w:cs="Arial"/>
                <w:sz w:val="18"/>
                <w:szCs w:val="18"/>
              </w:rPr>
              <w:t>“</w:t>
            </w:r>
            <w:r w:rsidRPr="00593B5A">
              <w:rPr>
                <w:rFonts w:cs="Arial"/>
                <w:sz w:val="18"/>
                <w:szCs w:val="18"/>
              </w:rPr>
              <w:t>In relation to your requests for information, these have been addressed in the letter above, including the additional information recorded by the trust in respect of reg 24.</w:t>
            </w:r>
            <w:r>
              <w:rPr>
                <w:rFonts w:cs="Arial"/>
                <w:sz w:val="18"/>
                <w:szCs w:val="18"/>
              </w:rPr>
              <w:t>”</w:t>
            </w:r>
          </w:p>
        </w:tc>
        <w:tc>
          <w:tcPr>
            <w:tcW w:w="7088" w:type="dxa"/>
          </w:tcPr>
          <w:p w14:paraId="2185ED39" w14:textId="491F8651" w:rsidR="00C2652C" w:rsidRDefault="00C2652C">
            <w:pPr>
              <w:spacing w:before="60" w:after="60"/>
              <w:rPr>
                <w:rFonts w:cs="Arial"/>
                <w:sz w:val="18"/>
                <w:szCs w:val="18"/>
              </w:rPr>
            </w:pPr>
            <w:r w:rsidRPr="0033140B">
              <w:rPr>
                <w:rFonts w:cs="Arial"/>
                <w:sz w:val="18"/>
                <w:szCs w:val="18"/>
              </w:rPr>
              <w:t>The Panel</w:t>
            </w:r>
            <w:r>
              <w:rPr>
                <w:rFonts w:cs="Arial"/>
                <w:sz w:val="18"/>
                <w:szCs w:val="18"/>
              </w:rPr>
              <w:t xml:space="preserve"> notes that HHFT was obliged to keep a record of its reasons for decisions </w:t>
            </w:r>
            <w:r w:rsidR="00B06DCC">
              <w:rPr>
                <w:rFonts w:cs="Arial"/>
                <w:sz w:val="18"/>
                <w:szCs w:val="18"/>
              </w:rPr>
              <w:t xml:space="preserve">under </w:t>
            </w:r>
            <w:r>
              <w:rPr>
                <w:rFonts w:cs="Arial"/>
                <w:sz w:val="18"/>
                <w:szCs w:val="18"/>
              </w:rPr>
              <w:t>Regulation 24(g).</w:t>
            </w:r>
          </w:p>
          <w:p w14:paraId="40E78550" w14:textId="11CE5862" w:rsidR="00B62652" w:rsidRDefault="00C2652C">
            <w:pPr>
              <w:spacing w:before="60" w:after="60"/>
              <w:rPr>
                <w:rFonts w:cs="Arial"/>
                <w:sz w:val="18"/>
                <w:szCs w:val="18"/>
              </w:rPr>
            </w:pPr>
            <w:r>
              <w:rPr>
                <w:rFonts w:cs="Arial"/>
                <w:sz w:val="18"/>
                <w:szCs w:val="18"/>
              </w:rPr>
              <w:t>The Panel</w:t>
            </w:r>
            <w:r w:rsidR="00A94719">
              <w:rPr>
                <w:rFonts w:cs="Arial"/>
                <w:sz w:val="18"/>
                <w:szCs w:val="18"/>
              </w:rPr>
              <w:t xml:space="preserve">’s view is that the requested information </w:t>
            </w:r>
            <w:r w:rsidR="006139BC">
              <w:rPr>
                <w:rFonts w:cs="Arial"/>
                <w:sz w:val="18"/>
                <w:szCs w:val="18"/>
              </w:rPr>
              <w:t xml:space="preserve">should have been recorded in the evaluation records for the provider selection process. </w:t>
            </w:r>
            <w:r w:rsidR="00B62652">
              <w:rPr>
                <w:rFonts w:cs="Arial"/>
                <w:sz w:val="18"/>
                <w:szCs w:val="18"/>
              </w:rPr>
              <w:t xml:space="preserve">Consistent with previous </w:t>
            </w:r>
            <w:r w:rsidR="00E87BFE" w:rsidRPr="000E600D">
              <w:rPr>
                <w:rFonts w:cs="Arial"/>
                <w:sz w:val="18"/>
                <w:szCs w:val="18"/>
              </w:rPr>
              <w:t>advice</w:t>
            </w:r>
            <w:r w:rsidR="000E600D" w:rsidRPr="000E600D">
              <w:rPr>
                <w:rFonts w:cs="Arial"/>
                <w:sz w:val="18"/>
                <w:szCs w:val="18"/>
              </w:rPr>
              <w:t xml:space="preserve"> </w:t>
            </w:r>
            <w:r w:rsidR="000E600D">
              <w:rPr>
                <w:rFonts w:cs="Arial"/>
                <w:sz w:val="18"/>
                <w:szCs w:val="18"/>
              </w:rPr>
              <w:t xml:space="preserve">(see </w:t>
            </w:r>
            <w:r w:rsidR="000E600D" w:rsidRPr="009F5235">
              <w:rPr>
                <w:rFonts w:cs="Arial"/>
                <w:sz w:val="18"/>
                <w:szCs w:val="18"/>
              </w:rPr>
              <w:t xml:space="preserve">Community Aural </w:t>
            </w:r>
            <w:proofErr w:type="spellStart"/>
            <w:r w:rsidR="000E600D" w:rsidRPr="009F5235">
              <w:rPr>
                <w:rFonts w:cs="Arial"/>
                <w:sz w:val="18"/>
                <w:szCs w:val="18"/>
              </w:rPr>
              <w:t>Microsuction</w:t>
            </w:r>
            <w:proofErr w:type="spellEnd"/>
            <w:r w:rsidR="000E600D" w:rsidRPr="009F5235">
              <w:rPr>
                <w:rFonts w:cs="Arial"/>
                <w:sz w:val="18"/>
                <w:szCs w:val="18"/>
              </w:rPr>
              <w:t xml:space="preserve"> Service for Norfolk and Waveney</w:t>
            </w:r>
            <w:r w:rsidR="000E600D">
              <w:rPr>
                <w:rFonts w:cs="Arial"/>
                <w:sz w:val="18"/>
                <w:szCs w:val="18"/>
              </w:rPr>
              <w:t xml:space="preserve">, </w:t>
            </w:r>
            <w:r w:rsidR="000E600D" w:rsidRPr="009F5235">
              <w:rPr>
                <w:rFonts w:cs="Arial"/>
                <w:sz w:val="18"/>
                <w:szCs w:val="18"/>
              </w:rPr>
              <w:t>CR0011-25)</w:t>
            </w:r>
            <w:r w:rsidR="00E87BFE" w:rsidRPr="000E600D">
              <w:rPr>
                <w:rFonts w:cs="Arial"/>
                <w:sz w:val="18"/>
                <w:szCs w:val="18"/>
              </w:rPr>
              <w:t>,</w:t>
            </w:r>
            <w:r w:rsidR="00B62652" w:rsidRPr="000E600D">
              <w:rPr>
                <w:rFonts w:cs="Arial"/>
                <w:sz w:val="18"/>
                <w:szCs w:val="18"/>
              </w:rPr>
              <w:t xml:space="preserve"> </w:t>
            </w:r>
            <w:r w:rsidR="00F209CB" w:rsidRPr="000E600D">
              <w:rPr>
                <w:rFonts w:cs="Arial"/>
                <w:sz w:val="18"/>
                <w:szCs w:val="18"/>
              </w:rPr>
              <w:t>the Panel’s</w:t>
            </w:r>
            <w:r w:rsidR="00F209CB">
              <w:rPr>
                <w:rFonts w:cs="Arial"/>
                <w:sz w:val="18"/>
                <w:szCs w:val="18"/>
              </w:rPr>
              <w:t xml:space="preserve"> view is that NHUC should have been provided </w:t>
            </w:r>
            <w:r w:rsidR="00F209CB" w:rsidRPr="00C30AB2">
              <w:rPr>
                <w:rFonts w:cs="Arial"/>
                <w:sz w:val="18"/>
                <w:szCs w:val="18"/>
              </w:rPr>
              <w:t xml:space="preserve">with </w:t>
            </w:r>
            <w:r w:rsidR="00C30AB2" w:rsidRPr="009F5235">
              <w:rPr>
                <w:rFonts w:cs="Arial"/>
                <w:sz w:val="18"/>
                <w:szCs w:val="18"/>
              </w:rPr>
              <w:t>individual evaluator comments and scores as well as the reasons for evaluators agreeing to the final moderated score</w:t>
            </w:r>
            <w:r w:rsidR="000E600D">
              <w:rPr>
                <w:rFonts w:cs="Arial"/>
                <w:sz w:val="18"/>
                <w:szCs w:val="18"/>
              </w:rPr>
              <w:t>.</w:t>
            </w:r>
          </w:p>
          <w:p w14:paraId="0A8685C0" w14:textId="55448CFE" w:rsidR="007C040C" w:rsidRPr="002B6D26" w:rsidRDefault="00326BF9">
            <w:pPr>
              <w:spacing w:before="60" w:after="60"/>
              <w:rPr>
                <w:rFonts w:cs="Arial"/>
                <w:sz w:val="18"/>
                <w:szCs w:val="18"/>
              </w:rPr>
            </w:pPr>
            <w:r>
              <w:rPr>
                <w:rFonts w:cs="Arial"/>
                <w:sz w:val="18"/>
                <w:szCs w:val="18"/>
              </w:rPr>
              <w:t xml:space="preserve">As a result, </w:t>
            </w:r>
            <w:r w:rsidR="009629FB">
              <w:rPr>
                <w:rFonts w:cs="Arial"/>
                <w:sz w:val="18"/>
                <w:szCs w:val="18"/>
              </w:rPr>
              <w:t>the Panel finds that HHFT</w:t>
            </w:r>
            <w:r w:rsidR="00C70854">
              <w:rPr>
                <w:rFonts w:cs="Arial"/>
                <w:sz w:val="18"/>
                <w:szCs w:val="18"/>
              </w:rPr>
              <w:t xml:space="preserve">, in failing to respond to </w:t>
            </w:r>
            <w:r w:rsidR="00F75D09">
              <w:rPr>
                <w:rFonts w:cs="Arial"/>
                <w:sz w:val="18"/>
                <w:szCs w:val="18"/>
              </w:rPr>
              <w:t>NHUC’s request for information about how the selected provider demonstrated integration, collaboration and sustainability, breached the PSR regulations</w:t>
            </w:r>
            <w:r w:rsidR="00F33E01">
              <w:rPr>
                <w:rFonts w:cs="Arial"/>
                <w:sz w:val="18"/>
                <w:szCs w:val="18"/>
              </w:rPr>
              <w:t>,</w:t>
            </w:r>
            <w:r w:rsidR="00F75D09">
              <w:rPr>
                <w:rFonts w:cs="Arial"/>
                <w:sz w:val="18"/>
                <w:szCs w:val="18"/>
              </w:rPr>
              <w:t xml:space="preserve"> and in particular Regulation</w:t>
            </w:r>
            <w:r w:rsidR="00325786">
              <w:rPr>
                <w:rFonts w:cs="Arial"/>
                <w:sz w:val="18"/>
                <w:szCs w:val="18"/>
              </w:rPr>
              <w:t> </w:t>
            </w:r>
            <w:r w:rsidR="00F75D09">
              <w:rPr>
                <w:rFonts w:cs="Arial"/>
                <w:sz w:val="18"/>
                <w:szCs w:val="18"/>
              </w:rPr>
              <w:t>12(4)(b).</w:t>
            </w:r>
          </w:p>
        </w:tc>
      </w:tr>
    </w:tbl>
    <w:p w14:paraId="78842D0B" w14:textId="77777777" w:rsidR="00EA5D10" w:rsidRDefault="00EA5D10">
      <w:r>
        <w:br w:type="page"/>
      </w:r>
    </w:p>
    <w:tbl>
      <w:tblPr>
        <w:tblStyle w:val="TableGrid"/>
        <w:tblW w:w="150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22"/>
        <w:gridCol w:w="5811"/>
        <w:gridCol w:w="7088"/>
      </w:tblGrid>
      <w:tr w:rsidR="00FA31B9" w:rsidRPr="006D433C" w14:paraId="775EC254" w14:textId="77777777" w:rsidTr="00E4272E">
        <w:tc>
          <w:tcPr>
            <w:tcW w:w="2122" w:type="dxa"/>
            <w:shd w:val="clear" w:color="auto" w:fill="D9D9D9" w:themeFill="background1" w:themeFillShade="D9"/>
            <w:vAlign w:val="center"/>
          </w:tcPr>
          <w:p w14:paraId="322A4211" w14:textId="49987318" w:rsidR="00E028C4" w:rsidRPr="002B6D26" w:rsidRDefault="00E028C4">
            <w:pPr>
              <w:spacing w:before="60" w:after="60"/>
              <w:jc w:val="center"/>
              <w:rPr>
                <w:rFonts w:cs="Arial"/>
                <w:b/>
                <w:bCs/>
                <w:sz w:val="18"/>
                <w:szCs w:val="18"/>
              </w:rPr>
            </w:pPr>
            <w:r w:rsidRPr="002B6D26">
              <w:rPr>
                <w:rFonts w:cs="Arial"/>
                <w:b/>
                <w:bCs/>
                <w:sz w:val="18"/>
                <w:szCs w:val="18"/>
              </w:rPr>
              <w:lastRenderedPageBreak/>
              <w:t>NHUC’s information request</w:t>
            </w:r>
          </w:p>
        </w:tc>
        <w:tc>
          <w:tcPr>
            <w:tcW w:w="5811" w:type="dxa"/>
            <w:shd w:val="clear" w:color="auto" w:fill="D9D9D9" w:themeFill="background1" w:themeFillShade="D9"/>
            <w:vAlign w:val="center"/>
          </w:tcPr>
          <w:p w14:paraId="1A354C9C" w14:textId="77777777" w:rsidR="00E028C4" w:rsidRPr="002B6D26" w:rsidRDefault="00E028C4">
            <w:pPr>
              <w:spacing w:before="60" w:after="60"/>
              <w:jc w:val="center"/>
              <w:rPr>
                <w:rFonts w:cs="Arial"/>
                <w:b/>
                <w:bCs/>
                <w:sz w:val="18"/>
                <w:szCs w:val="18"/>
              </w:rPr>
            </w:pPr>
            <w:r w:rsidRPr="002B6D26">
              <w:rPr>
                <w:rFonts w:cs="Arial"/>
                <w:b/>
                <w:bCs/>
                <w:sz w:val="18"/>
                <w:szCs w:val="18"/>
              </w:rPr>
              <w:t>HHFT’s response</w:t>
            </w:r>
          </w:p>
        </w:tc>
        <w:tc>
          <w:tcPr>
            <w:tcW w:w="7088" w:type="dxa"/>
            <w:shd w:val="clear" w:color="auto" w:fill="D9D9D9" w:themeFill="background1" w:themeFillShade="D9"/>
            <w:vAlign w:val="center"/>
          </w:tcPr>
          <w:p w14:paraId="09C8CCA0" w14:textId="77777777" w:rsidR="00E028C4" w:rsidRPr="002B6D26" w:rsidRDefault="00E028C4">
            <w:pPr>
              <w:spacing w:before="60" w:after="60"/>
              <w:jc w:val="center"/>
              <w:rPr>
                <w:rFonts w:cs="Arial"/>
                <w:b/>
                <w:bCs/>
                <w:sz w:val="18"/>
                <w:szCs w:val="18"/>
              </w:rPr>
            </w:pPr>
            <w:r w:rsidRPr="002B6D26">
              <w:rPr>
                <w:rFonts w:cs="Arial"/>
                <w:b/>
                <w:bCs/>
                <w:sz w:val="18"/>
                <w:szCs w:val="18"/>
              </w:rPr>
              <w:t>Panel’s view</w:t>
            </w:r>
          </w:p>
        </w:tc>
      </w:tr>
      <w:tr w:rsidR="007162B3" w:rsidRPr="006D433C" w14:paraId="3AD951C9" w14:textId="77777777" w:rsidTr="00E4272E">
        <w:tc>
          <w:tcPr>
            <w:tcW w:w="2122" w:type="dxa"/>
          </w:tcPr>
          <w:p w14:paraId="135F59E0" w14:textId="77777777" w:rsidR="007162B3" w:rsidRPr="002B6D26" w:rsidRDefault="007162B3">
            <w:pPr>
              <w:tabs>
                <w:tab w:val="left" w:pos="2055"/>
              </w:tabs>
              <w:spacing w:before="60" w:after="60"/>
              <w:rPr>
                <w:rFonts w:cs="Arial"/>
                <w:sz w:val="18"/>
                <w:szCs w:val="18"/>
              </w:rPr>
            </w:pPr>
            <w:r>
              <w:rPr>
                <w:rFonts w:cs="Arial"/>
                <w:sz w:val="18"/>
                <w:szCs w:val="18"/>
              </w:rPr>
              <w:t xml:space="preserve">8. </w:t>
            </w:r>
            <w:r w:rsidRPr="002B6D26">
              <w:rPr>
                <w:rFonts w:cs="Arial"/>
                <w:sz w:val="18"/>
                <w:szCs w:val="18"/>
              </w:rPr>
              <w:t>“The identity of individuals involved in the procurement process.”</w:t>
            </w:r>
          </w:p>
        </w:tc>
        <w:tc>
          <w:tcPr>
            <w:tcW w:w="5811" w:type="dxa"/>
          </w:tcPr>
          <w:p w14:paraId="4C07AE28" w14:textId="77777777" w:rsidR="007162B3" w:rsidRPr="002B6D26" w:rsidRDefault="007162B3">
            <w:pPr>
              <w:spacing w:before="60" w:after="60"/>
              <w:rPr>
                <w:rFonts w:cs="Arial"/>
                <w:sz w:val="18"/>
                <w:szCs w:val="18"/>
              </w:rPr>
            </w:pPr>
            <w:r w:rsidRPr="002B6D26">
              <w:rPr>
                <w:rFonts w:cs="Arial"/>
                <w:sz w:val="18"/>
                <w:szCs w:val="18"/>
              </w:rPr>
              <w:t>“As per section VI within FTS notice identifier 2025/S 000-086331</w:t>
            </w:r>
          </w:p>
          <w:p w14:paraId="5DB10ED1" w14:textId="77777777" w:rsidR="007162B3" w:rsidRPr="002B6D26" w:rsidRDefault="007162B3">
            <w:pPr>
              <w:spacing w:before="60" w:after="60"/>
              <w:contextualSpacing/>
              <w:rPr>
                <w:rFonts w:cs="Arial"/>
                <w:sz w:val="18"/>
                <w:szCs w:val="18"/>
              </w:rPr>
            </w:pPr>
            <w:r>
              <w:rPr>
                <w:rFonts w:cs="Arial"/>
                <w:sz w:val="18"/>
                <w:szCs w:val="18"/>
              </w:rPr>
              <w:t>“</w:t>
            </w:r>
            <w:r w:rsidRPr="002B6D26">
              <w:rPr>
                <w:rFonts w:cs="Arial"/>
                <w:sz w:val="18"/>
                <w:szCs w:val="18"/>
              </w:rPr>
              <w:t>HHFT Most Suitable Provider Assessment Panel members:</w:t>
            </w:r>
          </w:p>
          <w:p w14:paraId="6C926368" w14:textId="77777777" w:rsidR="007162B3" w:rsidRPr="002B6D26" w:rsidRDefault="007162B3">
            <w:pPr>
              <w:numPr>
                <w:ilvl w:val="0"/>
                <w:numId w:val="22"/>
              </w:numPr>
              <w:tabs>
                <w:tab w:val="clear" w:pos="720"/>
              </w:tabs>
              <w:spacing w:before="60" w:after="60"/>
              <w:ind w:left="460"/>
              <w:contextualSpacing/>
              <w:rPr>
                <w:rFonts w:cs="Arial"/>
                <w:sz w:val="18"/>
                <w:szCs w:val="18"/>
              </w:rPr>
            </w:pPr>
            <w:r w:rsidRPr="002B6D26">
              <w:rPr>
                <w:rFonts w:cs="Arial"/>
                <w:sz w:val="18"/>
                <w:szCs w:val="18"/>
              </w:rPr>
              <w:t>HHFT Interim Head of Unscheduled Care</w:t>
            </w:r>
          </w:p>
          <w:p w14:paraId="46FC73CF" w14:textId="77777777" w:rsidR="007162B3" w:rsidRPr="002B6D26" w:rsidRDefault="007162B3">
            <w:pPr>
              <w:numPr>
                <w:ilvl w:val="0"/>
                <w:numId w:val="23"/>
              </w:numPr>
              <w:tabs>
                <w:tab w:val="clear" w:pos="720"/>
              </w:tabs>
              <w:spacing w:before="60" w:after="60"/>
              <w:ind w:left="460"/>
              <w:contextualSpacing/>
              <w:rPr>
                <w:rFonts w:cs="Arial"/>
                <w:sz w:val="18"/>
                <w:szCs w:val="18"/>
              </w:rPr>
            </w:pPr>
            <w:r w:rsidRPr="002B6D26">
              <w:rPr>
                <w:rFonts w:cs="Arial"/>
                <w:sz w:val="18"/>
                <w:szCs w:val="18"/>
              </w:rPr>
              <w:t>HHFT Emergency Medical Consultant</w:t>
            </w:r>
          </w:p>
          <w:p w14:paraId="5DF39CBF" w14:textId="77777777" w:rsidR="007162B3" w:rsidRPr="002B6D26" w:rsidRDefault="007162B3">
            <w:pPr>
              <w:numPr>
                <w:ilvl w:val="0"/>
                <w:numId w:val="24"/>
              </w:numPr>
              <w:tabs>
                <w:tab w:val="clear" w:pos="720"/>
              </w:tabs>
              <w:spacing w:before="60" w:after="60"/>
              <w:ind w:left="460"/>
              <w:contextualSpacing/>
              <w:rPr>
                <w:rFonts w:cs="Arial"/>
                <w:sz w:val="18"/>
                <w:szCs w:val="18"/>
              </w:rPr>
            </w:pPr>
            <w:r w:rsidRPr="002B6D26">
              <w:rPr>
                <w:rFonts w:cs="Arial"/>
                <w:sz w:val="18"/>
                <w:szCs w:val="18"/>
              </w:rPr>
              <w:t>HHFT Interim Lead Nurse for Unscheduled care</w:t>
            </w:r>
          </w:p>
          <w:p w14:paraId="65D12F57" w14:textId="77777777" w:rsidR="007162B3" w:rsidRPr="002B6D26" w:rsidRDefault="007162B3">
            <w:pPr>
              <w:numPr>
                <w:ilvl w:val="0"/>
                <w:numId w:val="25"/>
              </w:numPr>
              <w:tabs>
                <w:tab w:val="clear" w:pos="720"/>
              </w:tabs>
              <w:spacing w:before="60" w:after="60"/>
              <w:ind w:left="460"/>
              <w:contextualSpacing/>
              <w:rPr>
                <w:rFonts w:cs="Arial"/>
                <w:sz w:val="18"/>
                <w:szCs w:val="18"/>
              </w:rPr>
            </w:pPr>
            <w:r w:rsidRPr="002B6D26">
              <w:rPr>
                <w:rFonts w:cs="Arial"/>
                <w:sz w:val="18"/>
                <w:szCs w:val="18"/>
              </w:rPr>
              <w:t>HHFT PMO Commercial Programme Manager</w:t>
            </w:r>
          </w:p>
          <w:p w14:paraId="25120249" w14:textId="77777777" w:rsidR="007162B3" w:rsidRPr="002B6D26" w:rsidRDefault="007162B3">
            <w:pPr>
              <w:numPr>
                <w:ilvl w:val="0"/>
                <w:numId w:val="26"/>
              </w:numPr>
              <w:tabs>
                <w:tab w:val="clear" w:pos="720"/>
              </w:tabs>
              <w:spacing w:before="60" w:after="60"/>
              <w:ind w:left="460"/>
              <w:rPr>
                <w:rFonts w:cs="Arial"/>
                <w:sz w:val="18"/>
                <w:szCs w:val="18"/>
              </w:rPr>
            </w:pPr>
            <w:r w:rsidRPr="002B6D26">
              <w:rPr>
                <w:rFonts w:cs="Arial"/>
                <w:sz w:val="18"/>
                <w:szCs w:val="18"/>
              </w:rPr>
              <w:t>HHFT Urgent Treatment Centre Programme Delivery lead</w:t>
            </w:r>
          </w:p>
          <w:p w14:paraId="3EEE70A7" w14:textId="77777777" w:rsidR="007162B3" w:rsidRPr="002B6D26" w:rsidRDefault="007162B3">
            <w:pPr>
              <w:spacing w:before="60" w:after="60"/>
              <w:rPr>
                <w:rFonts w:cs="Arial"/>
                <w:sz w:val="18"/>
                <w:szCs w:val="18"/>
              </w:rPr>
            </w:pPr>
            <w:r w:rsidRPr="002B6D26">
              <w:rPr>
                <w:rFonts w:cs="Arial"/>
                <w:sz w:val="18"/>
                <w:szCs w:val="18"/>
              </w:rPr>
              <w:t> </w:t>
            </w:r>
            <w:r>
              <w:rPr>
                <w:rFonts w:cs="Arial"/>
                <w:sz w:val="18"/>
                <w:szCs w:val="18"/>
              </w:rPr>
              <w:t>”</w:t>
            </w:r>
            <w:r w:rsidRPr="002B6D26">
              <w:rPr>
                <w:rFonts w:cs="Arial"/>
                <w:sz w:val="18"/>
                <w:szCs w:val="18"/>
              </w:rPr>
              <w:t>Other decision makers - Trust Executive team.”</w:t>
            </w:r>
          </w:p>
        </w:tc>
        <w:tc>
          <w:tcPr>
            <w:tcW w:w="7088" w:type="dxa"/>
          </w:tcPr>
          <w:p w14:paraId="5C64911B" w14:textId="3D3669FE" w:rsidR="007162B3" w:rsidRPr="0033140B" w:rsidRDefault="007162B3">
            <w:pPr>
              <w:spacing w:before="60" w:after="60"/>
              <w:rPr>
                <w:rFonts w:cs="Arial"/>
                <w:sz w:val="18"/>
                <w:szCs w:val="18"/>
              </w:rPr>
            </w:pPr>
            <w:r w:rsidRPr="0033140B">
              <w:rPr>
                <w:rFonts w:cs="Arial"/>
                <w:sz w:val="18"/>
                <w:szCs w:val="18"/>
              </w:rPr>
              <w:t xml:space="preserve">The Panel notes that </w:t>
            </w:r>
            <w:r w:rsidRPr="00090E17">
              <w:rPr>
                <w:rFonts w:cs="Arial"/>
                <w:sz w:val="18"/>
                <w:szCs w:val="18"/>
              </w:rPr>
              <w:t xml:space="preserve">HHFT was obliged to keep a record of the requested information under Regulation 24(d), which requires commissioner to keep a record of “the </w:t>
            </w:r>
            <w:proofErr w:type="gramStart"/>
            <w:r w:rsidRPr="00090E17">
              <w:rPr>
                <w:rFonts w:cs="Arial"/>
                <w:sz w:val="18"/>
                <w:szCs w:val="18"/>
              </w:rPr>
              <w:t>decision making</w:t>
            </w:r>
            <w:proofErr w:type="gramEnd"/>
            <w:r w:rsidRPr="00090E17">
              <w:rPr>
                <w:rFonts w:cs="Arial"/>
                <w:sz w:val="18"/>
                <w:szCs w:val="18"/>
              </w:rPr>
              <w:t xml:space="preserve"> process followed, including the identity of individuals making decisions”.</w:t>
            </w:r>
          </w:p>
          <w:p w14:paraId="191F9BDE" w14:textId="77777777" w:rsidR="007162B3" w:rsidRPr="00090E17" w:rsidRDefault="007162B3">
            <w:pPr>
              <w:spacing w:before="60" w:after="60"/>
              <w:rPr>
                <w:sz w:val="18"/>
                <w:szCs w:val="18"/>
              </w:rPr>
            </w:pPr>
            <w:r w:rsidRPr="0033140B">
              <w:rPr>
                <w:sz w:val="18"/>
                <w:szCs w:val="18"/>
              </w:rPr>
              <w:t>The Panel notes that HHFT, when responding to NHUC’s request for information about the identity of individuals making decisions, provided HHFT with the job titles of decision makers rather than the names of those decision makers.</w:t>
            </w:r>
          </w:p>
          <w:p w14:paraId="6CAB4C11" w14:textId="7F8502D7" w:rsidR="007162B3" w:rsidRDefault="007162B3">
            <w:pPr>
              <w:spacing w:before="60" w:after="60"/>
              <w:rPr>
                <w:sz w:val="18"/>
                <w:szCs w:val="18"/>
              </w:rPr>
            </w:pPr>
            <w:r w:rsidRPr="0033140B">
              <w:rPr>
                <w:sz w:val="18"/>
                <w:szCs w:val="18"/>
              </w:rPr>
              <w:t>Consistent with previous advice</w:t>
            </w:r>
            <w:r w:rsidRPr="00090E17">
              <w:rPr>
                <w:sz w:val="18"/>
                <w:szCs w:val="18"/>
              </w:rPr>
              <w:t xml:space="preserve"> (see </w:t>
            </w:r>
            <w:r w:rsidRPr="00090E17">
              <w:rPr>
                <w:rFonts w:cs="Arial"/>
                <w:sz w:val="18"/>
                <w:szCs w:val="18"/>
              </w:rPr>
              <w:t xml:space="preserve">Community Aural </w:t>
            </w:r>
            <w:proofErr w:type="spellStart"/>
            <w:r w:rsidRPr="00090E17">
              <w:rPr>
                <w:rFonts w:cs="Arial"/>
                <w:sz w:val="18"/>
                <w:szCs w:val="18"/>
              </w:rPr>
              <w:t>Microsuction</w:t>
            </w:r>
            <w:proofErr w:type="spellEnd"/>
            <w:r w:rsidRPr="00090E17">
              <w:rPr>
                <w:rFonts w:cs="Arial"/>
                <w:sz w:val="18"/>
                <w:szCs w:val="18"/>
              </w:rPr>
              <w:t xml:space="preserve"> Service for Norfolk and Waveney, CR0011-25 and </w:t>
            </w:r>
            <w:r w:rsidRPr="0033140B">
              <w:rPr>
                <w:rFonts w:cs="Arial"/>
                <w:sz w:val="18"/>
                <w:szCs w:val="18"/>
              </w:rPr>
              <w:t>Intermediate Minor Oral Surgery Services for Yorkshire and the Humber</w:t>
            </w:r>
            <w:r>
              <w:rPr>
                <w:rFonts w:cs="Arial"/>
                <w:sz w:val="18"/>
                <w:szCs w:val="18"/>
              </w:rPr>
              <w:t>,</w:t>
            </w:r>
            <w:r w:rsidRPr="0033140B">
              <w:rPr>
                <w:rFonts w:cs="Arial"/>
                <w:sz w:val="18"/>
                <w:szCs w:val="18"/>
              </w:rPr>
              <w:t xml:space="preserve"> CR0013-25 and CR0014-25)</w:t>
            </w:r>
            <w:r w:rsidRPr="0033140B">
              <w:rPr>
                <w:sz w:val="18"/>
                <w:szCs w:val="18"/>
              </w:rPr>
              <w:t>, the Panel’s view is that HHFT should have disclosed the identity of decision makers, not just job titles, subject to a</w:t>
            </w:r>
            <w:r>
              <w:rPr>
                <w:sz w:val="18"/>
                <w:szCs w:val="18"/>
              </w:rPr>
              <w:t xml:space="preserve">n </w:t>
            </w:r>
            <w:r w:rsidRPr="0033140B">
              <w:rPr>
                <w:sz w:val="18"/>
                <w:szCs w:val="18"/>
              </w:rPr>
              <w:t>assessment of any factors that may have suggested that such disclosure would not have been appropriate.</w:t>
            </w:r>
          </w:p>
          <w:p w14:paraId="02921FC4" w14:textId="4EDD5F91" w:rsidR="007162B3" w:rsidRPr="0033140B" w:rsidRDefault="007162B3">
            <w:pPr>
              <w:spacing w:before="60" w:after="60"/>
              <w:rPr>
                <w:rFonts w:cs="Arial"/>
                <w:sz w:val="18"/>
                <w:szCs w:val="18"/>
              </w:rPr>
            </w:pPr>
            <w:r w:rsidRPr="0033140B">
              <w:rPr>
                <w:sz w:val="18"/>
                <w:szCs w:val="18"/>
              </w:rPr>
              <w:t xml:space="preserve">As a result, the Panel </w:t>
            </w:r>
            <w:r>
              <w:rPr>
                <w:sz w:val="18"/>
                <w:szCs w:val="18"/>
              </w:rPr>
              <w:t>finds</w:t>
            </w:r>
            <w:r w:rsidRPr="0033140B">
              <w:rPr>
                <w:sz w:val="18"/>
                <w:szCs w:val="18"/>
              </w:rPr>
              <w:t xml:space="preserve"> that HHFT</w:t>
            </w:r>
            <w:r w:rsidR="00705AA8">
              <w:rPr>
                <w:sz w:val="18"/>
                <w:szCs w:val="18"/>
              </w:rPr>
              <w:t>,</w:t>
            </w:r>
            <w:r w:rsidRPr="0033140B">
              <w:rPr>
                <w:sz w:val="18"/>
                <w:szCs w:val="18"/>
              </w:rPr>
              <w:t xml:space="preserve"> in responding to NHUC’s request for the identity of decision makers</w:t>
            </w:r>
            <w:r w:rsidR="00705AA8">
              <w:rPr>
                <w:sz w:val="18"/>
                <w:szCs w:val="18"/>
              </w:rPr>
              <w:t>,</w:t>
            </w:r>
            <w:r w:rsidRPr="0033140B">
              <w:rPr>
                <w:sz w:val="18"/>
                <w:szCs w:val="18"/>
              </w:rPr>
              <w:t xml:space="preserve"> breached </w:t>
            </w:r>
            <w:r w:rsidR="00325786">
              <w:rPr>
                <w:sz w:val="18"/>
                <w:szCs w:val="18"/>
              </w:rPr>
              <w:t xml:space="preserve">the PSR regulations, and in particular </w:t>
            </w:r>
            <w:r w:rsidRPr="0033140B">
              <w:rPr>
                <w:sz w:val="18"/>
                <w:szCs w:val="18"/>
              </w:rPr>
              <w:t>Regulation 12(4)(b).</w:t>
            </w:r>
          </w:p>
        </w:tc>
      </w:tr>
      <w:tr w:rsidR="00FA31B9" w:rsidRPr="006D433C" w14:paraId="06AE2785" w14:textId="77777777" w:rsidTr="00E4272E">
        <w:tc>
          <w:tcPr>
            <w:tcW w:w="2122" w:type="dxa"/>
          </w:tcPr>
          <w:p w14:paraId="5139BE2E" w14:textId="77777777" w:rsidR="00EA5D10" w:rsidRPr="002B6D26" w:rsidRDefault="00EA5D10">
            <w:pPr>
              <w:spacing w:before="60" w:after="60"/>
              <w:rPr>
                <w:rFonts w:cs="Arial"/>
                <w:sz w:val="18"/>
                <w:szCs w:val="18"/>
              </w:rPr>
            </w:pPr>
            <w:r>
              <w:rPr>
                <w:rFonts w:cs="Arial"/>
                <w:sz w:val="18"/>
                <w:szCs w:val="18"/>
              </w:rPr>
              <w:t xml:space="preserve">9. </w:t>
            </w:r>
            <w:r w:rsidRPr="002B6D26">
              <w:rPr>
                <w:rFonts w:cs="Arial"/>
                <w:sz w:val="18"/>
                <w:szCs w:val="18"/>
              </w:rPr>
              <w:t>“Particulars of any declared or identified conflicts of interest, actual or potential.”</w:t>
            </w:r>
          </w:p>
        </w:tc>
        <w:tc>
          <w:tcPr>
            <w:tcW w:w="5811" w:type="dxa"/>
          </w:tcPr>
          <w:p w14:paraId="2F41D2DD" w14:textId="77777777" w:rsidR="00EA5D10" w:rsidRPr="00010274" w:rsidRDefault="00EA5D10">
            <w:pPr>
              <w:spacing w:before="60" w:after="60"/>
              <w:rPr>
                <w:rFonts w:cs="Arial"/>
                <w:sz w:val="18"/>
                <w:szCs w:val="18"/>
              </w:rPr>
            </w:pPr>
            <w:r w:rsidRPr="00010274">
              <w:rPr>
                <w:rFonts w:cs="Arial"/>
                <w:sz w:val="18"/>
                <w:szCs w:val="18"/>
              </w:rPr>
              <w:t>“As per section VI within FTS notice identifier 2025/S 000-086331” </w:t>
            </w:r>
          </w:p>
          <w:p w14:paraId="0B432E32" w14:textId="77777777" w:rsidR="00EA5D10" w:rsidRPr="0033140B" w:rsidRDefault="00EA5D10">
            <w:pPr>
              <w:spacing w:before="60" w:after="60"/>
              <w:rPr>
                <w:rFonts w:cs="Arial"/>
                <w:sz w:val="18"/>
                <w:szCs w:val="18"/>
              </w:rPr>
            </w:pPr>
            <w:r w:rsidRPr="0033140B">
              <w:rPr>
                <w:rFonts w:cs="Arial"/>
                <w:sz w:val="18"/>
                <w:szCs w:val="18"/>
              </w:rPr>
              <w:t>The Panel notes that section VI of this notice included the following:</w:t>
            </w:r>
          </w:p>
          <w:p w14:paraId="2B4FF9B3" w14:textId="77777777" w:rsidR="00EA5D10" w:rsidRPr="00010274" w:rsidRDefault="00EA5D10">
            <w:pPr>
              <w:spacing w:before="60" w:after="60"/>
              <w:ind w:left="176"/>
              <w:rPr>
                <w:rFonts w:cs="Arial"/>
                <w:sz w:val="18"/>
                <w:szCs w:val="18"/>
              </w:rPr>
            </w:pPr>
            <w:r w:rsidRPr="0033140B">
              <w:rPr>
                <w:rFonts w:cs="Arial"/>
                <w:sz w:val="18"/>
                <w:szCs w:val="18"/>
              </w:rPr>
              <w:t>"One perceived conflict of interest was identified among the assessment panel with an extended family link to a provider unsuccessful in this process …”</w:t>
            </w:r>
          </w:p>
        </w:tc>
        <w:tc>
          <w:tcPr>
            <w:tcW w:w="7088" w:type="dxa"/>
          </w:tcPr>
          <w:p w14:paraId="362B1115" w14:textId="6B8D17CD" w:rsidR="00EA5D10" w:rsidRPr="0089705F" w:rsidRDefault="00EA5D10">
            <w:pPr>
              <w:spacing w:before="60" w:after="60"/>
              <w:rPr>
                <w:rFonts w:cs="Arial"/>
                <w:sz w:val="18"/>
                <w:szCs w:val="18"/>
              </w:rPr>
            </w:pPr>
            <w:r w:rsidRPr="004079D1">
              <w:rPr>
                <w:rFonts w:cs="Arial"/>
                <w:sz w:val="18"/>
                <w:szCs w:val="18"/>
              </w:rPr>
              <w:t xml:space="preserve">The Panel notes that HHFT was obliged to keep a record of the requested information </w:t>
            </w:r>
            <w:r w:rsidRPr="0089705F">
              <w:rPr>
                <w:rFonts w:cs="Arial"/>
                <w:sz w:val="18"/>
                <w:szCs w:val="18"/>
              </w:rPr>
              <w:t>under Regulation 24(</w:t>
            </w:r>
            <w:r>
              <w:rPr>
                <w:rFonts w:cs="Arial"/>
                <w:sz w:val="18"/>
                <w:szCs w:val="18"/>
              </w:rPr>
              <w:t>h</w:t>
            </w:r>
            <w:r w:rsidRPr="0089705F">
              <w:rPr>
                <w:rFonts w:cs="Arial"/>
                <w:sz w:val="18"/>
                <w:szCs w:val="18"/>
              </w:rPr>
              <w:t>), which requires commissioners to keep a record of “</w:t>
            </w:r>
            <w:r>
              <w:rPr>
                <w:rFonts w:cs="Arial"/>
                <w:sz w:val="18"/>
                <w:szCs w:val="18"/>
              </w:rPr>
              <w:t>declared conflicts or potential conflicts of interest</w:t>
            </w:r>
            <w:r w:rsidRPr="0033140B">
              <w:rPr>
                <w:rFonts w:cs="Arial"/>
                <w:sz w:val="18"/>
                <w:szCs w:val="18"/>
              </w:rPr>
              <w:t>”.</w:t>
            </w:r>
          </w:p>
          <w:p w14:paraId="7C85AD16" w14:textId="3EAD7254" w:rsidR="009D4680" w:rsidRDefault="00EA5D10" w:rsidP="009D4680">
            <w:pPr>
              <w:spacing w:before="60" w:after="60"/>
              <w:rPr>
                <w:rFonts w:cs="Arial"/>
                <w:sz w:val="18"/>
                <w:szCs w:val="18"/>
              </w:rPr>
            </w:pPr>
            <w:r>
              <w:rPr>
                <w:sz w:val="18"/>
                <w:szCs w:val="18"/>
              </w:rPr>
              <w:t xml:space="preserve">The </w:t>
            </w:r>
            <w:r w:rsidR="00756DF6">
              <w:rPr>
                <w:sz w:val="18"/>
                <w:szCs w:val="18"/>
              </w:rPr>
              <w:t>Panel notes</w:t>
            </w:r>
            <w:r>
              <w:rPr>
                <w:sz w:val="18"/>
                <w:szCs w:val="18"/>
              </w:rPr>
              <w:t xml:space="preserve"> </w:t>
            </w:r>
            <w:r w:rsidR="00756DF6">
              <w:rPr>
                <w:sz w:val="18"/>
                <w:szCs w:val="18"/>
              </w:rPr>
              <w:t xml:space="preserve">that, as a result, HHFT </w:t>
            </w:r>
            <w:r w:rsidR="00132649">
              <w:rPr>
                <w:sz w:val="18"/>
                <w:szCs w:val="18"/>
              </w:rPr>
              <w:t xml:space="preserve">could be expected to have </w:t>
            </w:r>
            <w:r w:rsidR="00F12CA2">
              <w:rPr>
                <w:sz w:val="18"/>
                <w:szCs w:val="18"/>
              </w:rPr>
              <w:t>kept a</w:t>
            </w:r>
            <w:r w:rsidR="00132649">
              <w:rPr>
                <w:sz w:val="18"/>
                <w:szCs w:val="18"/>
              </w:rPr>
              <w:t xml:space="preserve"> </w:t>
            </w:r>
            <w:r w:rsidR="00B71E65">
              <w:rPr>
                <w:sz w:val="18"/>
                <w:szCs w:val="18"/>
              </w:rPr>
              <w:t>log</w:t>
            </w:r>
            <w:r w:rsidR="00132649">
              <w:rPr>
                <w:sz w:val="18"/>
                <w:szCs w:val="18"/>
              </w:rPr>
              <w:t xml:space="preserve"> setting out, in detail, </w:t>
            </w:r>
            <w:r w:rsidR="009D4680">
              <w:rPr>
                <w:sz w:val="18"/>
                <w:szCs w:val="18"/>
              </w:rPr>
              <w:t xml:space="preserve">the </w:t>
            </w:r>
            <w:r w:rsidR="00404DF2">
              <w:rPr>
                <w:sz w:val="18"/>
                <w:szCs w:val="18"/>
              </w:rPr>
              <w:t xml:space="preserve">output of </w:t>
            </w:r>
            <w:r w:rsidR="009D4680">
              <w:rPr>
                <w:sz w:val="18"/>
                <w:szCs w:val="18"/>
              </w:rPr>
              <w:t xml:space="preserve">conflicts of interest </w:t>
            </w:r>
            <w:r w:rsidR="00BA2CCF">
              <w:rPr>
                <w:sz w:val="18"/>
                <w:szCs w:val="18"/>
              </w:rPr>
              <w:t xml:space="preserve">declarations, including any conflicts </w:t>
            </w:r>
            <w:r w:rsidR="009D4680">
              <w:rPr>
                <w:sz w:val="18"/>
                <w:szCs w:val="18"/>
              </w:rPr>
              <w:t xml:space="preserve">that were identified and how these were managed. </w:t>
            </w:r>
            <w:r w:rsidR="009D4680">
              <w:rPr>
                <w:rFonts w:cs="Arial"/>
                <w:sz w:val="18"/>
                <w:szCs w:val="18"/>
              </w:rPr>
              <w:t xml:space="preserve">The Panel’s view is that </w:t>
            </w:r>
            <w:r w:rsidR="009D4680">
              <w:rPr>
                <w:sz w:val="18"/>
                <w:szCs w:val="18"/>
              </w:rPr>
              <w:t xml:space="preserve">the </w:t>
            </w:r>
            <w:r w:rsidR="009D4680" w:rsidRPr="0033140B">
              <w:rPr>
                <w:sz w:val="18"/>
                <w:szCs w:val="18"/>
              </w:rPr>
              <w:t xml:space="preserve">summary information published in </w:t>
            </w:r>
            <w:r w:rsidR="009D4680">
              <w:rPr>
                <w:sz w:val="18"/>
                <w:szCs w:val="18"/>
              </w:rPr>
              <w:t xml:space="preserve">the </w:t>
            </w:r>
            <w:r w:rsidR="009D4680" w:rsidRPr="0033140B">
              <w:rPr>
                <w:sz w:val="18"/>
                <w:szCs w:val="18"/>
              </w:rPr>
              <w:t>contract notice</w:t>
            </w:r>
            <w:r w:rsidR="009D4680">
              <w:rPr>
                <w:sz w:val="18"/>
                <w:szCs w:val="18"/>
              </w:rPr>
              <w:t xml:space="preserve"> of 29 December 2025 was not </w:t>
            </w:r>
            <w:r w:rsidR="009D4680" w:rsidRPr="0033140B">
              <w:rPr>
                <w:sz w:val="18"/>
                <w:szCs w:val="18"/>
              </w:rPr>
              <w:t xml:space="preserve">sufficient for the purposes of responding to </w:t>
            </w:r>
            <w:r w:rsidR="009D4680">
              <w:rPr>
                <w:sz w:val="18"/>
                <w:szCs w:val="18"/>
              </w:rPr>
              <w:t xml:space="preserve">NHUC’s </w:t>
            </w:r>
            <w:r w:rsidR="009D4680" w:rsidRPr="0033140B">
              <w:rPr>
                <w:sz w:val="18"/>
                <w:szCs w:val="18"/>
              </w:rPr>
              <w:t>request for information</w:t>
            </w:r>
            <w:r w:rsidR="009D4680">
              <w:rPr>
                <w:sz w:val="18"/>
                <w:szCs w:val="18"/>
              </w:rPr>
              <w:t>.</w:t>
            </w:r>
          </w:p>
          <w:p w14:paraId="52B862AB" w14:textId="15018A0D" w:rsidR="00EA5D10" w:rsidRPr="00130641" w:rsidRDefault="00EA5D10">
            <w:pPr>
              <w:spacing w:before="60" w:after="60"/>
              <w:rPr>
                <w:rFonts w:cs="Arial"/>
                <w:sz w:val="18"/>
                <w:szCs w:val="18"/>
                <w:highlight w:val="yellow"/>
              </w:rPr>
            </w:pPr>
            <w:r w:rsidRPr="0033140B">
              <w:rPr>
                <w:sz w:val="18"/>
                <w:szCs w:val="18"/>
              </w:rPr>
              <w:t xml:space="preserve">As a result, the Panel </w:t>
            </w:r>
            <w:r>
              <w:rPr>
                <w:sz w:val="18"/>
                <w:szCs w:val="18"/>
              </w:rPr>
              <w:t xml:space="preserve">finds that HHFT, in responding to NHUC’s request for information by referring NHUC to the </w:t>
            </w:r>
            <w:r w:rsidRPr="00CD305C">
              <w:rPr>
                <w:sz w:val="18"/>
                <w:szCs w:val="18"/>
              </w:rPr>
              <w:t>notice published on 29</w:t>
            </w:r>
            <w:r>
              <w:rPr>
                <w:sz w:val="18"/>
                <w:szCs w:val="18"/>
              </w:rPr>
              <w:t> </w:t>
            </w:r>
            <w:r w:rsidRPr="00CD305C">
              <w:rPr>
                <w:sz w:val="18"/>
                <w:szCs w:val="18"/>
              </w:rPr>
              <w:t>December 2025</w:t>
            </w:r>
            <w:r>
              <w:rPr>
                <w:sz w:val="18"/>
                <w:szCs w:val="18"/>
              </w:rPr>
              <w:t>, breached the PSR regulations</w:t>
            </w:r>
            <w:r w:rsidR="00F12CA2">
              <w:rPr>
                <w:sz w:val="18"/>
                <w:szCs w:val="18"/>
              </w:rPr>
              <w:t>,</w:t>
            </w:r>
            <w:r>
              <w:rPr>
                <w:sz w:val="18"/>
                <w:szCs w:val="18"/>
              </w:rPr>
              <w:t xml:space="preserve"> and in particular </w:t>
            </w:r>
            <w:r w:rsidRPr="0033140B">
              <w:rPr>
                <w:sz w:val="18"/>
                <w:szCs w:val="18"/>
              </w:rPr>
              <w:t>Regulation 12(4)(b).</w:t>
            </w:r>
          </w:p>
        </w:tc>
      </w:tr>
      <w:tr w:rsidR="00EE4AF3" w:rsidRPr="006D433C" w14:paraId="4563B46C" w14:textId="77777777" w:rsidTr="00E4272E">
        <w:tc>
          <w:tcPr>
            <w:tcW w:w="2122" w:type="dxa"/>
          </w:tcPr>
          <w:p w14:paraId="33D13D33" w14:textId="77777777" w:rsidR="007C040C" w:rsidRPr="002B6D26" w:rsidRDefault="007C040C">
            <w:pPr>
              <w:spacing w:before="60" w:after="60"/>
              <w:rPr>
                <w:rFonts w:cs="Arial"/>
                <w:sz w:val="18"/>
                <w:szCs w:val="18"/>
              </w:rPr>
            </w:pPr>
            <w:r>
              <w:rPr>
                <w:rFonts w:cs="Arial"/>
                <w:sz w:val="18"/>
                <w:szCs w:val="18"/>
              </w:rPr>
              <w:t xml:space="preserve">10. </w:t>
            </w:r>
            <w:r w:rsidRPr="002B6D26">
              <w:rPr>
                <w:rFonts w:cs="Arial"/>
                <w:sz w:val="18"/>
                <w:szCs w:val="18"/>
              </w:rPr>
              <w:t>“How any conflicts or potential conflicts of interest were managed for each decision or will be managed.”</w:t>
            </w:r>
          </w:p>
        </w:tc>
        <w:tc>
          <w:tcPr>
            <w:tcW w:w="5811" w:type="dxa"/>
          </w:tcPr>
          <w:p w14:paraId="7D259634" w14:textId="77777777" w:rsidR="007C040C" w:rsidRPr="00010274" w:rsidRDefault="007C040C">
            <w:pPr>
              <w:spacing w:before="60" w:after="60"/>
              <w:rPr>
                <w:rFonts w:cs="Arial"/>
                <w:sz w:val="18"/>
                <w:szCs w:val="18"/>
              </w:rPr>
            </w:pPr>
            <w:r w:rsidRPr="00010274">
              <w:rPr>
                <w:rFonts w:cs="Arial"/>
                <w:sz w:val="18"/>
                <w:szCs w:val="18"/>
              </w:rPr>
              <w:t>“As per section VI within FTS notice identifier 2025/S 000-086331” </w:t>
            </w:r>
          </w:p>
          <w:p w14:paraId="26005070" w14:textId="20617DAD" w:rsidR="007C040C" w:rsidRPr="0033140B" w:rsidRDefault="007C040C">
            <w:pPr>
              <w:spacing w:before="60" w:after="60"/>
              <w:rPr>
                <w:rFonts w:cs="Arial"/>
                <w:sz w:val="18"/>
                <w:szCs w:val="18"/>
              </w:rPr>
            </w:pPr>
            <w:r w:rsidRPr="0033140B">
              <w:rPr>
                <w:rFonts w:cs="Arial"/>
                <w:sz w:val="18"/>
                <w:szCs w:val="18"/>
              </w:rPr>
              <w:t xml:space="preserve">The Panel notes that section VI of this notice included the following: </w:t>
            </w:r>
          </w:p>
          <w:p w14:paraId="751AA2CA" w14:textId="24357E28" w:rsidR="007C040C" w:rsidRPr="00010274" w:rsidRDefault="007C040C" w:rsidP="009F5235">
            <w:pPr>
              <w:spacing w:before="60" w:after="60"/>
              <w:ind w:left="176"/>
              <w:rPr>
                <w:rFonts w:cs="Arial"/>
                <w:sz w:val="18"/>
                <w:szCs w:val="18"/>
              </w:rPr>
            </w:pPr>
            <w:r w:rsidRPr="0033140B">
              <w:rPr>
                <w:rFonts w:cs="Arial"/>
                <w:sz w:val="18"/>
                <w:szCs w:val="18"/>
              </w:rPr>
              <w:t>“The non-conflicted panel members and Wessex NHS Procurement LTD assessed the nature and risk of this conflict and determined that the moderated scoring process was sufficient to mitigate any perceived conflict ...”</w:t>
            </w:r>
          </w:p>
        </w:tc>
        <w:tc>
          <w:tcPr>
            <w:tcW w:w="7088" w:type="dxa"/>
          </w:tcPr>
          <w:p w14:paraId="5C6DF7CB" w14:textId="0375A3AF" w:rsidR="00B078E3" w:rsidRPr="0089705F" w:rsidRDefault="00B078E3" w:rsidP="00B078E3">
            <w:pPr>
              <w:spacing w:before="60" w:after="60"/>
              <w:rPr>
                <w:rFonts w:cs="Arial"/>
                <w:sz w:val="18"/>
                <w:szCs w:val="18"/>
              </w:rPr>
            </w:pPr>
            <w:r w:rsidRPr="004079D1">
              <w:rPr>
                <w:rFonts w:cs="Arial"/>
                <w:sz w:val="18"/>
                <w:szCs w:val="18"/>
              </w:rPr>
              <w:t xml:space="preserve">The Panel notes that HHFT was obliged to keep a record of the requested information </w:t>
            </w:r>
            <w:r w:rsidRPr="0089705F">
              <w:rPr>
                <w:rFonts w:cs="Arial"/>
                <w:sz w:val="18"/>
                <w:szCs w:val="18"/>
              </w:rPr>
              <w:t>under Regulation 24(</w:t>
            </w:r>
            <w:proofErr w:type="spellStart"/>
            <w:r>
              <w:rPr>
                <w:rFonts w:cs="Arial"/>
                <w:sz w:val="18"/>
                <w:szCs w:val="18"/>
              </w:rPr>
              <w:t>i</w:t>
            </w:r>
            <w:proofErr w:type="spellEnd"/>
            <w:r w:rsidRPr="0089705F">
              <w:rPr>
                <w:rFonts w:cs="Arial"/>
                <w:sz w:val="18"/>
                <w:szCs w:val="18"/>
              </w:rPr>
              <w:t>), which requires commissioners to keep a record of “</w:t>
            </w:r>
            <w:r>
              <w:rPr>
                <w:rFonts w:cs="Arial"/>
                <w:sz w:val="18"/>
                <w:szCs w:val="18"/>
              </w:rPr>
              <w:t>how any conflicts or potential conflicts of interest were managed for each decision</w:t>
            </w:r>
            <w:r w:rsidRPr="0033140B">
              <w:rPr>
                <w:rFonts w:cs="Arial"/>
                <w:sz w:val="18"/>
                <w:szCs w:val="18"/>
              </w:rPr>
              <w:t>”.</w:t>
            </w:r>
          </w:p>
          <w:p w14:paraId="1580A806" w14:textId="7719D9F4" w:rsidR="00A7523C" w:rsidRDefault="00A7523C" w:rsidP="00A7523C">
            <w:pPr>
              <w:spacing w:before="60" w:after="60"/>
              <w:rPr>
                <w:rFonts w:cs="Arial"/>
                <w:sz w:val="18"/>
                <w:szCs w:val="18"/>
              </w:rPr>
            </w:pPr>
            <w:r>
              <w:rPr>
                <w:sz w:val="18"/>
                <w:szCs w:val="18"/>
              </w:rPr>
              <w:t xml:space="preserve">The Panel notes that, as a result, HHFT could be expected to have </w:t>
            </w:r>
            <w:r w:rsidR="00F12CA2">
              <w:rPr>
                <w:sz w:val="18"/>
                <w:szCs w:val="18"/>
              </w:rPr>
              <w:t>kept a log</w:t>
            </w:r>
            <w:r>
              <w:rPr>
                <w:sz w:val="18"/>
                <w:szCs w:val="18"/>
              </w:rPr>
              <w:t xml:space="preserve"> setting out, in detail, the </w:t>
            </w:r>
            <w:r w:rsidR="00F12CA2">
              <w:rPr>
                <w:sz w:val="18"/>
                <w:szCs w:val="18"/>
              </w:rPr>
              <w:t xml:space="preserve">output of </w:t>
            </w:r>
            <w:r>
              <w:rPr>
                <w:sz w:val="18"/>
                <w:szCs w:val="18"/>
              </w:rPr>
              <w:t xml:space="preserve">conflicts of interest </w:t>
            </w:r>
            <w:r w:rsidR="00F12CA2">
              <w:rPr>
                <w:sz w:val="18"/>
                <w:szCs w:val="18"/>
              </w:rPr>
              <w:t>declarations</w:t>
            </w:r>
            <w:r w:rsidR="003E72DD">
              <w:rPr>
                <w:sz w:val="18"/>
                <w:szCs w:val="18"/>
              </w:rPr>
              <w:t xml:space="preserve">, including any conflicts </w:t>
            </w:r>
            <w:r>
              <w:rPr>
                <w:sz w:val="18"/>
                <w:szCs w:val="18"/>
              </w:rPr>
              <w:t xml:space="preserve">that were identified and how these were managed. </w:t>
            </w:r>
            <w:r>
              <w:rPr>
                <w:rFonts w:cs="Arial"/>
                <w:sz w:val="18"/>
                <w:szCs w:val="18"/>
              </w:rPr>
              <w:t xml:space="preserve">The Panel’s view is that </w:t>
            </w:r>
            <w:r>
              <w:rPr>
                <w:sz w:val="18"/>
                <w:szCs w:val="18"/>
              </w:rPr>
              <w:t xml:space="preserve">the </w:t>
            </w:r>
            <w:r w:rsidRPr="0033140B">
              <w:rPr>
                <w:sz w:val="18"/>
                <w:szCs w:val="18"/>
              </w:rPr>
              <w:t xml:space="preserve">summary information published in </w:t>
            </w:r>
            <w:r>
              <w:rPr>
                <w:sz w:val="18"/>
                <w:szCs w:val="18"/>
              </w:rPr>
              <w:t xml:space="preserve">the </w:t>
            </w:r>
            <w:r w:rsidRPr="0033140B">
              <w:rPr>
                <w:sz w:val="18"/>
                <w:szCs w:val="18"/>
              </w:rPr>
              <w:t>contract notice</w:t>
            </w:r>
            <w:r>
              <w:rPr>
                <w:sz w:val="18"/>
                <w:szCs w:val="18"/>
              </w:rPr>
              <w:t xml:space="preserve"> of 29 December 2025 was not </w:t>
            </w:r>
            <w:r w:rsidRPr="0033140B">
              <w:rPr>
                <w:sz w:val="18"/>
                <w:szCs w:val="18"/>
              </w:rPr>
              <w:t xml:space="preserve">sufficient for the purposes of responding to </w:t>
            </w:r>
            <w:r>
              <w:rPr>
                <w:sz w:val="18"/>
                <w:szCs w:val="18"/>
              </w:rPr>
              <w:t xml:space="preserve">NHUC’s </w:t>
            </w:r>
            <w:r w:rsidRPr="0033140B">
              <w:rPr>
                <w:sz w:val="18"/>
                <w:szCs w:val="18"/>
              </w:rPr>
              <w:t>request for information</w:t>
            </w:r>
            <w:r>
              <w:rPr>
                <w:sz w:val="18"/>
                <w:szCs w:val="18"/>
              </w:rPr>
              <w:t>.</w:t>
            </w:r>
          </w:p>
          <w:p w14:paraId="3FD765A8" w14:textId="64E171A0" w:rsidR="007C040C" w:rsidRPr="002B6D26" w:rsidRDefault="00A7523C" w:rsidP="00B078E3">
            <w:pPr>
              <w:spacing w:before="60" w:after="60"/>
              <w:rPr>
                <w:rFonts w:cs="Arial"/>
                <w:sz w:val="18"/>
                <w:szCs w:val="18"/>
              </w:rPr>
            </w:pPr>
            <w:r w:rsidRPr="0033140B">
              <w:rPr>
                <w:sz w:val="18"/>
                <w:szCs w:val="18"/>
              </w:rPr>
              <w:t xml:space="preserve">As a result, the Panel </w:t>
            </w:r>
            <w:r>
              <w:rPr>
                <w:sz w:val="18"/>
                <w:szCs w:val="18"/>
              </w:rPr>
              <w:t xml:space="preserve">finds that HHFT, in responding to NHUC’s request for information by referring NHUC to the </w:t>
            </w:r>
            <w:r w:rsidRPr="00CD305C">
              <w:rPr>
                <w:sz w:val="18"/>
                <w:szCs w:val="18"/>
              </w:rPr>
              <w:t>notice published on 29</w:t>
            </w:r>
            <w:r>
              <w:rPr>
                <w:sz w:val="18"/>
                <w:szCs w:val="18"/>
              </w:rPr>
              <w:t> </w:t>
            </w:r>
            <w:r w:rsidRPr="00CD305C">
              <w:rPr>
                <w:sz w:val="18"/>
                <w:szCs w:val="18"/>
              </w:rPr>
              <w:t>December 2025</w:t>
            </w:r>
            <w:r>
              <w:rPr>
                <w:sz w:val="18"/>
                <w:szCs w:val="18"/>
              </w:rPr>
              <w:t>,  breached the PSR regulations</w:t>
            </w:r>
            <w:r w:rsidR="003E72DD">
              <w:rPr>
                <w:sz w:val="18"/>
                <w:szCs w:val="18"/>
              </w:rPr>
              <w:t>,</w:t>
            </w:r>
            <w:r>
              <w:rPr>
                <w:sz w:val="18"/>
                <w:szCs w:val="18"/>
              </w:rPr>
              <w:t xml:space="preserve"> and in particular </w:t>
            </w:r>
            <w:r w:rsidRPr="0033140B">
              <w:rPr>
                <w:sz w:val="18"/>
                <w:szCs w:val="18"/>
              </w:rPr>
              <w:t>Regulation 12(4)(b).</w:t>
            </w:r>
          </w:p>
        </w:tc>
      </w:tr>
    </w:tbl>
    <w:p w14:paraId="546C5471" w14:textId="54C93B44" w:rsidR="007C040C" w:rsidRPr="004723E3" w:rsidRDefault="007C040C" w:rsidP="004723E3">
      <w:pPr>
        <w:spacing w:before="60" w:after="360" w:line="240" w:lineRule="auto"/>
        <w:rPr>
          <w:sz w:val="16"/>
          <w:szCs w:val="16"/>
          <w:highlight w:val="yellow"/>
        </w:rPr>
      </w:pPr>
      <w:r w:rsidRPr="00D91798">
        <w:rPr>
          <w:sz w:val="16"/>
          <w:szCs w:val="16"/>
        </w:rPr>
        <w:t>Source</w:t>
      </w:r>
      <w:r>
        <w:rPr>
          <w:sz w:val="16"/>
          <w:szCs w:val="16"/>
        </w:rPr>
        <w:t>s</w:t>
      </w:r>
      <w:r w:rsidRPr="00D91798">
        <w:rPr>
          <w:sz w:val="16"/>
          <w:szCs w:val="16"/>
        </w:rPr>
        <w:t xml:space="preserve">: </w:t>
      </w:r>
      <w:r>
        <w:rPr>
          <w:sz w:val="16"/>
          <w:szCs w:val="16"/>
        </w:rPr>
        <w:t xml:space="preserve">NHUC, </w:t>
      </w:r>
      <w:r w:rsidRPr="00254F17">
        <w:rPr>
          <w:i/>
          <w:iCs/>
          <w:sz w:val="16"/>
          <w:szCs w:val="16"/>
        </w:rPr>
        <w:t>Representations to HHFT</w:t>
      </w:r>
      <w:r>
        <w:rPr>
          <w:sz w:val="16"/>
          <w:szCs w:val="16"/>
        </w:rPr>
        <w:t xml:space="preserve">, 8 January 2026; HHFT, </w:t>
      </w:r>
      <w:r w:rsidRPr="00254F17">
        <w:rPr>
          <w:i/>
          <w:iCs/>
          <w:sz w:val="16"/>
          <w:szCs w:val="16"/>
        </w:rPr>
        <w:t>Response to NHUC’s representations</w:t>
      </w:r>
      <w:r>
        <w:rPr>
          <w:sz w:val="16"/>
          <w:szCs w:val="16"/>
        </w:rPr>
        <w:t xml:space="preserve">, 15 January 2025; HHFT, </w:t>
      </w:r>
      <w:r w:rsidR="00703E99">
        <w:rPr>
          <w:i/>
          <w:iCs/>
          <w:sz w:val="16"/>
          <w:szCs w:val="16"/>
        </w:rPr>
        <w:t xml:space="preserve">Intention to </w:t>
      </w:r>
      <w:r w:rsidR="00DE727F">
        <w:rPr>
          <w:i/>
          <w:iCs/>
          <w:sz w:val="16"/>
          <w:szCs w:val="16"/>
        </w:rPr>
        <w:t>A</w:t>
      </w:r>
      <w:r w:rsidRPr="00254F17">
        <w:rPr>
          <w:i/>
          <w:iCs/>
          <w:sz w:val="16"/>
          <w:szCs w:val="16"/>
        </w:rPr>
        <w:t xml:space="preserve">ward </w:t>
      </w:r>
      <w:r w:rsidR="00DE727F">
        <w:rPr>
          <w:i/>
          <w:iCs/>
          <w:sz w:val="16"/>
          <w:szCs w:val="16"/>
        </w:rPr>
        <w:t>N</w:t>
      </w:r>
      <w:r w:rsidRPr="00254F17">
        <w:rPr>
          <w:i/>
          <w:iCs/>
          <w:sz w:val="16"/>
          <w:szCs w:val="16"/>
        </w:rPr>
        <w:t xml:space="preserve">otice </w:t>
      </w:r>
      <w:r w:rsidRPr="00254F17">
        <w:rPr>
          <w:sz w:val="16"/>
          <w:szCs w:val="16"/>
        </w:rPr>
        <w:t>on</w:t>
      </w:r>
      <w:r w:rsidRPr="00254F17">
        <w:rPr>
          <w:i/>
          <w:iCs/>
          <w:sz w:val="16"/>
          <w:szCs w:val="16"/>
        </w:rPr>
        <w:t xml:space="preserve"> Find a Tender Service</w:t>
      </w:r>
      <w:r>
        <w:rPr>
          <w:sz w:val="16"/>
          <w:szCs w:val="16"/>
        </w:rPr>
        <w:t>, 29 December 2025.</w:t>
      </w:r>
    </w:p>
    <w:sectPr w:rsidR="007C040C" w:rsidRPr="004723E3" w:rsidSect="009F5235">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13AC" w14:textId="77777777" w:rsidR="000F1F6D" w:rsidRDefault="000F1F6D" w:rsidP="006747EA">
      <w:pPr>
        <w:spacing w:after="0" w:line="240" w:lineRule="auto"/>
      </w:pPr>
      <w:r>
        <w:separator/>
      </w:r>
    </w:p>
  </w:endnote>
  <w:endnote w:type="continuationSeparator" w:id="0">
    <w:p w14:paraId="0CB39674" w14:textId="77777777" w:rsidR="000F1F6D" w:rsidRDefault="000F1F6D" w:rsidP="006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751060"/>
      <w:docPartObj>
        <w:docPartGallery w:val="Page Numbers (Bottom of Page)"/>
        <w:docPartUnique/>
      </w:docPartObj>
    </w:sdtPr>
    <w:sdtEndPr>
      <w:rPr>
        <w:noProof/>
      </w:rPr>
    </w:sdtEndPr>
    <w:sdtContent>
      <w:p w14:paraId="1A4C543F" w14:textId="4A449AEF" w:rsidR="00E93225" w:rsidRDefault="00E932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20BD4" w14:textId="77777777" w:rsidR="00E93225" w:rsidRDefault="00E93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99067"/>
      <w:docPartObj>
        <w:docPartGallery w:val="Page Numbers (Bottom of Page)"/>
        <w:docPartUnique/>
      </w:docPartObj>
    </w:sdtPr>
    <w:sdtEndPr>
      <w:rPr>
        <w:noProof/>
      </w:rPr>
    </w:sdtEndPr>
    <w:sdtContent>
      <w:p w14:paraId="7C0AC47B" w14:textId="6F2B811C" w:rsidR="007C040C" w:rsidRDefault="007C0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0A03D" w14:textId="77777777" w:rsidR="007C040C" w:rsidRDefault="007C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AD8C" w14:textId="77777777" w:rsidR="000F1F6D" w:rsidRDefault="000F1F6D" w:rsidP="006747EA">
      <w:pPr>
        <w:spacing w:after="0" w:line="240" w:lineRule="auto"/>
      </w:pPr>
      <w:r>
        <w:separator/>
      </w:r>
    </w:p>
  </w:footnote>
  <w:footnote w:type="continuationSeparator" w:id="0">
    <w:p w14:paraId="7CCD14F9" w14:textId="77777777" w:rsidR="000F1F6D" w:rsidRDefault="000F1F6D" w:rsidP="006747EA">
      <w:pPr>
        <w:spacing w:after="0" w:line="240" w:lineRule="auto"/>
      </w:pPr>
      <w:r>
        <w:continuationSeparator/>
      </w:r>
    </w:p>
  </w:footnote>
  <w:footnote w:id="1">
    <w:p w14:paraId="6320AB2E" w14:textId="16FED69D" w:rsidR="00D479ED" w:rsidRPr="001568C4" w:rsidRDefault="00D479ED">
      <w:pPr>
        <w:pStyle w:val="FootnoteText"/>
        <w:rPr>
          <w:sz w:val="16"/>
          <w:szCs w:val="16"/>
        </w:rPr>
      </w:pPr>
      <w:r w:rsidRPr="001568C4">
        <w:rPr>
          <w:rStyle w:val="FootnoteReference"/>
          <w:sz w:val="16"/>
          <w:szCs w:val="16"/>
        </w:rPr>
        <w:footnoteRef/>
      </w:r>
      <w:r w:rsidRPr="001568C4">
        <w:rPr>
          <w:sz w:val="16"/>
          <w:szCs w:val="16"/>
        </w:rPr>
        <w:t xml:space="preserve"> </w:t>
      </w:r>
      <w:r w:rsidR="002375F6">
        <w:rPr>
          <w:sz w:val="16"/>
          <w:szCs w:val="16"/>
        </w:rPr>
        <w:t xml:space="preserve">NHUC </w:t>
      </w:r>
      <w:r w:rsidR="00247869">
        <w:rPr>
          <w:sz w:val="16"/>
          <w:szCs w:val="16"/>
        </w:rPr>
        <w:t xml:space="preserve">is </w:t>
      </w:r>
      <w:r w:rsidR="00004403">
        <w:rPr>
          <w:sz w:val="16"/>
          <w:szCs w:val="16"/>
        </w:rPr>
        <w:t>a</w:t>
      </w:r>
      <w:r w:rsidR="00247869">
        <w:rPr>
          <w:sz w:val="16"/>
          <w:szCs w:val="16"/>
        </w:rPr>
        <w:t xml:space="preserve"> </w:t>
      </w:r>
      <w:r w:rsidR="00470849">
        <w:rPr>
          <w:sz w:val="16"/>
          <w:szCs w:val="16"/>
        </w:rPr>
        <w:t>no</w:t>
      </w:r>
      <w:r w:rsidR="000D4C1C">
        <w:rPr>
          <w:sz w:val="16"/>
          <w:szCs w:val="16"/>
        </w:rPr>
        <w:t>n-</w:t>
      </w:r>
      <w:r w:rsidR="00470849">
        <w:rPr>
          <w:sz w:val="16"/>
          <w:szCs w:val="16"/>
        </w:rPr>
        <w:t>profit community benefit society and NHS health</w:t>
      </w:r>
      <w:r w:rsidR="0043103B">
        <w:rPr>
          <w:sz w:val="16"/>
          <w:szCs w:val="16"/>
        </w:rPr>
        <w:t xml:space="preserve"> </w:t>
      </w:r>
      <w:r w:rsidR="00470849">
        <w:rPr>
          <w:sz w:val="16"/>
          <w:szCs w:val="16"/>
        </w:rPr>
        <w:t>care provider delivering urgent primary care, same-day services and talking therapies across North</w:t>
      </w:r>
      <w:r w:rsidR="00866AB8">
        <w:rPr>
          <w:sz w:val="16"/>
          <w:szCs w:val="16"/>
        </w:rPr>
        <w:t xml:space="preserve"> and North East Hampshire, Farnham and Surrey </w:t>
      </w:r>
      <w:r w:rsidR="00004403">
        <w:rPr>
          <w:sz w:val="16"/>
          <w:szCs w:val="16"/>
        </w:rPr>
        <w:t>H</w:t>
      </w:r>
      <w:r w:rsidR="00866AB8">
        <w:rPr>
          <w:sz w:val="16"/>
          <w:szCs w:val="16"/>
        </w:rPr>
        <w:t>e</w:t>
      </w:r>
      <w:r w:rsidR="000253AE">
        <w:rPr>
          <w:sz w:val="16"/>
          <w:szCs w:val="16"/>
        </w:rPr>
        <w:t>a</w:t>
      </w:r>
      <w:r w:rsidR="00866AB8">
        <w:rPr>
          <w:sz w:val="16"/>
          <w:szCs w:val="16"/>
        </w:rPr>
        <w:t>th.</w:t>
      </w:r>
      <w:r w:rsidR="00247869">
        <w:rPr>
          <w:sz w:val="16"/>
          <w:szCs w:val="16"/>
        </w:rPr>
        <w:t xml:space="preserve"> Further information can be found on its website</w:t>
      </w:r>
      <w:r w:rsidR="008F2946">
        <w:rPr>
          <w:sz w:val="16"/>
          <w:szCs w:val="16"/>
        </w:rPr>
        <w:t xml:space="preserve"> at</w:t>
      </w:r>
      <w:r w:rsidR="000253AE">
        <w:rPr>
          <w:sz w:val="16"/>
          <w:szCs w:val="16"/>
        </w:rPr>
        <w:t xml:space="preserve"> </w:t>
      </w:r>
      <w:hyperlink r:id="rId1" w:history="1">
        <w:r w:rsidR="000253AE" w:rsidRPr="00C141C8">
          <w:rPr>
            <w:rStyle w:val="Hyperlink"/>
            <w:sz w:val="16"/>
            <w:szCs w:val="16"/>
          </w:rPr>
          <w:t>https://www.nhuc.co.uk/</w:t>
        </w:r>
      </w:hyperlink>
      <w:r w:rsidR="00DC641D">
        <w:rPr>
          <w:sz w:val="16"/>
          <w:szCs w:val="16"/>
        </w:rPr>
        <w:t>.</w:t>
      </w:r>
    </w:p>
  </w:footnote>
  <w:footnote w:id="2">
    <w:p w14:paraId="3DD3A8C9" w14:textId="497BF0B8" w:rsidR="00305614" w:rsidRPr="00453724" w:rsidRDefault="00305614">
      <w:pPr>
        <w:pStyle w:val="FootnoteText"/>
        <w:rPr>
          <w:sz w:val="16"/>
          <w:szCs w:val="16"/>
        </w:rPr>
      </w:pPr>
      <w:r w:rsidRPr="00453724">
        <w:rPr>
          <w:rStyle w:val="FootnoteReference"/>
          <w:sz w:val="16"/>
          <w:szCs w:val="16"/>
        </w:rPr>
        <w:footnoteRef/>
      </w:r>
      <w:r w:rsidRPr="00453724">
        <w:rPr>
          <w:sz w:val="16"/>
          <w:szCs w:val="16"/>
        </w:rPr>
        <w:t xml:space="preserve"> HHFT</w:t>
      </w:r>
      <w:r w:rsidR="00BD1F01">
        <w:rPr>
          <w:sz w:val="16"/>
          <w:szCs w:val="16"/>
        </w:rPr>
        <w:t xml:space="preserve"> </w:t>
      </w:r>
      <w:r w:rsidR="0043103B">
        <w:rPr>
          <w:sz w:val="16"/>
          <w:szCs w:val="16"/>
        </w:rPr>
        <w:t>provides health care services</w:t>
      </w:r>
      <w:r w:rsidR="00453724" w:rsidRPr="00453724">
        <w:rPr>
          <w:sz w:val="16"/>
          <w:szCs w:val="16"/>
        </w:rPr>
        <w:t xml:space="preserve"> </w:t>
      </w:r>
      <w:r w:rsidR="0043103B">
        <w:rPr>
          <w:sz w:val="16"/>
          <w:szCs w:val="16"/>
        </w:rPr>
        <w:t xml:space="preserve">at its </w:t>
      </w:r>
      <w:r w:rsidR="00453724" w:rsidRPr="00453724">
        <w:rPr>
          <w:sz w:val="16"/>
          <w:szCs w:val="16"/>
        </w:rPr>
        <w:t xml:space="preserve">three </w:t>
      </w:r>
      <w:r w:rsidR="00E8783C">
        <w:rPr>
          <w:sz w:val="16"/>
          <w:szCs w:val="16"/>
        </w:rPr>
        <w:t xml:space="preserve">acute </w:t>
      </w:r>
      <w:r w:rsidR="00453724" w:rsidRPr="00453724">
        <w:rPr>
          <w:sz w:val="16"/>
          <w:szCs w:val="16"/>
        </w:rPr>
        <w:t>hospitals</w:t>
      </w:r>
      <w:r w:rsidR="00453724">
        <w:rPr>
          <w:sz w:val="16"/>
          <w:szCs w:val="16"/>
        </w:rPr>
        <w:t>, namely</w:t>
      </w:r>
      <w:r w:rsidR="00453724" w:rsidRPr="00453724">
        <w:rPr>
          <w:sz w:val="16"/>
          <w:szCs w:val="16"/>
        </w:rPr>
        <w:t> the Royal Hampshire County Hospital in Winchester, the Basingstoke and North Hampshire Hospital in Basingstoke and the Andover War Memorial Hospital in Andover</w:t>
      </w:r>
      <w:r w:rsidR="00476CBB">
        <w:rPr>
          <w:sz w:val="16"/>
          <w:szCs w:val="16"/>
        </w:rPr>
        <w:t xml:space="preserve">. It </w:t>
      </w:r>
      <w:r w:rsidR="00476CBB" w:rsidRPr="00476CBB">
        <w:rPr>
          <w:sz w:val="16"/>
          <w:szCs w:val="16"/>
        </w:rPr>
        <w:t>serves a population of approximately 600,000 people across Hampshire and parts of West Berkshire</w:t>
      </w:r>
      <w:r w:rsidR="00476CBB">
        <w:rPr>
          <w:sz w:val="16"/>
          <w:szCs w:val="16"/>
        </w:rPr>
        <w:t>.</w:t>
      </w:r>
      <w:r w:rsidR="00453724">
        <w:rPr>
          <w:sz w:val="16"/>
          <w:szCs w:val="16"/>
        </w:rPr>
        <w:t xml:space="preserve"> Further information can be found on its website</w:t>
      </w:r>
      <w:r w:rsidR="008F2946">
        <w:rPr>
          <w:sz w:val="16"/>
          <w:szCs w:val="16"/>
        </w:rPr>
        <w:t xml:space="preserve"> at</w:t>
      </w:r>
      <w:r w:rsidR="00453724">
        <w:rPr>
          <w:sz w:val="16"/>
          <w:szCs w:val="16"/>
        </w:rPr>
        <w:t xml:space="preserve"> </w:t>
      </w:r>
      <w:hyperlink r:id="rId2" w:history="1">
        <w:r w:rsidR="009F42A6" w:rsidRPr="00CF0977">
          <w:rPr>
            <w:rStyle w:val="Hyperlink"/>
            <w:sz w:val="16"/>
            <w:szCs w:val="16"/>
          </w:rPr>
          <w:t>https://www.hampshirehospitals.nhs.uk/</w:t>
        </w:r>
      </w:hyperlink>
      <w:r w:rsidR="009F42A6">
        <w:rPr>
          <w:sz w:val="16"/>
          <w:szCs w:val="16"/>
        </w:rPr>
        <w:t>.</w:t>
      </w:r>
    </w:p>
  </w:footnote>
  <w:footnote w:id="3">
    <w:p w14:paraId="4CD568E9" w14:textId="3AC55E1A" w:rsidR="00280B4D" w:rsidRPr="00DC641D" w:rsidRDefault="00280B4D">
      <w:pPr>
        <w:pStyle w:val="FootnoteText"/>
        <w:rPr>
          <w:sz w:val="16"/>
          <w:szCs w:val="16"/>
        </w:rPr>
      </w:pPr>
      <w:r w:rsidRPr="00DC641D">
        <w:rPr>
          <w:rStyle w:val="FootnoteReference"/>
          <w:sz w:val="16"/>
          <w:szCs w:val="16"/>
        </w:rPr>
        <w:footnoteRef/>
      </w:r>
      <w:r w:rsidRPr="00DC641D">
        <w:rPr>
          <w:sz w:val="16"/>
          <w:szCs w:val="16"/>
        </w:rPr>
        <w:t xml:space="preserve"> </w:t>
      </w:r>
      <w:r w:rsidR="00247869" w:rsidRPr="00DC641D">
        <w:rPr>
          <w:sz w:val="16"/>
          <w:szCs w:val="16"/>
        </w:rPr>
        <w:t>The Panel</w:t>
      </w:r>
      <w:r w:rsidR="007477B3" w:rsidRPr="00DC641D">
        <w:rPr>
          <w:sz w:val="16"/>
          <w:szCs w:val="16"/>
        </w:rPr>
        <w:t>’s case acceptance criteria are available at</w:t>
      </w:r>
      <w:r w:rsidR="00166E81" w:rsidRPr="00DC641D">
        <w:rPr>
          <w:sz w:val="16"/>
          <w:szCs w:val="16"/>
        </w:rPr>
        <w:t xml:space="preserve"> </w:t>
      </w:r>
      <w:hyperlink r:id="rId3" w:history="1">
        <w:r w:rsidR="00166E81" w:rsidRPr="00DC641D">
          <w:rPr>
            <w:rStyle w:val="Hyperlink"/>
            <w:sz w:val="16"/>
            <w:szCs w:val="16"/>
          </w:rPr>
          <w:t>https://www.england.nhs.uk/commissioning/how-commissioning-is-changing/nhs-provider-selection-regime/independent-patient-choice-and-procurement-panel/</w:t>
        </w:r>
      </w:hyperlink>
      <w:r w:rsidR="00DC641D" w:rsidRPr="00DC641D">
        <w:rPr>
          <w:sz w:val="16"/>
          <w:szCs w:val="16"/>
        </w:rPr>
        <w:t>.</w:t>
      </w:r>
    </w:p>
  </w:footnote>
  <w:footnote w:id="4">
    <w:p w14:paraId="77F1ECFB" w14:textId="0F89B0D6" w:rsidR="008E4F6C" w:rsidRPr="003475C7" w:rsidRDefault="008E4F6C">
      <w:pPr>
        <w:pStyle w:val="FootnoteText"/>
        <w:rPr>
          <w:sz w:val="16"/>
          <w:szCs w:val="16"/>
        </w:rPr>
      </w:pPr>
      <w:r w:rsidRPr="003B4728">
        <w:rPr>
          <w:rStyle w:val="FootnoteReference"/>
          <w:sz w:val="16"/>
          <w:szCs w:val="16"/>
        </w:rPr>
        <w:footnoteRef/>
      </w:r>
      <w:r w:rsidRPr="003B4728">
        <w:rPr>
          <w:sz w:val="16"/>
          <w:szCs w:val="16"/>
        </w:rPr>
        <w:t xml:space="preserve"> </w:t>
      </w:r>
      <w:r w:rsidR="00144436">
        <w:rPr>
          <w:sz w:val="16"/>
          <w:szCs w:val="16"/>
        </w:rPr>
        <w:t xml:space="preserve">Biographies of Panel members are available at </w:t>
      </w:r>
      <w:hyperlink r:id="rId4" w:history="1">
        <w:r w:rsidR="00710393" w:rsidRPr="003475C7">
          <w:rPr>
            <w:rStyle w:val="Hyperlink"/>
            <w:sz w:val="16"/>
            <w:szCs w:val="16"/>
          </w:rPr>
          <w:t>https://www.england.nhs.uk/commissioning/how-commissioning-is-changing/nhs-provider-selection-regime/independent-patient-choice-and-procurement-panel/panel-members/</w:t>
        </w:r>
      </w:hyperlink>
      <w:r w:rsidR="003475C7" w:rsidRPr="003475C7">
        <w:rPr>
          <w:sz w:val="16"/>
          <w:szCs w:val="16"/>
        </w:rPr>
        <w:t>.</w:t>
      </w:r>
    </w:p>
  </w:footnote>
  <w:footnote w:id="5">
    <w:p w14:paraId="2D0316B2" w14:textId="34D5F7A1" w:rsidR="00EB3A9D" w:rsidRPr="003475C7" w:rsidRDefault="00EB3A9D">
      <w:pPr>
        <w:pStyle w:val="FootnoteText"/>
        <w:rPr>
          <w:sz w:val="16"/>
          <w:szCs w:val="16"/>
        </w:rPr>
      </w:pPr>
      <w:r w:rsidRPr="003475C7">
        <w:rPr>
          <w:rStyle w:val="FootnoteReference"/>
          <w:sz w:val="16"/>
          <w:szCs w:val="16"/>
        </w:rPr>
        <w:footnoteRef/>
      </w:r>
      <w:r w:rsidRPr="003475C7">
        <w:rPr>
          <w:sz w:val="16"/>
          <w:szCs w:val="16"/>
        </w:rPr>
        <w:t xml:space="preserve"> </w:t>
      </w:r>
      <w:r w:rsidR="00144436" w:rsidRPr="003475C7">
        <w:rPr>
          <w:sz w:val="16"/>
          <w:szCs w:val="16"/>
        </w:rPr>
        <w:t xml:space="preserve">The Panel’s Standard Operating Procedures are available at </w:t>
      </w:r>
      <w:hyperlink r:id="rId5" w:history="1">
        <w:r w:rsidR="003D02FD" w:rsidRPr="003475C7">
          <w:rPr>
            <w:rStyle w:val="Hyperlink"/>
            <w:sz w:val="16"/>
            <w:szCs w:val="16"/>
          </w:rPr>
          <w:t>https://www.england.nhs.uk/commissioning/how-commissioning-is-changing/nhs-provider-selection-regime/independent-patient-choice-and-procurement-panel/</w:t>
        </w:r>
      </w:hyperlink>
      <w:r w:rsidR="003475C7" w:rsidRPr="003475C7">
        <w:rPr>
          <w:sz w:val="16"/>
          <w:szCs w:val="16"/>
        </w:rPr>
        <w:t>.</w:t>
      </w:r>
    </w:p>
  </w:footnote>
  <w:footnote w:id="6">
    <w:p w14:paraId="4479D9F5" w14:textId="5F823E47" w:rsidR="00F85E6F" w:rsidRPr="003475C7" w:rsidRDefault="00F85E6F">
      <w:pPr>
        <w:pStyle w:val="FootnoteText"/>
        <w:rPr>
          <w:sz w:val="16"/>
          <w:szCs w:val="16"/>
        </w:rPr>
      </w:pPr>
      <w:r w:rsidRPr="003475C7">
        <w:rPr>
          <w:rStyle w:val="FootnoteReference"/>
          <w:sz w:val="16"/>
          <w:szCs w:val="16"/>
        </w:rPr>
        <w:footnoteRef/>
      </w:r>
      <w:r w:rsidRPr="003475C7">
        <w:rPr>
          <w:sz w:val="16"/>
          <w:szCs w:val="16"/>
        </w:rPr>
        <w:t xml:space="preserve"> </w:t>
      </w:r>
      <w:r w:rsidR="003D6F82" w:rsidRPr="003475C7">
        <w:rPr>
          <w:sz w:val="16"/>
          <w:szCs w:val="16"/>
        </w:rPr>
        <w:t xml:space="preserve">The Panel’s advice is provided under </w:t>
      </w:r>
      <w:r w:rsidR="0079102F">
        <w:rPr>
          <w:sz w:val="16"/>
          <w:szCs w:val="16"/>
        </w:rPr>
        <w:t xml:space="preserve">PSR Regulation </w:t>
      </w:r>
      <w:r w:rsidR="003D6F82" w:rsidRPr="003475C7">
        <w:rPr>
          <w:sz w:val="16"/>
          <w:szCs w:val="16"/>
        </w:rPr>
        <w:t>23 and takes account of the representations made to the Panel.</w:t>
      </w:r>
    </w:p>
  </w:footnote>
  <w:footnote w:id="7">
    <w:p w14:paraId="3ABF27B2" w14:textId="21A0E01A" w:rsidR="00B07A1F" w:rsidRPr="003475C7" w:rsidRDefault="00B07A1F">
      <w:pPr>
        <w:pStyle w:val="FootnoteText"/>
        <w:rPr>
          <w:sz w:val="16"/>
          <w:szCs w:val="16"/>
        </w:rPr>
      </w:pPr>
      <w:r w:rsidRPr="003475C7">
        <w:rPr>
          <w:rStyle w:val="FootnoteReference"/>
          <w:sz w:val="16"/>
          <w:szCs w:val="16"/>
        </w:rPr>
        <w:footnoteRef/>
      </w:r>
      <w:r w:rsidRPr="003475C7">
        <w:rPr>
          <w:sz w:val="16"/>
          <w:szCs w:val="16"/>
        </w:rPr>
        <w:t xml:space="preserve"> </w:t>
      </w:r>
      <w:r w:rsidR="00D50FAF" w:rsidRPr="003475C7">
        <w:rPr>
          <w:sz w:val="16"/>
          <w:szCs w:val="16"/>
        </w:rPr>
        <w:t>The PSR regulations, issued under the Health and Care Act 2022</w:t>
      </w:r>
      <w:r w:rsidR="00E66279" w:rsidRPr="003475C7">
        <w:rPr>
          <w:sz w:val="16"/>
          <w:szCs w:val="16"/>
        </w:rPr>
        <w:t>, are formally known as the Health Care Services (Provider Selection Regime) Regulations 2023.</w:t>
      </w:r>
    </w:p>
  </w:footnote>
  <w:footnote w:id="8">
    <w:p w14:paraId="73985A0B" w14:textId="53D58AD7" w:rsidR="00F07723" w:rsidRPr="003475C7" w:rsidRDefault="00F07723">
      <w:pPr>
        <w:pStyle w:val="FootnoteText"/>
        <w:rPr>
          <w:sz w:val="16"/>
          <w:szCs w:val="16"/>
        </w:rPr>
      </w:pPr>
      <w:r w:rsidRPr="003475C7">
        <w:rPr>
          <w:rStyle w:val="FootnoteReference"/>
          <w:sz w:val="16"/>
          <w:szCs w:val="16"/>
        </w:rPr>
        <w:footnoteRef/>
      </w:r>
      <w:r w:rsidRPr="003475C7">
        <w:rPr>
          <w:sz w:val="16"/>
          <w:szCs w:val="16"/>
        </w:rPr>
        <w:t xml:space="preserve"> </w:t>
      </w:r>
      <w:r w:rsidR="003D6F82" w:rsidRPr="003475C7">
        <w:rPr>
          <w:sz w:val="16"/>
          <w:szCs w:val="16"/>
        </w:rPr>
        <w:t>The PSR Regulations are available at</w:t>
      </w:r>
      <w:r w:rsidR="00041361" w:rsidRPr="003475C7">
        <w:rPr>
          <w:sz w:val="16"/>
          <w:szCs w:val="16"/>
        </w:rPr>
        <w:t xml:space="preserve"> </w:t>
      </w:r>
      <w:hyperlink r:id="rId6" w:history="1">
        <w:r w:rsidR="00041361" w:rsidRPr="003475C7">
          <w:rPr>
            <w:rStyle w:val="Hyperlink"/>
            <w:sz w:val="16"/>
            <w:szCs w:val="16"/>
          </w:rPr>
          <w:t>https://www.legislation.gov.uk/uksi/2023/1348/contents/made</w:t>
        </w:r>
      </w:hyperlink>
      <w:r w:rsidR="00041361" w:rsidRPr="003475C7">
        <w:rPr>
          <w:sz w:val="16"/>
          <w:szCs w:val="16"/>
        </w:rPr>
        <w:t xml:space="preserve"> </w:t>
      </w:r>
      <w:r w:rsidR="00170831" w:rsidRPr="003475C7">
        <w:rPr>
          <w:sz w:val="16"/>
          <w:szCs w:val="16"/>
        </w:rPr>
        <w:t xml:space="preserve">and the accompanying statutory guidance is available at NHS England, </w:t>
      </w:r>
      <w:r w:rsidR="00170831" w:rsidRPr="003475C7">
        <w:rPr>
          <w:i/>
          <w:iCs/>
          <w:sz w:val="16"/>
          <w:szCs w:val="16"/>
        </w:rPr>
        <w:t>The Provider Selection Regime: statutory guidance</w:t>
      </w:r>
      <w:r w:rsidR="00170831" w:rsidRPr="003475C7">
        <w:rPr>
          <w:sz w:val="16"/>
          <w:szCs w:val="16"/>
        </w:rPr>
        <w:t xml:space="preserve">, </w:t>
      </w:r>
      <w:hyperlink r:id="rId7" w:history="1">
        <w:r w:rsidR="00F75F54" w:rsidRPr="003475C7">
          <w:rPr>
            <w:rStyle w:val="Hyperlink"/>
            <w:sz w:val="16"/>
            <w:szCs w:val="16"/>
          </w:rPr>
          <w:t>https://www.england.nhs.uk/long-read/the-provider-selection-regime-statutory-guidance/</w:t>
        </w:r>
      </w:hyperlink>
      <w:r w:rsidR="00F75F54" w:rsidRPr="003475C7">
        <w:rPr>
          <w:sz w:val="16"/>
          <w:szCs w:val="16"/>
        </w:rPr>
        <w:t xml:space="preserve"> </w:t>
      </w:r>
    </w:p>
  </w:footnote>
  <w:footnote w:id="9">
    <w:p w14:paraId="2F8F2FD1" w14:textId="18E95F69" w:rsidR="00DE5479" w:rsidRPr="009F5235" w:rsidRDefault="00DE5479" w:rsidP="00DE5479">
      <w:pPr>
        <w:pStyle w:val="FootnoteText"/>
        <w:rPr>
          <w:sz w:val="16"/>
          <w:szCs w:val="16"/>
        </w:rPr>
      </w:pPr>
      <w:r w:rsidRPr="009F5235">
        <w:rPr>
          <w:rStyle w:val="FootnoteReference"/>
          <w:sz w:val="16"/>
          <w:szCs w:val="16"/>
        </w:rPr>
        <w:footnoteRef/>
      </w:r>
      <w:r w:rsidRPr="009F5235">
        <w:rPr>
          <w:sz w:val="16"/>
          <w:szCs w:val="16"/>
        </w:rPr>
        <w:t xml:space="preserve"> </w:t>
      </w:r>
      <w:r>
        <w:rPr>
          <w:sz w:val="16"/>
          <w:szCs w:val="16"/>
        </w:rPr>
        <w:t xml:space="preserve">HHFT, </w:t>
      </w:r>
      <w:r w:rsidRPr="00E74B8F">
        <w:rPr>
          <w:i/>
          <w:iCs/>
          <w:sz w:val="16"/>
          <w:szCs w:val="16"/>
        </w:rPr>
        <w:t xml:space="preserve">Prior </w:t>
      </w:r>
      <w:r w:rsidR="00DE727F">
        <w:rPr>
          <w:i/>
          <w:iCs/>
          <w:sz w:val="16"/>
          <w:szCs w:val="16"/>
        </w:rPr>
        <w:t>I</w:t>
      </w:r>
      <w:r w:rsidRPr="00E74B8F">
        <w:rPr>
          <w:i/>
          <w:iCs/>
          <w:sz w:val="16"/>
          <w:szCs w:val="16"/>
        </w:rPr>
        <w:t xml:space="preserve">nformation </w:t>
      </w:r>
      <w:r w:rsidR="00DE727F">
        <w:rPr>
          <w:i/>
          <w:iCs/>
          <w:sz w:val="16"/>
          <w:szCs w:val="16"/>
        </w:rPr>
        <w:t>N</w:t>
      </w:r>
      <w:r w:rsidRPr="00E74B8F">
        <w:rPr>
          <w:i/>
          <w:iCs/>
          <w:sz w:val="16"/>
          <w:szCs w:val="16"/>
        </w:rPr>
        <w:t>otice</w:t>
      </w:r>
      <w:r>
        <w:rPr>
          <w:sz w:val="16"/>
          <w:szCs w:val="16"/>
        </w:rPr>
        <w:t xml:space="preserve"> on </w:t>
      </w:r>
      <w:r w:rsidRPr="00E74B8F">
        <w:rPr>
          <w:i/>
          <w:iCs/>
          <w:sz w:val="16"/>
          <w:szCs w:val="16"/>
        </w:rPr>
        <w:t>Find a Tender Service</w:t>
      </w:r>
      <w:r>
        <w:rPr>
          <w:sz w:val="16"/>
          <w:szCs w:val="16"/>
        </w:rPr>
        <w:t xml:space="preserve">, 26 September 2025. </w:t>
      </w:r>
      <w:r w:rsidRPr="009F5235">
        <w:rPr>
          <w:sz w:val="16"/>
          <w:szCs w:val="16"/>
        </w:rPr>
        <w:t xml:space="preserve">A copy of the notice can be found at </w:t>
      </w:r>
      <w:hyperlink r:id="rId8" w:history="1">
        <w:r w:rsidRPr="009F5235">
          <w:rPr>
            <w:rStyle w:val="Hyperlink"/>
            <w:sz w:val="16"/>
            <w:szCs w:val="16"/>
          </w:rPr>
          <w:t>https://www.find-tender.service.gov.uk/Notice/060224-2025</w:t>
        </w:r>
      </w:hyperlink>
      <w:r w:rsidRPr="009F5235">
        <w:rPr>
          <w:sz w:val="16"/>
          <w:szCs w:val="16"/>
        </w:rPr>
        <w:t>.</w:t>
      </w:r>
    </w:p>
  </w:footnote>
  <w:footnote w:id="10">
    <w:p w14:paraId="15FC8190" w14:textId="77777777" w:rsidR="00FA0A38" w:rsidRPr="005E3256" w:rsidRDefault="00FA0A38" w:rsidP="00FA0A38">
      <w:pPr>
        <w:pStyle w:val="FootnoteText"/>
        <w:rPr>
          <w:sz w:val="16"/>
          <w:szCs w:val="16"/>
        </w:rPr>
      </w:pPr>
      <w:r w:rsidRPr="005E3256">
        <w:rPr>
          <w:rStyle w:val="FootnoteReference"/>
          <w:sz w:val="16"/>
          <w:szCs w:val="16"/>
        </w:rPr>
        <w:footnoteRef/>
      </w:r>
      <w:r w:rsidRPr="005E3256">
        <w:rPr>
          <w:sz w:val="16"/>
          <w:szCs w:val="16"/>
        </w:rPr>
        <w:t xml:space="preserve"> The five key criteria are: (</w:t>
      </w:r>
      <w:r w:rsidRPr="005E3256">
        <w:rPr>
          <w:sz w:val="16"/>
          <w:szCs w:val="16"/>
        </w:rPr>
        <w:t>i) Quality and innovation; (ii) Value; (iii) Integration, collaboration and service sustainability; (iv) Improving access, reducing health inequalities and facilitating choice; and (v) Social value.</w:t>
      </w:r>
    </w:p>
  </w:footnote>
  <w:footnote w:id="11">
    <w:p w14:paraId="68190297" w14:textId="49BC2655" w:rsidR="00633A78" w:rsidRPr="00281C11" w:rsidRDefault="00633A78">
      <w:pPr>
        <w:pStyle w:val="FootnoteText"/>
        <w:rPr>
          <w:sz w:val="16"/>
          <w:szCs w:val="16"/>
        </w:rPr>
      </w:pPr>
      <w:r w:rsidRPr="00281C11">
        <w:rPr>
          <w:rStyle w:val="FootnoteReference"/>
          <w:sz w:val="16"/>
          <w:szCs w:val="16"/>
        </w:rPr>
        <w:footnoteRef/>
      </w:r>
      <w:r w:rsidRPr="00281C11">
        <w:rPr>
          <w:sz w:val="16"/>
          <w:szCs w:val="16"/>
        </w:rPr>
        <w:t xml:space="preserve"> The invitation for variant proposals for </w:t>
      </w:r>
      <w:r w:rsidR="009A76D9" w:rsidRPr="00281C11">
        <w:rPr>
          <w:sz w:val="16"/>
          <w:szCs w:val="16"/>
        </w:rPr>
        <w:t xml:space="preserve">an alternative model </w:t>
      </w:r>
      <w:r w:rsidR="006140E6" w:rsidRPr="00281C11">
        <w:rPr>
          <w:sz w:val="16"/>
          <w:szCs w:val="16"/>
        </w:rPr>
        <w:t xml:space="preserve">of care differed from the reference to variant proposals </w:t>
      </w:r>
      <w:r w:rsidR="002144AB" w:rsidRPr="00281C11">
        <w:rPr>
          <w:sz w:val="16"/>
          <w:szCs w:val="16"/>
        </w:rPr>
        <w:t xml:space="preserve">in the September 2025 notice, which referred to variant proposals in the context of </w:t>
      </w:r>
      <w:r w:rsidR="00906205" w:rsidRPr="00281C11">
        <w:rPr>
          <w:sz w:val="16"/>
          <w:szCs w:val="16"/>
        </w:rPr>
        <w:t>a potential UTC service at Royal Hampshire Hospital.</w:t>
      </w:r>
    </w:p>
  </w:footnote>
  <w:footnote w:id="12">
    <w:p w14:paraId="0F812737" w14:textId="28CBE06E" w:rsidR="009A1AA0" w:rsidRPr="009F5235" w:rsidRDefault="009A1AA0">
      <w:pPr>
        <w:pStyle w:val="FootnoteText"/>
        <w:rPr>
          <w:sz w:val="16"/>
          <w:szCs w:val="16"/>
        </w:rPr>
      </w:pPr>
      <w:r w:rsidRPr="009F5235">
        <w:rPr>
          <w:rStyle w:val="FootnoteReference"/>
          <w:sz w:val="16"/>
          <w:szCs w:val="16"/>
        </w:rPr>
        <w:footnoteRef/>
      </w:r>
      <w:r w:rsidRPr="009F5235">
        <w:rPr>
          <w:sz w:val="16"/>
          <w:szCs w:val="16"/>
        </w:rPr>
        <w:t xml:space="preserve"> </w:t>
      </w:r>
      <w:r w:rsidR="00357F1B">
        <w:rPr>
          <w:sz w:val="16"/>
          <w:szCs w:val="16"/>
        </w:rPr>
        <w:t xml:space="preserve">Details of </w:t>
      </w:r>
      <w:r w:rsidR="006126B9">
        <w:rPr>
          <w:sz w:val="16"/>
          <w:szCs w:val="16"/>
        </w:rPr>
        <w:t>contract values were set out in the intention to award notice published by HHFT on</w:t>
      </w:r>
      <w:r w:rsidR="00602690">
        <w:rPr>
          <w:sz w:val="16"/>
          <w:szCs w:val="16"/>
        </w:rPr>
        <w:t xml:space="preserve"> Find a Tender Service on</w:t>
      </w:r>
      <w:r w:rsidR="006126B9">
        <w:rPr>
          <w:sz w:val="16"/>
          <w:szCs w:val="16"/>
        </w:rPr>
        <w:t xml:space="preserve"> 29 December 2025. </w:t>
      </w:r>
      <w:r w:rsidR="00A74FDF" w:rsidRPr="00A74FDF">
        <w:rPr>
          <w:sz w:val="16"/>
          <w:szCs w:val="16"/>
        </w:rPr>
        <w:t xml:space="preserve">A copy of the notice can be found at </w:t>
      </w:r>
      <w:hyperlink r:id="rId9" w:history="1">
        <w:r w:rsidR="00A74FDF" w:rsidRPr="00A74FDF">
          <w:rPr>
            <w:rStyle w:val="Hyperlink"/>
            <w:sz w:val="16"/>
            <w:szCs w:val="16"/>
          </w:rPr>
          <w:t>https://www.find-tender.service.gov.uk/Notice/086331-2025</w:t>
        </w:r>
      </w:hyperlink>
      <w:r w:rsidR="00A74FDF" w:rsidRPr="00A74FDF">
        <w:rPr>
          <w:sz w:val="16"/>
          <w:szCs w:val="16"/>
        </w:rPr>
        <w:t>.</w:t>
      </w:r>
    </w:p>
  </w:footnote>
  <w:footnote w:id="13">
    <w:p w14:paraId="74DEDD68" w14:textId="77777777" w:rsidR="00562544" w:rsidRPr="005E3256" w:rsidRDefault="00562544" w:rsidP="00562544">
      <w:pPr>
        <w:pStyle w:val="FootnoteText"/>
        <w:rPr>
          <w:sz w:val="16"/>
          <w:szCs w:val="16"/>
        </w:rPr>
      </w:pPr>
      <w:r w:rsidRPr="005E3256">
        <w:rPr>
          <w:rStyle w:val="FootnoteReference"/>
          <w:sz w:val="16"/>
          <w:szCs w:val="16"/>
        </w:rPr>
        <w:footnoteRef/>
      </w:r>
      <w:r w:rsidRPr="005E3256">
        <w:rPr>
          <w:sz w:val="16"/>
          <w:szCs w:val="16"/>
        </w:rPr>
        <w:t xml:space="preserve"> WPL </w:t>
      </w:r>
      <w:r>
        <w:rPr>
          <w:sz w:val="16"/>
          <w:szCs w:val="16"/>
        </w:rPr>
        <w:t xml:space="preserve">is the procurement function for HHFT and University Hospital Southampton NHS Foundation Trust, and </w:t>
      </w:r>
      <w:r w:rsidRPr="005E3256">
        <w:rPr>
          <w:sz w:val="16"/>
          <w:szCs w:val="16"/>
        </w:rPr>
        <w:t>provided support to HHFT in the conduct of the provider selection process</w:t>
      </w:r>
      <w:r>
        <w:rPr>
          <w:sz w:val="16"/>
          <w:szCs w:val="16"/>
        </w:rPr>
        <w:t xml:space="preserve"> for its UTC service</w:t>
      </w:r>
      <w:r w:rsidRPr="005E3256">
        <w:rPr>
          <w:sz w:val="16"/>
          <w:szCs w:val="16"/>
        </w:rPr>
        <w:t>.</w:t>
      </w:r>
    </w:p>
  </w:footnote>
  <w:footnote w:id="14">
    <w:p w14:paraId="487B2BCA" w14:textId="4BA03C7E" w:rsidR="00677FCA" w:rsidRPr="00677FCA" w:rsidRDefault="00677FCA">
      <w:pPr>
        <w:pStyle w:val="FootnoteText"/>
        <w:rPr>
          <w:sz w:val="16"/>
          <w:szCs w:val="16"/>
        </w:rPr>
      </w:pPr>
      <w:r w:rsidRPr="00677FCA">
        <w:rPr>
          <w:rStyle w:val="FootnoteReference"/>
          <w:sz w:val="16"/>
          <w:szCs w:val="16"/>
        </w:rPr>
        <w:footnoteRef/>
      </w:r>
      <w:r w:rsidRPr="00677FCA">
        <w:rPr>
          <w:sz w:val="16"/>
          <w:szCs w:val="16"/>
        </w:rPr>
        <w:t xml:space="preserve"> HHFT, </w:t>
      </w:r>
      <w:r w:rsidR="00B377D6" w:rsidRPr="00B377D6">
        <w:rPr>
          <w:i/>
          <w:iCs/>
          <w:sz w:val="16"/>
          <w:szCs w:val="16"/>
        </w:rPr>
        <w:t>Response to Panel questions,</w:t>
      </w:r>
      <w:r w:rsidR="00B377D6">
        <w:rPr>
          <w:sz w:val="16"/>
          <w:szCs w:val="16"/>
        </w:rPr>
        <w:t xml:space="preserve"> </w:t>
      </w:r>
      <w:r w:rsidR="003C7F8A">
        <w:rPr>
          <w:sz w:val="16"/>
          <w:szCs w:val="16"/>
        </w:rPr>
        <w:t>29 January 2026</w:t>
      </w:r>
      <w:r w:rsidR="00100697">
        <w:rPr>
          <w:sz w:val="16"/>
          <w:szCs w:val="16"/>
        </w:rPr>
        <w:t>.</w:t>
      </w:r>
    </w:p>
  </w:footnote>
  <w:footnote w:id="15">
    <w:p w14:paraId="75057154" w14:textId="77777777" w:rsidR="00FF7CF8" w:rsidRPr="00115ED0" w:rsidRDefault="00FF7CF8" w:rsidP="00FF7CF8">
      <w:pPr>
        <w:pStyle w:val="FootnoteText"/>
        <w:rPr>
          <w:sz w:val="16"/>
          <w:szCs w:val="16"/>
        </w:rPr>
      </w:pPr>
      <w:r w:rsidRPr="00115ED0">
        <w:rPr>
          <w:rStyle w:val="FootnoteReference"/>
          <w:sz w:val="16"/>
          <w:szCs w:val="16"/>
        </w:rPr>
        <w:footnoteRef/>
      </w:r>
      <w:r w:rsidRPr="00115ED0">
        <w:rPr>
          <w:sz w:val="16"/>
          <w:szCs w:val="16"/>
        </w:rPr>
        <w:t xml:space="preserve"> </w:t>
      </w:r>
      <w:r w:rsidRPr="00115ED0">
        <w:rPr>
          <w:sz w:val="16"/>
          <w:szCs w:val="16"/>
        </w:rPr>
        <w:t xml:space="preserve">Atrumed is </w:t>
      </w:r>
      <w:r w:rsidRPr="00C3074C">
        <w:rPr>
          <w:sz w:val="16"/>
          <w:szCs w:val="16"/>
        </w:rPr>
        <w:t xml:space="preserve">a provider of urgent care centres, urgent treatment centres and private GP services. Further information can be found on its website at </w:t>
      </w:r>
      <w:hyperlink r:id="rId10" w:history="1">
        <w:r w:rsidRPr="007C533E">
          <w:rPr>
            <w:rStyle w:val="Hyperlink"/>
            <w:sz w:val="16"/>
            <w:szCs w:val="16"/>
          </w:rPr>
          <w:t>https://atrumedhealthcare.com/</w:t>
        </w:r>
      </w:hyperlink>
      <w:r>
        <w:rPr>
          <w:sz w:val="16"/>
          <w:szCs w:val="16"/>
        </w:rPr>
        <w:t>.</w:t>
      </w:r>
    </w:p>
  </w:footnote>
  <w:footnote w:id="16">
    <w:p w14:paraId="1C73C9F6" w14:textId="4EC866F7" w:rsidR="00DB0092" w:rsidRPr="00BE7327" w:rsidRDefault="00DB0092">
      <w:pPr>
        <w:pStyle w:val="FootnoteText"/>
        <w:rPr>
          <w:sz w:val="16"/>
          <w:szCs w:val="16"/>
        </w:rPr>
      </w:pPr>
      <w:r w:rsidRPr="00BE7327">
        <w:rPr>
          <w:rStyle w:val="FootnoteReference"/>
          <w:sz w:val="16"/>
          <w:szCs w:val="16"/>
        </w:rPr>
        <w:footnoteRef/>
      </w:r>
      <w:r w:rsidRPr="00BE7327">
        <w:rPr>
          <w:sz w:val="16"/>
          <w:szCs w:val="16"/>
        </w:rPr>
        <w:t xml:space="preserve"> HHFT, </w:t>
      </w:r>
      <w:r w:rsidR="00A54E20" w:rsidRPr="00BE7327">
        <w:rPr>
          <w:i/>
          <w:iCs/>
          <w:sz w:val="16"/>
          <w:szCs w:val="16"/>
        </w:rPr>
        <w:t>L</w:t>
      </w:r>
      <w:r w:rsidR="00307D22" w:rsidRPr="00BE7327">
        <w:rPr>
          <w:i/>
          <w:iCs/>
          <w:sz w:val="16"/>
          <w:szCs w:val="16"/>
        </w:rPr>
        <w:t xml:space="preserve">etter to </w:t>
      </w:r>
      <w:r w:rsidR="00307D22" w:rsidRPr="00BE7327">
        <w:rPr>
          <w:i/>
          <w:iCs/>
          <w:sz w:val="16"/>
          <w:szCs w:val="16"/>
        </w:rPr>
        <w:t>Atrumed</w:t>
      </w:r>
      <w:r w:rsidR="00307D22" w:rsidRPr="00BE7327">
        <w:rPr>
          <w:sz w:val="16"/>
          <w:szCs w:val="16"/>
        </w:rPr>
        <w:t>, 29 December 2025.</w:t>
      </w:r>
    </w:p>
  </w:footnote>
  <w:footnote w:id="17">
    <w:p w14:paraId="6288D7D3" w14:textId="716692D1" w:rsidR="00B27352" w:rsidRPr="002A27EF" w:rsidRDefault="00B27352">
      <w:pPr>
        <w:pStyle w:val="FootnoteText"/>
        <w:rPr>
          <w:sz w:val="16"/>
          <w:szCs w:val="16"/>
        </w:rPr>
      </w:pPr>
      <w:r w:rsidRPr="002A27EF">
        <w:rPr>
          <w:rStyle w:val="FootnoteReference"/>
          <w:sz w:val="16"/>
          <w:szCs w:val="16"/>
        </w:rPr>
        <w:footnoteRef/>
      </w:r>
      <w:r w:rsidRPr="002A27EF">
        <w:rPr>
          <w:sz w:val="16"/>
          <w:szCs w:val="16"/>
        </w:rPr>
        <w:t xml:space="preserve"> HHFT, </w:t>
      </w:r>
      <w:r w:rsidR="002F22C9">
        <w:rPr>
          <w:i/>
          <w:iCs/>
          <w:sz w:val="16"/>
          <w:szCs w:val="16"/>
        </w:rPr>
        <w:t>Intention to</w:t>
      </w:r>
      <w:r w:rsidR="00E16F9E" w:rsidRPr="00E16F9E">
        <w:rPr>
          <w:i/>
          <w:iCs/>
          <w:sz w:val="16"/>
          <w:szCs w:val="16"/>
        </w:rPr>
        <w:t xml:space="preserve"> </w:t>
      </w:r>
      <w:r w:rsidR="00DE727F">
        <w:rPr>
          <w:i/>
          <w:iCs/>
          <w:sz w:val="16"/>
          <w:szCs w:val="16"/>
        </w:rPr>
        <w:t>A</w:t>
      </w:r>
      <w:r w:rsidRPr="00E16F9E">
        <w:rPr>
          <w:i/>
          <w:iCs/>
          <w:sz w:val="16"/>
          <w:szCs w:val="16"/>
        </w:rPr>
        <w:t xml:space="preserve">ward </w:t>
      </w:r>
      <w:r w:rsidR="00DE727F">
        <w:rPr>
          <w:i/>
          <w:iCs/>
          <w:sz w:val="16"/>
          <w:szCs w:val="16"/>
        </w:rPr>
        <w:t>N</w:t>
      </w:r>
      <w:r w:rsidRPr="00E16F9E">
        <w:rPr>
          <w:i/>
          <w:iCs/>
          <w:sz w:val="16"/>
          <w:szCs w:val="16"/>
        </w:rPr>
        <w:t xml:space="preserve">otice </w:t>
      </w:r>
      <w:r w:rsidRPr="00E16F9E">
        <w:rPr>
          <w:sz w:val="16"/>
          <w:szCs w:val="16"/>
        </w:rPr>
        <w:t>on</w:t>
      </w:r>
      <w:r w:rsidRPr="00E16F9E">
        <w:rPr>
          <w:i/>
          <w:iCs/>
          <w:sz w:val="16"/>
          <w:szCs w:val="16"/>
        </w:rPr>
        <w:t xml:space="preserve"> Find a Tender Service</w:t>
      </w:r>
      <w:r w:rsidRPr="002A27EF">
        <w:rPr>
          <w:sz w:val="16"/>
          <w:szCs w:val="16"/>
        </w:rPr>
        <w:t xml:space="preserve">, </w:t>
      </w:r>
      <w:r w:rsidR="002A27EF" w:rsidRPr="002A27EF">
        <w:rPr>
          <w:sz w:val="16"/>
          <w:szCs w:val="16"/>
        </w:rPr>
        <w:t>29 December 2025.</w:t>
      </w:r>
      <w:r w:rsidRPr="002A27EF">
        <w:rPr>
          <w:sz w:val="16"/>
          <w:szCs w:val="16"/>
        </w:rPr>
        <w:t xml:space="preserve"> </w:t>
      </w:r>
      <w:r w:rsidR="00687E88" w:rsidRPr="00687E88">
        <w:rPr>
          <w:sz w:val="16"/>
          <w:szCs w:val="16"/>
        </w:rPr>
        <w:t>A copy of the notice can be found a</w:t>
      </w:r>
      <w:r w:rsidR="00687E88">
        <w:rPr>
          <w:sz w:val="16"/>
          <w:szCs w:val="16"/>
        </w:rPr>
        <w:t xml:space="preserve">t </w:t>
      </w:r>
      <w:hyperlink r:id="rId11" w:history="1">
        <w:r w:rsidR="00687E88" w:rsidRPr="00A73F31">
          <w:rPr>
            <w:rStyle w:val="Hyperlink"/>
            <w:sz w:val="16"/>
            <w:szCs w:val="16"/>
          </w:rPr>
          <w:t>https://www.find-tender.service.gov.uk/Notice/086331-2025</w:t>
        </w:r>
      </w:hyperlink>
      <w:r w:rsidR="00687E88">
        <w:rPr>
          <w:sz w:val="16"/>
          <w:szCs w:val="16"/>
        </w:rPr>
        <w:t xml:space="preserve">. </w:t>
      </w:r>
    </w:p>
  </w:footnote>
  <w:footnote w:id="18">
    <w:p w14:paraId="519F56B5" w14:textId="30A1BC7A" w:rsidR="00662683" w:rsidRPr="00B23D35" w:rsidRDefault="00662683">
      <w:pPr>
        <w:pStyle w:val="FootnoteText"/>
        <w:rPr>
          <w:sz w:val="16"/>
          <w:szCs w:val="16"/>
        </w:rPr>
      </w:pPr>
      <w:r w:rsidRPr="00B23D35">
        <w:rPr>
          <w:rStyle w:val="FootnoteReference"/>
          <w:sz w:val="16"/>
          <w:szCs w:val="16"/>
        </w:rPr>
        <w:footnoteRef/>
      </w:r>
      <w:r w:rsidRPr="00B23D35">
        <w:rPr>
          <w:sz w:val="16"/>
          <w:szCs w:val="16"/>
        </w:rPr>
        <w:t xml:space="preserve"> </w:t>
      </w:r>
      <w:r w:rsidR="00B23D35" w:rsidRPr="00B23D35">
        <w:rPr>
          <w:sz w:val="16"/>
          <w:szCs w:val="16"/>
        </w:rPr>
        <w:t xml:space="preserve">NHS England, </w:t>
      </w:r>
      <w:r w:rsidR="00B23D35" w:rsidRPr="00B23D35">
        <w:rPr>
          <w:i/>
          <w:iCs/>
          <w:sz w:val="16"/>
          <w:szCs w:val="16"/>
        </w:rPr>
        <w:t>The Provider Selection Regime: statutory guidance</w:t>
      </w:r>
      <w:r w:rsidR="00B23D35" w:rsidRPr="00B23D35">
        <w:rPr>
          <w:sz w:val="16"/>
          <w:szCs w:val="16"/>
        </w:rPr>
        <w:t>, April 2025.</w:t>
      </w:r>
    </w:p>
  </w:footnote>
  <w:footnote w:id="19">
    <w:p w14:paraId="459C73ED" w14:textId="211C1278" w:rsidR="006F102E" w:rsidRPr="008B5BE2" w:rsidRDefault="006F102E" w:rsidP="006F102E">
      <w:pPr>
        <w:pStyle w:val="FootnoteText"/>
        <w:rPr>
          <w:sz w:val="16"/>
          <w:szCs w:val="16"/>
        </w:rPr>
      </w:pPr>
      <w:r w:rsidRPr="008B5BE2">
        <w:rPr>
          <w:rStyle w:val="FootnoteReference"/>
          <w:sz w:val="16"/>
          <w:szCs w:val="16"/>
        </w:rPr>
        <w:footnoteRef/>
      </w:r>
      <w:r w:rsidRPr="008B5BE2">
        <w:rPr>
          <w:sz w:val="16"/>
          <w:szCs w:val="16"/>
        </w:rPr>
        <w:t xml:space="preserve"> NHS England,</w:t>
      </w:r>
      <w:r w:rsidRPr="008B5BE2">
        <w:rPr>
          <w:i/>
          <w:iCs/>
          <w:sz w:val="16"/>
          <w:szCs w:val="16"/>
        </w:rPr>
        <w:t xml:space="preserve"> The Provider Selection Regime: statutory guidance</w:t>
      </w:r>
      <w:r w:rsidRPr="008B5BE2">
        <w:rPr>
          <w:sz w:val="16"/>
          <w:szCs w:val="16"/>
        </w:rPr>
        <w:t xml:space="preserve">, April 2025, p.11. </w:t>
      </w:r>
      <w:r w:rsidR="008B5BE2" w:rsidRPr="008B5BE2">
        <w:rPr>
          <w:sz w:val="16"/>
          <w:szCs w:val="16"/>
        </w:rPr>
        <w:t xml:space="preserve">The PSR statutory guidance has been amended since the Panel’s </w:t>
      </w:r>
      <w:r w:rsidR="005E4138">
        <w:rPr>
          <w:sz w:val="16"/>
          <w:szCs w:val="16"/>
        </w:rPr>
        <w:t xml:space="preserve">only previous </w:t>
      </w:r>
      <w:r w:rsidR="008B5BE2" w:rsidRPr="008B5BE2">
        <w:rPr>
          <w:sz w:val="16"/>
          <w:szCs w:val="16"/>
        </w:rPr>
        <w:t xml:space="preserve">review of a provider selection decision using the MSP process </w:t>
      </w:r>
      <w:r w:rsidR="005E4138">
        <w:rPr>
          <w:sz w:val="16"/>
          <w:szCs w:val="16"/>
        </w:rPr>
        <w:t>(</w:t>
      </w:r>
      <w:r w:rsidR="00CF5231">
        <w:rPr>
          <w:sz w:val="16"/>
          <w:szCs w:val="16"/>
        </w:rPr>
        <w:t>CR000</w:t>
      </w:r>
      <w:r w:rsidR="00036512">
        <w:rPr>
          <w:sz w:val="16"/>
          <w:szCs w:val="16"/>
        </w:rPr>
        <w:t>4</w:t>
      </w:r>
      <w:r w:rsidR="00CF5231">
        <w:rPr>
          <w:sz w:val="16"/>
          <w:szCs w:val="16"/>
        </w:rPr>
        <w:t xml:space="preserve">-24 </w:t>
      </w:r>
      <w:r w:rsidR="008B5BE2" w:rsidRPr="008B5BE2">
        <w:rPr>
          <w:sz w:val="16"/>
          <w:szCs w:val="16"/>
        </w:rPr>
        <w:t>in September 2024</w:t>
      </w:r>
      <w:r w:rsidR="005E4138">
        <w:rPr>
          <w:sz w:val="16"/>
          <w:szCs w:val="16"/>
        </w:rPr>
        <w:t xml:space="preserve">). </w:t>
      </w:r>
      <w:r w:rsidR="002346AA">
        <w:rPr>
          <w:sz w:val="16"/>
          <w:szCs w:val="16"/>
        </w:rPr>
        <w:t>References to the statutory guidance in this report are to the current version</w:t>
      </w:r>
      <w:r w:rsidR="00AA07E5">
        <w:rPr>
          <w:sz w:val="16"/>
          <w:szCs w:val="16"/>
        </w:rPr>
        <w:t xml:space="preserve"> of the statutory guidance</w:t>
      </w:r>
      <w:r w:rsidR="00CF5231">
        <w:rPr>
          <w:sz w:val="16"/>
          <w:szCs w:val="16"/>
        </w:rPr>
        <w:t>.</w:t>
      </w:r>
    </w:p>
  </w:footnote>
  <w:footnote w:id="20">
    <w:p w14:paraId="6EC3E500" w14:textId="77777777" w:rsidR="00D43174" w:rsidRPr="00F0084C" w:rsidRDefault="00D43174" w:rsidP="00D43174">
      <w:pPr>
        <w:pStyle w:val="FootnoteText"/>
        <w:rPr>
          <w:sz w:val="16"/>
          <w:szCs w:val="16"/>
        </w:rPr>
      </w:pPr>
      <w:r w:rsidRPr="00F0084C">
        <w:rPr>
          <w:rStyle w:val="FootnoteReference"/>
          <w:sz w:val="16"/>
          <w:szCs w:val="16"/>
        </w:rPr>
        <w:footnoteRef/>
      </w:r>
      <w:r w:rsidRPr="00F0084C">
        <w:rPr>
          <w:sz w:val="16"/>
          <w:szCs w:val="16"/>
        </w:rPr>
        <w:t xml:space="preserve"> NHS England,</w:t>
      </w:r>
      <w:r w:rsidRPr="00F0084C">
        <w:rPr>
          <w:i/>
          <w:iCs/>
          <w:sz w:val="16"/>
          <w:szCs w:val="16"/>
        </w:rPr>
        <w:t xml:space="preserve"> The Provider Selection Regime: statutory guidance</w:t>
      </w:r>
      <w:r w:rsidRPr="00F0084C">
        <w:rPr>
          <w:sz w:val="16"/>
          <w:szCs w:val="16"/>
        </w:rPr>
        <w:t>, April 2025, p.1</w:t>
      </w:r>
      <w:r>
        <w:rPr>
          <w:sz w:val="16"/>
          <w:szCs w:val="16"/>
        </w:rPr>
        <w:t>2</w:t>
      </w:r>
      <w:r w:rsidRPr="00F0084C">
        <w:rPr>
          <w:sz w:val="16"/>
          <w:szCs w:val="16"/>
        </w:rPr>
        <w:t>.</w:t>
      </w:r>
    </w:p>
  </w:footnote>
  <w:footnote w:id="21">
    <w:p w14:paraId="63B7F968" w14:textId="29116369" w:rsidR="008A40C6" w:rsidRPr="005E53D3" w:rsidRDefault="008A40C6">
      <w:pPr>
        <w:pStyle w:val="FootnoteText"/>
        <w:rPr>
          <w:sz w:val="16"/>
          <w:szCs w:val="16"/>
        </w:rPr>
      </w:pPr>
      <w:r w:rsidRPr="005E53D3">
        <w:rPr>
          <w:rStyle w:val="FootnoteReference"/>
          <w:sz w:val="16"/>
          <w:szCs w:val="16"/>
        </w:rPr>
        <w:footnoteRef/>
      </w:r>
      <w:r w:rsidRPr="005E53D3">
        <w:rPr>
          <w:sz w:val="16"/>
          <w:szCs w:val="16"/>
        </w:rPr>
        <w:t xml:space="preserve"> Panel meeting with HHFT, </w:t>
      </w:r>
      <w:r w:rsidR="005E53D3" w:rsidRPr="005E53D3">
        <w:rPr>
          <w:sz w:val="16"/>
          <w:szCs w:val="16"/>
        </w:rPr>
        <w:t>3 March 2026.</w:t>
      </w:r>
    </w:p>
  </w:footnote>
  <w:footnote w:id="22">
    <w:p w14:paraId="19E8757C" w14:textId="77777777" w:rsidR="00426FEE" w:rsidRPr="005E53D3" w:rsidRDefault="00426FEE" w:rsidP="00426FEE">
      <w:pPr>
        <w:pStyle w:val="FootnoteText"/>
        <w:rPr>
          <w:sz w:val="16"/>
          <w:szCs w:val="16"/>
        </w:rPr>
      </w:pPr>
      <w:r w:rsidRPr="005E53D3">
        <w:rPr>
          <w:rStyle w:val="FootnoteReference"/>
          <w:sz w:val="16"/>
          <w:szCs w:val="16"/>
        </w:rPr>
        <w:footnoteRef/>
      </w:r>
      <w:r w:rsidRPr="005E53D3">
        <w:rPr>
          <w:sz w:val="16"/>
          <w:szCs w:val="16"/>
        </w:rPr>
        <w:t xml:space="preserve"> Panel meeting with HHFT, 3 March 2026.</w:t>
      </w:r>
    </w:p>
  </w:footnote>
  <w:footnote w:id="23">
    <w:p w14:paraId="31A2D01E" w14:textId="77777777" w:rsidR="00575B6B" w:rsidRPr="00722B16" w:rsidRDefault="00575B6B" w:rsidP="00575B6B">
      <w:pPr>
        <w:pStyle w:val="FootnoteText"/>
        <w:rPr>
          <w:sz w:val="16"/>
          <w:szCs w:val="16"/>
        </w:rPr>
      </w:pPr>
      <w:r w:rsidRPr="00722B16">
        <w:rPr>
          <w:rStyle w:val="FootnoteReference"/>
          <w:sz w:val="16"/>
          <w:szCs w:val="16"/>
        </w:rPr>
        <w:footnoteRef/>
      </w:r>
      <w:r w:rsidRPr="00722B16">
        <w:rPr>
          <w:sz w:val="16"/>
          <w:szCs w:val="16"/>
        </w:rPr>
        <w:t xml:space="preserve"> HHFT, </w:t>
      </w:r>
      <w:r w:rsidRPr="00722B16">
        <w:rPr>
          <w:i/>
          <w:iCs/>
          <w:sz w:val="16"/>
          <w:szCs w:val="16"/>
        </w:rPr>
        <w:t>Response to Panel questions</w:t>
      </w:r>
      <w:r w:rsidRPr="00722B16">
        <w:rPr>
          <w:sz w:val="16"/>
          <w:szCs w:val="16"/>
        </w:rPr>
        <w:t>, 29 January 2026.</w:t>
      </w:r>
    </w:p>
  </w:footnote>
  <w:footnote w:id="24">
    <w:p w14:paraId="3DB9BB43" w14:textId="51835D93" w:rsidR="00843F6A" w:rsidRPr="00843F6A" w:rsidRDefault="00843F6A">
      <w:pPr>
        <w:pStyle w:val="FootnoteText"/>
        <w:rPr>
          <w:sz w:val="16"/>
          <w:szCs w:val="16"/>
        </w:rPr>
      </w:pPr>
      <w:r w:rsidRPr="00843F6A">
        <w:rPr>
          <w:rStyle w:val="FootnoteReference"/>
          <w:sz w:val="16"/>
          <w:szCs w:val="16"/>
        </w:rPr>
        <w:footnoteRef/>
      </w:r>
      <w:r w:rsidRPr="00843F6A">
        <w:rPr>
          <w:sz w:val="16"/>
          <w:szCs w:val="16"/>
        </w:rPr>
        <w:t xml:space="preserve"> NHS England,</w:t>
      </w:r>
      <w:r w:rsidRPr="00843F6A">
        <w:rPr>
          <w:i/>
          <w:iCs/>
          <w:sz w:val="16"/>
          <w:szCs w:val="16"/>
        </w:rPr>
        <w:t xml:space="preserve"> The Provider Selection Regime: statutory guidance</w:t>
      </w:r>
      <w:r w:rsidRPr="00843F6A">
        <w:rPr>
          <w:sz w:val="16"/>
          <w:szCs w:val="16"/>
        </w:rPr>
        <w:t>, April 2025, p.13.</w:t>
      </w:r>
    </w:p>
  </w:footnote>
  <w:footnote w:id="25">
    <w:p w14:paraId="5644E48D" w14:textId="194BFF7B" w:rsidR="001A04FE" w:rsidRPr="001A04FE" w:rsidRDefault="001A04FE">
      <w:pPr>
        <w:pStyle w:val="FootnoteText"/>
        <w:rPr>
          <w:sz w:val="16"/>
          <w:szCs w:val="16"/>
        </w:rPr>
      </w:pPr>
      <w:r w:rsidRPr="001A04FE">
        <w:rPr>
          <w:rStyle w:val="FootnoteReference"/>
          <w:sz w:val="16"/>
          <w:szCs w:val="16"/>
        </w:rPr>
        <w:footnoteRef/>
      </w:r>
      <w:r w:rsidRPr="001A04FE">
        <w:rPr>
          <w:sz w:val="16"/>
          <w:szCs w:val="16"/>
        </w:rPr>
        <w:t xml:space="preserve"> Panel meeting with HHFT, 3 March 2026.</w:t>
      </w:r>
    </w:p>
  </w:footnote>
  <w:footnote w:id="26">
    <w:p w14:paraId="4A455E77" w14:textId="77777777" w:rsidR="0023328D" w:rsidRPr="00EE1BF1" w:rsidRDefault="0023328D" w:rsidP="0023328D">
      <w:pPr>
        <w:pStyle w:val="FootnoteText"/>
        <w:rPr>
          <w:sz w:val="16"/>
          <w:szCs w:val="16"/>
        </w:rPr>
      </w:pPr>
      <w:r w:rsidRPr="00EE1BF1">
        <w:rPr>
          <w:rStyle w:val="FootnoteReference"/>
          <w:sz w:val="16"/>
          <w:szCs w:val="16"/>
        </w:rPr>
        <w:footnoteRef/>
      </w:r>
      <w:r w:rsidRPr="00EE1BF1">
        <w:rPr>
          <w:sz w:val="16"/>
          <w:szCs w:val="16"/>
        </w:rPr>
        <w:t xml:space="preserve"> Panel meeting with HHFT, 3 March 2026.</w:t>
      </w:r>
    </w:p>
  </w:footnote>
  <w:footnote w:id="27">
    <w:p w14:paraId="6230E98B" w14:textId="01B9D079" w:rsidR="00D82CE3" w:rsidRPr="00E4272E" w:rsidRDefault="00D82CE3">
      <w:pPr>
        <w:pStyle w:val="FootnoteText"/>
        <w:rPr>
          <w:sz w:val="16"/>
          <w:szCs w:val="16"/>
        </w:rPr>
      </w:pPr>
      <w:r w:rsidRPr="00E4272E">
        <w:rPr>
          <w:rStyle w:val="FootnoteReference"/>
          <w:sz w:val="16"/>
          <w:szCs w:val="16"/>
        </w:rPr>
        <w:footnoteRef/>
      </w:r>
      <w:r w:rsidRPr="00E4272E">
        <w:rPr>
          <w:sz w:val="16"/>
          <w:szCs w:val="16"/>
        </w:rPr>
        <w:t xml:space="preserve"> HHFT</w:t>
      </w:r>
      <w:r w:rsidR="00BE60FB">
        <w:rPr>
          <w:sz w:val="16"/>
          <w:szCs w:val="16"/>
        </w:rPr>
        <w:t xml:space="preserve">, </w:t>
      </w:r>
      <w:r w:rsidR="00BE60FB" w:rsidRPr="00E4272E">
        <w:rPr>
          <w:i/>
          <w:iCs/>
          <w:sz w:val="16"/>
          <w:szCs w:val="16"/>
        </w:rPr>
        <w:t>E</w:t>
      </w:r>
      <w:r w:rsidRPr="00E4272E">
        <w:rPr>
          <w:i/>
          <w:sz w:val="16"/>
          <w:szCs w:val="16"/>
        </w:rPr>
        <w:t>mail to the Panel</w:t>
      </w:r>
      <w:r w:rsidRPr="00E4272E">
        <w:rPr>
          <w:sz w:val="16"/>
          <w:szCs w:val="16"/>
        </w:rPr>
        <w:t>, 31 March 2026</w:t>
      </w:r>
    </w:p>
  </w:footnote>
  <w:footnote w:id="28">
    <w:p w14:paraId="7E9BA6A6" w14:textId="1C8C5916" w:rsidR="003C1DFB" w:rsidRPr="009F5235" w:rsidRDefault="003C1DFB">
      <w:pPr>
        <w:pStyle w:val="FootnoteText"/>
        <w:rPr>
          <w:sz w:val="16"/>
          <w:szCs w:val="16"/>
        </w:rPr>
      </w:pPr>
      <w:r w:rsidRPr="009F5235">
        <w:rPr>
          <w:rStyle w:val="FootnoteReference"/>
          <w:sz w:val="16"/>
          <w:szCs w:val="16"/>
        </w:rPr>
        <w:footnoteRef/>
      </w:r>
      <w:r w:rsidRPr="009F5235">
        <w:rPr>
          <w:sz w:val="16"/>
          <w:szCs w:val="16"/>
        </w:rPr>
        <w:t xml:space="preserve"> NHUC, in its representations to the Panel, raised concerns that HHFT ran “a competitive process under the auspices of the most suitable provider process” and that it “did not follow the process set out in regulation 10 of the PSR Regulations and the NHS England Statutory Guidance” (see paragraph</w:t>
      </w:r>
      <w:r w:rsidR="002B5D43">
        <w:rPr>
          <w:sz w:val="16"/>
          <w:szCs w:val="16"/>
        </w:rPr>
        <w:t xml:space="preserve"> 39</w:t>
      </w:r>
      <w:r w:rsidRPr="009F5235">
        <w:rPr>
          <w:sz w:val="16"/>
          <w:szCs w:val="16"/>
        </w:rPr>
        <w:t>).</w:t>
      </w:r>
    </w:p>
  </w:footnote>
  <w:footnote w:id="29">
    <w:p w14:paraId="32C81930" w14:textId="77777777" w:rsidR="00FB022C" w:rsidRPr="00B81C74" w:rsidRDefault="00FB022C" w:rsidP="00FB022C">
      <w:pPr>
        <w:pStyle w:val="FootnoteText"/>
        <w:rPr>
          <w:sz w:val="16"/>
          <w:szCs w:val="16"/>
        </w:rPr>
      </w:pPr>
      <w:r w:rsidRPr="00B81C74">
        <w:rPr>
          <w:rStyle w:val="FootnoteReference"/>
          <w:sz w:val="16"/>
          <w:szCs w:val="16"/>
        </w:rPr>
        <w:footnoteRef/>
      </w:r>
      <w:r w:rsidRPr="00B81C74">
        <w:rPr>
          <w:sz w:val="16"/>
          <w:szCs w:val="16"/>
        </w:rPr>
        <w:t xml:space="preserve"> NHS England</w:t>
      </w:r>
      <w:r>
        <w:rPr>
          <w:sz w:val="16"/>
          <w:szCs w:val="16"/>
        </w:rPr>
        <w:t>,</w:t>
      </w:r>
      <w:r w:rsidRPr="00B81C74">
        <w:rPr>
          <w:i/>
          <w:iCs/>
          <w:sz w:val="16"/>
          <w:szCs w:val="16"/>
        </w:rPr>
        <w:t xml:space="preserve"> </w:t>
      </w:r>
      <w:r w:rsidRPr="00B23D35">
        <w:rPr>
          <w:i/>
          <w:iCs/>
          <w:sz w:val="16"/>
          <w:szCs w:val="16"/>
        </w:rPr>
        <w:t>The Provider Selection Regime: statutory guidance</w:t>
      </w:r>
      <w:r w:rsidRPr="00B23D35">
        <w:rPr>
          <w:sz w:val="16"/>
          <w:szCs w:val="16"/>
        </w:rPr>
        <w:t>, April 2025</w:t>
      </w:r>
      <w:r>
        <w:rPr>
          <w:sz w:val="16"/>
          <w:szCs w:val="16"/>
        </w:rPr>
        <w:t>, p.11.</w:t>
      </w:r>
    </w:p>
  </w:footnote>
  <w:footnote w:id="30">
    <w:p w14:paraId="25746E11" w14:textId="79A177C1" w:rsidR="0001755D" w:rsidRPr="009F5235" w:rsidRDefault="0001755D">
      <w:pPr>
        <w:pStyle w:val="FootnoteText"/>
        <w:rPr>
          <w:sz w:val="16"/>
          <w:szCs w:val="16"/>
        </w:rPr>
      </w:pPr>
      <w:r w:rsidRPr="009F5235">
        <w:rPr>
          <w:rStyle w:val="FootnoteReference"/>
          <w:sz w:val="16"/>
          <w:szCs w:val="16"/>
        </w:rPr>
        <w:footnoteRef/>
      </w:r>
      <w:r w:rsidRPr="009F5235">
        <w:rPr>
          <w:sz w:val="16"/>
          <w:szCs w:val="16"/>
        </w:rPr>
        <w:t xml:space="preserve"> The Panel notes that </w:t>
      </w:r>
      <w:r w:rsidR="00340ED1" w:rsidRPr="009F5235">
        <w:rPr>
          <w:sz w:val="16"/>
          <w:szCs w:val="16"/>
        </w:rPr>
        <w:t>HHFT’s</w:t>
      </w:r>
      <w:r w:rsidRPr="009F5235">
        <w:rPr>
          <w:sz w:val="16"/>
          <w:szCs w:val="16"/>
        </w:rPr>
        <w:t xml:space="preserve"> </w:t>
      </w:r>
      <w:r w:rsidR="00340ED1" w:rsidRPr="009F5235">
        <w:rPr>
          <w:sz w:val="16"/>
          <w:szCs w:val="16"/>
        </w:rPr>
        <w:t>service specification for the UTC service contains several references to the conduct of the provider selection process. However, the Panel’s view is that these are less relevant given th</w:t>
      </w:r>
      <w:r w:rsidR="0001067E" w:rsidRPr="009F5235">
        <w:rPr>
          <w:sz w:val="16"/>
          <w:szCs w:val="16"/>
        </w:rPr>
        <w:t>at the primary role of the service specification is to lay out the details of the service that will be delivered rather than how the provider will be selected to deliver that service.</w:t>
      </w:r>
    </w:p>
  </w:footnote>
  <w:footnote w:id="31">
    <w:p w14:paraId="4BF923D8" w14:textId="32403C44" w:rsidR="005D6C52" w:rsidRPr="005D6C52" w:rsidRDefault="005D6C52">
      <w:pPr>
        <w:pStyle w:val="FootnoteText"/>
        <w:rPr>
          <w:sz w:val="16"/>
          <w:szCs w:val="16"/>
        </w:rPr>
      </w:pPr>
      <w:r w:rsidRPr="005D6C52">
        <w:rPr>
          <w:rStyle w:val="FootnoteReference"/>
          <w:sz w:val="16"/>
          <w:szCs w:val="16"/>
        </w:rPr>
        <w:footnoteRef/>
      </w:r>
      <w:r w:rsidRPr="005D6C52">
        <w:rPr>
          <w:sz w:val="16"/>
          <w:szCs w:val="16"/>
        </w:rPr>
        <w:t xml:space="preserve"> HHFT, </w:t>
      </w:r>
      <w:r w:rsidRPr="005D6C52">
        <w:rPr>
          <w:i/>
          <w:iCs/>
          <w:sz w:val="16"/>
          <w:szCs w:val="16"/>
        </w:rPr>
        <w:t>UTC Service Provider Assessment Document</w:t>
      </w:r>
      <w:r w:rsidRPr="005D6C52">
        <w:rPr>
          <w:sz w:val="16"/>
          <w:szCs w:val="16"/>
        </w:rPr>
        <w:t>, October 2025.</w:t>
      </w:r>
    </w:p>
  </w:footnote>
  <w:footnote w:id="32">
    <w:p w14:paraId="60BD123D" w14:textId="77777777" w:rsidR="00615E4E" w:rsidRPr="00925705" w:rsidRDefault="00615E4E" w:rsidP="00615E4E">
      <w:pPr>
        <w:pStyle w:val="FootnoteText"/>
        <w:rPr>
          <w:sz w:val="16"/>
          <w:szCs w:val="16"/>
        </w:rPr>
      </w:pPr>
      <w:r w:rsidRPr="00925705">
        <w:rPr>
          <w:rStyle w:val="FootnoteReference"/>
          <w:sz w:val="16"/>
          <w:szCs w:val="16"/>
        </w:rPr>
        <w:footnoteRef/>
      </w:r>
      <w:r w:rsidRPr="00925705">
        <w:rPr>
          <w:sz w:val="16"/>
          <w:szCs w:val="16"/>
        </w:rPr>
        <w:t xml:space="preserve"> HHFT, </w:t>
      </w:r>
      <w:r w:rsidRPr="00925705">
        <w:rPr>
          <w:i/>
          <w:iCs/>
          <w:sz w:val="16"/>
          <w:szCs w:val="16"/>
        </w:rPr>
        <w:t>UTC Service Provider Assessment Document</w:t>
      </w:r>
      <w:r w:rsidRPr="00925705">
        <w:rPr>
          <w:sz w:val="16"/>
          <w:szCs w:val="16"/>
        </w:rPr>
        <w:t>, October 2025.</w:t>
      </w:r>
    </w:p>
  </w:footnote>
  <w:footnote w:id="33">
    <w:p w14:paraId="4847D11A" w14:textId="5C11D1CB" w:rsidR="009714EC" w:rsidRPr="002051C6" w:rsidRDefault="009714EC" w:rsidP="009714EC">
      <w:pPr>
        <w:pStyle w:val="FootnoteText"/>
        <w:rPr>
          <w:sz w:val="16"/>
          <w:szCs w:val="16"/>
        </w:rPr>
      </w:pPr>
      <w:r w:rsidRPr="002051C6">
        <w:rPr>
          <w:rStyle w:val="FootnoteReference"/>
          <w:sz w:val="16"/>
          <w:szCs w:val="16"/>
        </w:rPr>
        <w:footnoteRef/>
      </w:r>
      <w:r w:rsidRPr="002051C6">
        <w:rPr>
          <w:sz w:val="16"/>
          <w:szCs w:val="16"/>
        </w:rPr>
        <w:t xml:space="preserve"> HHFT, </w:t>
      </w:r>
      <w:r w:rsidRPr="002051C6">
        <w:rPr>
          <w:i/>
          <w:iCs/>
          <w:sz w:val="16"/>
          <w:szCs w:val="16"/>
        </w:rPr>
        <w:t xml:space="preserve">Clarification </w:t>
      </w:r>
      <w:r w:rsidR="00381E09" w:rsidRPr="008232C8">
        <w:rPr>
          <w:i/>
          <w:iCs/>
          <w:sz w:val="16"/>
          <w:szCs w:val="16"/>
        </w:rPr>
        <w:t>Q+A Log</w:t>
      </w:r>
      <w:r w:rsidRPr="002051C6">
        <w:rPr>
          <w:sz w:val="16"/>
          <w:szCs w:val="16"/>
        </w:rPr>
        <w:t>, 27 November 2025.</w:t>
      </w:r>
    </w:p>
  </w:footnote>
  <w:footnote w:id="34">
    <w:p w14:paraId="658F3175" w14:textId="436EDF96" w:rsidR="00946890" w:rsidRPr="00946890" w:rsidRDefault="00946890">
      <w:pPr>
        <w:pStyle w:val="FootnoteText"/>
        <w:rPr>
          <w:sz w:val="16"/>
          <w:szCs w:val="16"/>
        </w:rPr>
      </w:pPr>
      <w:r w:rsidRPr="00946890">
        <w:rPr>
          <w:rStyle w:val="FootnoteReference"/>
          <w:sz w:val="16"/>
          <w:szCs w:val="16"/>
        </w:rPr>
        <w:footnoteRef/>
      </w:r>
      <w:r w:rsidRPr="00946890">
        <w:rPr>
          <w:sz w:val="16"/>
          <w:szCs w:val="16"/>
        </w:rPr>
        <w:t xml:space="preserve"> HHFT, </w:t>
      </w:r>
      <w:r w:rsidRPr="00946890">
        <w:rPr>
          <w:i/>
          <w:iCs/>
          <w:sz w:val="16"/>
          <w:szCs w:val="16"/>
        </w:rPr>
        <w:t>Response to NHUC’s representations</w:t>
      </w:r>
      <w:r w:rsidRPr="00946890">
        <w:rPr>
          <w:sz w:val="16"/>
          <w:szCs w:val="16"/>
        </w:rPr>
        <w:t>, 15 January 2026.</w:t>
      </w:r>
    </w:p>
  </w:footnote>
  <w:footnote w:id="35">
    <w:p w14:paraId="4A513FBB" w14:textId="4B64C39B" w:rsidR="001B2A48" w:rsidRPr="004748C7" w:rsidRDefault="001B2A48">
      <w:pPr>
        <w:pStyle w:val="FootnoteText"/>
        <w:rPr>
          <w:sz w:val="16"/>
          <w:szCs w:val="16"/>
        </w:rPr>
      </w:pPr>
      <w:r w:rsidRPr="004748C7">
        <w:rPr>
          <w:rStyle w:val="FootnoteReference"/>
          <w:sz w:val="16"/>
          <w:szCs w:val="16"/>
        </w:rPr>
        <w:footnoteRef/>
      </w:r>
      <w:r w:rsidRPr="004748C7">
        <w:rPr>
          <w:sz w:val="16"/>
          <w:szCs w:val="16"/>
        </w:rPr>
        <w:t xml:space="preserve"> Panel meeting with HHFT, </w:t>
      </w:r>
      <w:r>
        <w:rPr>
          <w:sz w:val="16"/>
          <w:szCs w:val="16"/>
        </w:rPr>
        <w:t>3 March 2026.</w:t>
      </w:r>
    </w:p>
  </w:footnote>
  <w:footnote w:id="36">
    <w:p w14:paraId="766B9D82" w14:textId="3B39D439" w:rsidR="001A0F75" w:rsidRPr="0023457F" w:rsidRDefault="001A0F75">
      <w:pPr>
        <w:pStyle w:val="FootnoteText"/>
        <w:rPr>
          <w:sz w:val="16"/>
          <w:szCs w:val="16"/>
        </w:rPr>
      </w:pPr>
      <w:r w:rsidRPr="0023457F">
        <w:rPr>
          <w:rStyle w:val="FootnoteReference"/>
          <w:sz w:val="16"/>
          <w:szCs w:val="16"/>
        </w:rPr>
        <w:footnoteRef/>
      </w:r>
      <w:r w:rsidRPr="0023457F">
        <w:rPr>
          <w:sz w:val="16"/>
          <w:szCs w:val="16"/>
        </w:rPr>
        <w:t xml:space="preserve"> HHFT, </w:t>
      </w:r>
      <w:r w:rsidRPr="00307E6F">
        <w:rPr>
          <w:i/>
          <w:iCs/>
          <w:sz w:val="16"/>
          <w:szCs w:val="16"/>
        </w:rPr>
        <w:t xml:space="preserve">Prior </w:t>
      </w:r>
      <w:r w:rsidR="00403294">
        <w:rPr>
          <w:i/>
          <w:iCs/>
          <w:sz w:val="16"/>
          <w:szCs w:val="16"/>
        </w:rPr>
        <w:t>I</w:t>
      </w:r>
      <w:r w:rsidRPr="00307E6F">
        <w:rPr>
          <w:i/>
          <w:iCs/>
          <w:sz w:val="16"/>
          <w:szCs w:val="16"/>
        </w:rPr>
        <w:t xml:space="preserve">nformation </w:t>
      </w:r>
      <w:r w:rsidR="00403294">
        <w:rPr>
          <w:i/>
          <w:iCs/>
          <w:sz w:val="16"/>
          <w:szCs w:val="16"/>
        </w:rPr>
        <w:t>N</w:t>
      </w:r>
      <w:r w:rsidRPr="00307E6F">
        <w:rPr>
          <w:i/>
          <w:iCs/>
          <w:sz w:val="16"/>
          <w:szCs w:val="16"/>
        </w:rPr>
        <w:t>otice</w:t>
      </w:r>
      <w:r w:rsidR="00F82C12" w:rsidRPr="00307E6F">
        <w:rPr>
          <w:i/>
          <w:iCs/>
          <w:sz w:val="16"/>
          <w:szCs w:val="16"/>
        </w:rPr>
        <w:t xml:space="preserve"> </w:t>
      </w:r>
      <w:r w:rsidR="00F82C12" w:rsidRPr="00307E6F">
        <w:rPr>
          <w:sz w:val="16"/>
          <w:szCs w:val="16"/>
        </w:rPr>
        <w:t>on</w:t>
      </w:r>
      <w:r w:rsidR="00F82C12" w:rsidRPr="00307E6F">
        <w:rPr>
          <w:i/>
          <w:iCs/>
          <w:sz w:val="16"/>
          <w:szCs w:val="16"/>
        </w:rPr>
        <w:t xml:space="preserve"> Find a Tender Service</w:t>
      </w:r>
      <w:r w:rsidRPr="0023457F">
        <w:rPr>
          <w:sz w:val="16"/>
          <w:szCs w:val="16"/>
        </w:rPr>
        <w:t xml:space="preserve">, </w:t>
      </w:r>
      <w:r w:rsidR="0023457F" w:rsidRPr="0023457F">
        <w:rPr>
          <w:sz w:val="16"/>
          <w:szCs w:val="16"/>
        </w:rPr>
        <w:t>26 September 2025</w:t>
      </w:r>
      <w:r w:rsidR="00F82C12">
        <w:rPr>
          <w:sz w:val="16"/>
          <w:szCs w:val="16"/>
        </w:rPr>
        <w:t>. A copy of the notice</w:t>
      </w:r>
      <w:r w:rsidR="00307E6F">
        <w:rPr>
          <w:sz w:val="16"/>
          <w:szCs w:val="16"/>
        </w:rPr>
        <w:t xml:space="preserve"> can be found at </w:t>
      </w:r>
      <w:hyperlink r:id="rId12" w:history="1">
        <w:r w:rsidR="0023457F" w:rsidRPr="0023457F">
          <w:rPr>
            <w:rStyle w:val="Hyperlink"/>
            <w:sz w:val="16"/>
            <w:szCs w:val="16"/>
          </w:rPr>
          <w:t>https://www.find-tender.service.gov.uk/Notice/060224-2025</w:t>
        </w:r>
      </w:hyperlink>
      <w:r w:rsidR="0023457F">
        <w:rPr>
          <w:sz w:val="16"/>
          <w:szCs w:val="16"/>
        </w:rPr>
        <w:t>.</w:t>
      </w:r>
    </w:p>
  </w:footnote>
  <w:footnote w:id="37">
    <w:p w14:paraId="0C1E753B" w14:textId="77777777" w:rsidR="008B7094" w:rsidRPr="007B09E1" w:rsidRDefault="008B7094" w:rsidP="008B7094">
      <w:pPr>
        <w:pStyle w:val="FootnoteText"/>
        <w:rPr>
          <w:sz w:val="16"/>
          <w:szCs w:val="16"/>
        </w:rPr>
      </w:pPr>
      <w:r w:rsidRPr="007B09E1">
        <w:rPr>
          <w:rStyle w:val="FootnoteReference"/>
          <w:sz w:val="16"/>
          <w:szCs w:val="16"/>
        </w:rPr>
        <w:footnoteRef/>
      </w:r>
      <w:r w:rsidRPr="007B09E1">
        <w:rPr>
          <w:sz w:val="16"/>
          <w:szCs w:val="16"/>
        </w:rPr>
        <w:t xml:space="preserve"> HHFT, </w:t>
      </w:r>
      <w:r w:rsidRPr="007B09E1">
        <w:rPr>
          <w:i/>
          <w:iCs/>
          <w:sz w:val="16"/>
          <w:szCs w:val="16"/>
        </w:rPr>
        <w:t>UTC Service Specification</w:t>
      </w:r>
      <w:r w:rsidRPr="007B09E1">
        <w:rPr>
          <w:sz w:val="16"/>
          <w:szCs w:val="16"/>
        </w:rPr>
        <w:t>, October 2025.</w:t>
      </w:r>
    </w:p>
  </w:footnote>
  <w:footnote w:id="38">
    <w:p w14:paraId="5C66E751" w14:textId="77777777" w:rsidR="00BA5BF8" w:rsidRPr="000F6572" w:rsidRDefault="00BA5BF8" w:rsidP="00BA5BF8">
      <w:pPr>
        <w:pStyle w:val="FootnoteText"/>
        <w:rPr>
          <w:sz w:val="16"/>
          <w:szCs w:val="16"/>
        </w:rPr>
      </w:pPr>
      <w:r w:rsidRPr="000F6572">
        <w:rPr>
          <w:rStyle w:val="FootnoteReference"/>
          <w:sz w:val="16"/>
          <w:szCs w:val="16"/>
        </w:rPr>
        <w:footnoteRef/>
      </w:r>
      <w:r w:rsidRPr="000F6572">
        <w:rPr>
          <w:sz w:val="16"/>
          <w:szCs w:val="16"/>
        </w:rPr>
        <w:t xml:space="preserve"> HHFT, </w:t>
      </w:r>
      <w:r w:rsidRPr="000F6572">
        <w:rPr>
          <w:i/>
          <w:iCs/>
          <w:sz w:val="16"/>
          <w:szCs w:val="16"/>
        </w:rPr>
        <w:t>UTC Service Provider Assessment Document</w:t>
      </w:r>
      <w:r w:rsidRPr="000F6572">
        <w:rPr>
          <w:sz w:val="16"/>
          <w:szCs w:val="16"/>
        </w:rPr>
        <w:t>, October 2025.</w:t>
      </w:r>
    </w:p>
  </w:footnote>
  <w:footnote w:id="39">
    <w:p w14:paraId="0601959F" w14:textId="2DDCF3A5" w:rsidR="004D2EF6" w:rsidRPr="00281C11" w:rsidRDefault="004D2EF6">
      <w:pPr>
        <w:pStyle w:val="FootnoteText"/>
        <w:rPr>
          <w:sz w:val="16"/>
          <w:szCs w:val="16"/>
        </w:rPr>
      </w:pPr>
      <w:r w:rsidRPr="00281C11">
        <w:rPr>
          <w:rStyle w:val="FootnoteReference"/>
          <w:sz w:val="16"/>
          <w:szCs w:val="16"/>
        </w:rPr>
        <w:footnoteRef/>
      </w:r>
      <w:r w:rsidRPr="00281C11">
        <w:rPr>
          <w:sz w:val="16"/>
          <w:szCs w:val="16"/>
        </w:rPr>
        <w:t xml:space="preserve"> HHFT, </w:t>
      </w:r>
      <w:r w:rsidR="00D35DEC" w:rsidRPr="00281C11">
        <w:rPr>
          <w:i/>
          <w:iCs/>
          <w:sz w:val="16"/>
          <w:szCs w:val="16"/>
        </w:rPr>
        <w:t>Outcome l</w:t>
      </w:r>
      <w:r w:rsidR="008B79CD" w:rsidRPr="00281C11">
        <w:rPr>
          <w:i/>
          <w:iCs/>
          <w:sz w:val="16"/>
          <w:szCs w:val="16"/>
        </w:rPr>
        <w:t xml:space="preserve">etter to </w:t>
      </w:r>
      <w:r w:rsidR="008B79CD" w:rsidRPr="00281C11">
        <w:rPr>
          <w:i/>
          <w:iCs/>
          <w:sz w:val="16"/>
          <w:szCs w:val="16"/>
        </w:rPr>
        <w:t>Atrumed</w:t>
      </w:r>
      <w:r w:rsidR="008B79CD" w:rsidRPr="00281C11">
        <w:rPr>
          <w:sz w:val="16"/>
          <w:szCs w:val="16"/>
        </w:rPr>
        <w:t>, 29 December 2025.</w:t>
      </w:r>
    </w:p>
  </w:footnote>
  <w:footnote w:id="40">
    <w:p w14:paraId="4C84F292" w14:textId="1E53D8F4" w:rsidR="00590E6F" w:rsidRPr="0033140B" w:rsidRDefault="00590E6F" w:rsidP="00590E6F">
      <w:pPr>
        <w:pStyle w:val="FootnoteText"/>
        <w:rPr>
          <w:sz w:val="16"/>
          <w:szCs w:val="16"/>
        </w:rPr>
      </w:pPr>
      <w:r w:rsidRPr="0033140B">
        <w:rPr>
          <w:rStyle w:val="FootnoteReference"/>
          <w:sz w:val="16"/>
          <w:szCs w:val="16"/>
        </w:rPr>
        <w:footnoteRef/>
      </w:r>
      <w:r w:rsidRPr="0033140B">
        <w:rPr>
          <w:sz w:val="16"/>
          <w:szCs w:val="16"/>
        </w:rPr>
        <w:t xml:space="preserve"> </w:t>
      </w:r>
      <w:r w:rsidR="006603E5">
        <w:rPr>
          <w:sz w:val="16"/>
          <w:szCs w:val="16"/>
        </w:rPr>
        <w:t xml:space="preserve">HHFT, </w:t>
      </w:r>
      <w:r w:rsidR="0047240B">
        <w:rPr>
          <w:i/>
          <w:iCs/>
          <w:sz w:val="16"/>
          <w:szCs w:val="16"/>
        </w:rPr>
        <w:t>Intention to</w:t>
      </w:r>
      <w:r w:rsidR="006603E5" w:rsidRPr="006603E5">
        <w:rPr>
          <w:i/>
          <w:iCs/>
          <w:sz w:val="16"/>
          <w:szCs w:val="16"/>
        </w:rPr>
        <w:t xml:space="preserve"> </w:t>
      </w:r>
      <w:r w:rsidR="00403294">
        <w:rPr>
          <w:i/>
          <w:iCs/>
          <w:sz w:val="16"/>
          <w:szCs w:val="16"/>
        </w:rPr>
        <w:t>A</w:t>
      </w:r>
      <w:r w:rsidR="006603E5" w:rsidRPr="006603E5">
        <w:rPr>
          <w:i/>
          <w:iCs/>
          <w:sz w:val="16"/>
          <w:szCs w:val="16"/>
        </w:rPr>
        <w:t xml:space="preserve">ward </w:t>
      </w:r>
      <w:r w:rsidR="00403294">
        <w:rPr>
          <w:i/>
          <w:iCs/>
          <w:sz w:val="16"/>
          <w:szCs w:val="16"/>
        </w:rPr>
        <w:t>N</w:t>
      </w:r>
      <w:r w:rsidR="006603E5" w:rsidRPr="006603E5">
        <w:rPr>
          <w:i/>
          <w:iCs/>
          <w:sz w:val="16"/>
          <w:szCs w:val="16"/>
        </w:rPr>
        <w:t xml:space="preserve">otice </w:t>
      </w:r>
      <w:r w:rsidR="006603E5" w:rsidRPr="006603E5">
        <w:rPr>
          <w:sz w:val="16"/>
          <w:szCs w:val="16"/>
        </w:rPr>
        <w:t>on</w:t>
      </w:r>
      <w:r w:rsidR="006603E5" w:rsidRPr="006603E5">
        <w:rPr>
          <w:i/>
          <w:iCs/>
          <w:sz w:val="16"/>
          <w:szCs w:val="16"/>
        </w:rPr>
        <w:t xml:space="preserve"> Find a Tender Service</w:t>
      </w:r>
      <w:r w:rsidR="006603E5">
        <w:rPr>
          <w:sz w:val="16"/>
          <w:szCs w:val="16"/>
        </w:rPr>
        <w:t xml:space="preserve">, 29 December 2025. </w:t>
      </w:r>
      <w:r w:rsidRPr="0033140B">
        <w:rPr>
          <w:sz w:val="16"/>
          <w:szCs w:val="16"/>
        </w:rPr>
        <w:t xml:space="preserve">A copy of the notice can be found at </w:t>
      </w:r>
      <w:hyperlink r:id="rId13" w:history="1">
        <w:r w:rsidRPr="0033140B">
          <w:rPr>
            <w:rStyle w:val="Hyperlink"/>
            <w:sz w:val="16"/>
            <w:szCs w:val="16"/>
          </w:rPr>
          <w:t>https://www.find-tender.service.gov.uk/Notice/086331-2025</w:t>
        </w:r>
      </w:hyperlink>
      <w:r w:rsidRPr="0033140B">
        <w:rPr>
          <w:sz w:val="16"/>
          <w:szCs w:val="16"/>
        </w:rPr>
        <w:t>.</w:t>
      </w:r>
    </w:p>
  </w:footnote>
  <w:footnote w:id="41">
    <w:p w14:paraId="146C0137" w14:textId="77777777" w:rsidR="0017260C" w:rsidRPr="00953B72" w:rsidRDefault="0017260C" w:rsidP="0017260C">
      <w:pPr>
        <w:pStyle w:val="FootnoteText"/>
        <w:rPr>
          <w:sz w:val="16"/>
          <w:szCs w:val="16"/>
        </w:rPr>
      </w:pPr>
      <w:r w:rsidRPr="00953B72">
        <w:rPr>
          <w:rStyle w:val="FootnoteReference"/>
          <w:sz w:val="16"/>
          <w:szCs w:val="16"/>
        </w:rPr>
        <w:footnoteRef/>
      </w:r>
      <w:r w:rsidRPr="00953B72">
        <w:rPr>
          <w:sz w:val="16"/>
          <w:szCs w:val="16"/>
        </w:rPr>
        <w:t xml:space="preserve"> HHFT, </w:t>
      </w:r>
      <w:r w:rsidRPr="00953B72">
        <w:rPr>
          <w:i/>
          <w:iCs/>
          <w:sz w:val="16"/>
          <w:szCs w:val="16"/>
        </w:rPr>
        <w:t>Response to Panel Questions</w:t>
      </w:r>
      <w:r w:rsidRPr="00953B72">
        <w:rPr>
          <w:sz w:val="16"/>
          <w:szCs w:val="16"/>
        </w:rPr>
        <w:t>, 29 January 2026.</w:t>
      </w:r>
    </w:p>
  </w:footnote>
  <w:footnote w:id="42">
    <w:p w14:paraId="1F5B4CB4" w14:textId="77777777" w:rsidR="007C0BD7" w:rsidRPr="00953B72" w:rsidRDefault="007C0BD7" w:rsidP="007C0BD7">
      <w:pPr>
        <w:pStyle w:val="FootnoteText"/>
        <w:rPr>
          <w:sz w:val="16"/>
          <w:szCs w:val="16"/>
        </w:rPr>
      </w:pPr>
      <w:r w:rsidRPr="00953B72">
        <w:rPr>
          <w:rStyle w:val="FootnoteReference"/>
          <w:sz w:val="16"/>
          <w:szCs w:val="16"/>
        </w:rPr>
        <w:footnoteRef/>
      </w:r>
      <w:r w:rsidRPr="00953B72">
        <w:rPr>
          <w:sz w:val="16"/>
          <w:szCs w:val="16"/>
        </w:rPr>
        <w:t xml:space="preserve"> HHFT, </w:t>
      </w:r>
      <w:r w:rsidRPr="00953B72">
        <w:rPr>
          <w:i/>
          <w:iCs/>
          <w:sz w:val="16"/>
          <w:szCs w:val="16"/>
        </w:rPr>
        <w:t>Response to Panel Questions</w:t>
      </w:r>
      <w:r w:rsidRPr="00953B72">
        <w:rPr>
          <w:sz w:val="16"/>
          <w:szCs w:val="16"/>
        </w:rPr>
        <w:t xml:space="preserve">, </w:t>
      </w:r>
      <w:r>
        <w:rPr>
          <w:sz w:val="16"/>
          <w:szCs w:val="16"/>
        </w:rPr>
        <w:t xml:space="preserve">6 February </w:t>
      </w:r>
      <w:r w:rsidRPr="00953B72">
        <w:rPr>
          <w:sz w:val="16"/>
          <w:szCs w:val="16"/>
        </w:rPr>
        <w:t>2026.</w:t>
      </w:r>
    </w:p>
  </w:footnote>
  <w:footnote w:id="43">
    <w:p w14:paraId="66B5F535" w14:textId="77777777" w:rsidR="00E51725" w:rsidRPr="00D57EFD" w:rsidRDefault="00E51725" w:rsidP="00E51725">
      <w:pPr>
        <w:pStyle w:val="FootnoteText"/>
        <w:rPr>
          <w:sz w:val="16"/>
          <w:szCs w:val="16"/>
        </w:rPr>
      </w:pPr>
      <w:r w:rsidRPr="00D57EFD">
        <w:rPr>
          <w:rStyle w:val="FootnoteReference"/>
          <w:sz w:val="16"/>
          <w:szCs w:val="16"/>
        </w:rPr>
        <w:footnoteRef/>
      </w:r>
      <w:r w:rsidRPr="00D57EFD">
        <w:rPr>
          <w:sz w:val="16"/>
          <w:szCs w:val="16"/>
        </w:rPr>
        <w:t xml:space="preserve"> </w:t>
      </w:r>
      <w:r>
        <w:rPr>
          <w:sz w:val="16"/>
          <w:szCs w:val="16"/>
        </w:rPr>
        <w:t xml:space="preserve">HHFT, </w:t>
      </w:r>
      <w:r w:rsidRPr="00CF56E0">
        <w:rPr>
          <w:i/>
          <w:iCs/>
          <w:sz w:val="16"/>
          <w:szCs w:val="16"/>
        </w:rPr>
        <w:t>Response to Panel questions</w:t>
      </w:r>
      <w:r>
        <w:rPr>
          <w:sz w:val="16"/>
          <w:szCs w:val="16"/>
        </w:rPr>
        <w:t>, 6 February 2026.</w:t>
      </w:r>
    </w:p>
  </w:footnote>
  <w:footnote w:id="44">
    <w:p w14:paraId="441C5AD6" w14:textId="5DA9CAA5" w:rsidR="008E5A9F" w:rsidRPr="00953B72" w:rsidRDefault="008E5A9F" w:rsidP="008E5A9F">
      <w:pPr>
        <w:pStyle w:val="FootnoteText"/>
        <w:rPr>
          <w:sz w:val="16"/>
          <w:szCs w:val="16"/>
        </w:rPr>
      </w:pPr>
      <w:r w:rsidRPr="00953B72">
        <w:rPr>
          <w:rStyle w:val="FootnoteReference"/>
          <w:sz w:val="16"/>
          <w:szCs w:val="16"/>
        </w:rPr>
        <w:footnoteRef/>
      </w:r>
      <w:r w:rsidRPr="00953B72">
        <w:rPr>
          <w:sz w:val="16"/>
          <w:szCs w:val="16"/>
        </w:rPr>
        <w:t xml:space="preserve"> HHFT, </w:t>
      </w:r>
      <w:r w:rsidRPr="00953B72">
        <w:rPr>
          <w:i/>
          <w:iCs/>
          <w:sz w:val="16"/>
          <w:szCs w:val="16"/>
        </w:rPr>
        <w:t>Response to Panel Questions</w:t>
      </w:r>
      <w:r w:rsidRPr="00953B72">
        <w:rPr>
          <w:sz w:val="16"/>
          <w:szCs w:val="16"/>
        </w:rPr>
        <w:t xml:space="preserve">, </w:t>
      </w:r>
      <w:r>
        <w:rPr>
          <w:sz w:val="16"/>
          <w:szCs w:val="16"/>
        </w:rPr>
        <w:t xml:space="preserve">6 February </w:t>
      </w:r>
      <w:r w:rsidRPr="00953B72">
        <w:rPr>
          <w:sz w:val="16"/>
          <w:szCs w:val="16"/>
        </w:rPr>
        <w:t>2026.</w:t>
      </w:r>
    </w:p>
  </w:footnote>
  <w:footnote w:id="45">
    <w:p w14:paraId="639F6894" w14:textId="6329C4D9" w:rsidR="000A0B6C" w:rsidRPr="009F5235" w:rsidRDefault="000A0B6C">
      <w:pPr>
        <w:pStyle w:val="FootnoteText"/>
        <w:rPr>
          <w:sz w:val="16"/>
          <w:szCs w:val="16"/>
        </w:rPr>
      </w:pPr>
      <w:r w:rsidRPr="009F5235">
        <w:rPr>
          <w:rStyle w:val="FootnoteReference"/>
          <w:sz w:val="16"/>
          <w:szCs w:val="16"/>
        </w:rPr>
        <w:footnoteRef/>
      </w:r>
      <w:r w:rsidRPr="009F5235">
        <w:rPr>
          <w:sz w:val="16"/>
          <w:szCs w:val="16"/>
        </w:rPr>
        <w:t xml:space="preserve"> HHFT, </w:t>
      </w:r>
      <w:r w:rsidRPr="009F5235">
        <w:rPr>
          <w:i/>
          <w:iCs/>
          <w:sz w:val="16"/>
          <w:szCs w:val="16"/>
        </w:rPr>
        <w:t>Email to the Panel</w:t>
      </w:r>
      <w:r w:rsidRPr="009F5235">
        <w:rPr>
          <w:sz w:val="16"/>
          <w:szCs w:val="16"/>
        </w:rPr>
        <w:t xml:space="preserve">, </w:t>
      </w:r>
      <w:r w:rsidR="00EF47BD">
        <w:rPr>
          <w:sz w:val="16"/>
          <w:szCs w:val="16"/>
        </w:rPr>
        <w:t>6 March 2025</w:t>
      </w:r>
      <w:r w:rsidRPr="009F5235">
        <w:rPr>
          <w:sz w:val="16"/>
          <w:szCs w:val="16"/>
        </w:rPr>
        <w:t>.</w:t>
      </w:r>
    </w:p>
  </w:footnote>
  <w:footnote w:id="46">
    <w:p w14:paraId="54F77A0D" w14:textId="4135274F" w:rsidR="00F73051" w:rsidRPr="001E2358" w:rsidRDefault="00F73051">
      <w:pPr>
        <w:pStyle w:val="FootnoteText"/>
        <w:rPr>
          <w:sz w:val="16"/>
          <w:szCs w:val="16"/>
        </w:rPr>
      </w:pPr>
      <w:r w:rsidRPr="001E2358">
        <w:rPr>
          <w:rStyle w:val="FootnoteReference"/>
          <w:sz w:val="16"/>
          <w:szCs w:val="16"/>
        </w:rPr>
        <w:footnoteRef/>
      </w:r>
      <w:r w:rsidRPr="001E2358">
        <w:rPr>
          <w:sz w:val="16"/>
          <w:szCs w:val="16"/>
        </w:rPr>
        <w:t xml:space="preserve"> There are some limited exceptions to this requirement, primarily in relation to </w:t>
      </w:r>
      <w:r w:rsidR="0012447B" w:rsidRPr="001E2358">
        <w:rPr>
          <w:sz w:val="16"/>
          <w:szCs w:val="16"/>
        </w:rPr>
        <w:t>contract awards under framework agreements, that do not apply in this case.</w:t>
      </w:r>
    </w:p>
  </w:footnote>
  <w:footnote w:id="47">
    <w:p w14:paraId="3B77EFB0" w14:textId="64D3DFC3" w:rsidR="0079279F" w:rsidRPr="009F5235" w:rsidRDefault="0079279F">
      <w:pPr>
        <w:pStyle w:val="FootnoteText"/>
        <w:rPr>
          <w:sz w:val="16"/>
          <w:szCs w:val="16"/>
        </w:rPr>
      </w:pPr>
      <w:r w:rsidRPr="009F5235">
        <w:rPr>
          <w:rStyle w:val="FootnoteReference"/>
          <w:sz w:val="16"/>
          <w:szCs w:val="16"/>
        </w:rPr>
        <w:footnoteRef/>
      </w:r>
      <w:r w:rsidRPr="009F5235">
        <w:rPr>
          <w:sz w:val="16"/>
          <w:szCs w:val="16"/>
        </w:rPr>
        <w:t xml:space="preserve"> HHFT, </w:t>
      </w:r>
      <w:r w:rsidRPr="009F5235">
        <w:rPr>
          <w:i/>
          <w:iCs/>
          <w:sz w:val="16"/>
          <w:szCs w:val="16"/>
        </w:rPr>
        <w:t>Email to the Panel</w:t>
      </w:r>
      <w:r w:rsidRPr="009F5235">
        <w:rPr>
          <w:sz w:val="16"/>
          <w:szCs w:val="16"/>
        </w:rPr>
        <w:t>, 6 March 2025.</w:t>
      </w:r>
    </w:p>
  </w:footnote>
  <w:footnote w:id="48">
    <w:p w14:paraId="3E6078FF" w14:textId="77777777" w:rsidR="00C821A9" w:rsidRPr="00422F9C" w:rsidRDefault="00C821A9" w:rsidP="00C821A9">
      <w:pPr>
        <w:pStyle w:val="FootnoteText"/>
        <w:rPr>
          <w:sz w:val="16"/>
          <w:szCs w:val="16"/>
        </w:rPr>
      </w:pPr>
      <w:r w:rsidRPr="00422F9C">
        <w:rPr>
          <w:rStyle w:val="FootnoteReference"/>
          <w:sz w:val="16"/>
          <w:szCs w:val="16"/>
        </w:rPr>
        <w:footnoteRef/>
      </w:r>
      <w:r w:rsidRPr="00422F9C">
        <w:rPr>
          <w:sz w:val="16"/>
          <w:szCs w:val="16"/>
        </w:rPr>
        <w:t xml:space="preserve"> NHS England,</w:t>
      </w:r>
      <w:r w:rsidRPr="00422F9C">
        <w:rPr>
          <w:i/>
          <w:iCs/>
          <w:sz w:val="16"/>
          <w:szCs w:val="16"/>
        </w:rPr>
        <w:t xml:space="preserve"> The Provider Selection Regime: statutory guidance</w:t>
      </w:r>
      <w:r w:rsidRPr="00422F9C">
        <w:rPr>
          <w:sz w:val="16"/>
          <w:szCs w:val="16"/>
        </w:rPr>
        <w:t>, April 2025, p.11.</w:t>
      </w:r>
    </w:p>
  </w:footnote>
  <w:footnote w:id="49">
    <w:p w14:paraId="1765CB4E" w14:textId="77777777" w:rsidR="00BF08EF" w:rsidRPr="008232C8" w:rsidRDefault="00BF08EF" w:rsidP="00BF08EF">
      <w:pPr>
        <w:pStyle w:val="FootnoteText"/>
        <w:rPr>
          <w:sz w:val="16"/>
          <w:szCs w:val="16"/>
        </w:rPr>
      </w:pPr>
      <w:r w:rsidRPr="008232C8">
        <w:rPr>
          <w:rStyle w:val="FootnoteReference"/>
          <w:sz w:val="16"/>
          <w:szCs w:val="16"/>
        </w:rPr>
        <w:footnoteRef/>
      </w:r>
      <w:r w:rsidRPr="008232C8">
        <w:rPr>
          <w:sz w:val="16"/>
          <w:szCs w:val="16"/>
        </w:rPr>
        <w:t xml:space="preserve"> HHFT, </w:t>
      </w:r>
      <w:r w:rsidRPr="008232C8">
        <w:rPr>
          <w:i/>
          <w:iCs/>
          <w:sz w:val="16"/>
          <w:szCs w:val="16"/>
        </w:rPr>
        <w:t>Clarification Q+A Log</w:t>
      </w:r>
      <w:r w:rsidRPr="008232C8">
        <w:rPr>
          <w:sz w:val="16"/>
          <w:szCs w:val="16"/>
        </w:rPr>
        <w:t>, 27 November 2025.</w:t>
      </w:r>
    </w:p>
  </w:footnote>
  <w:footnote w:id="50">
    <w:p w14:paraId="554C0CA5" w14:textId="70EB1594" w:rsidR="00666654" w:rsidRPr="00666654" w:rsidRDefault="00666654">
      <w:pPr>
        <w:pStyle w:val="FootnoteText"/>
        <w:rPr>
          <w:sz w:val="16"/>
          <w:szCs w:val="16"/>
        </w:rPr>
      </w:pPr>
      <w:r w:rsidRPr="00666654">
        <w:rPr>
          <w:rStyle w:val="FootnoteReference"/>
          <w:sz w:val="16"/>
          <w:szCs w:val="16"/>
        </w:rPr>
        <w:footnoteRef/>
      </w:r>
      <w:r w:rsidRPr="00666654">
        <w:rPr>
          <w:sz w:val="16"/>
          <w:szCs w:val="16"/>
        </w:rPr>
        <w:t xml:space="preserve"> HHFT, </w:t>
      </w:r>
      <w:r w:rsidRPr="00666654">
        <w:rPr>
          <w:i/>
          <w:iCs/>
          <w:sz w:val="16"/>
          <w:szCs w:val="16"/>
        </w:rPr>
        <w:t>Response to Panel questions</w:t>
      </w:r>
      <w:r w:rsidRPr="00666654">
        <w:rPr>
          <w:sz w:val="16"/>
          <w:szCs w:val="16"/>
        </w:rPr>
        <w:t>, 2 March 2026.</w:t>
      </w:r>
    </w:p>
  </w:footnote>
  <w:footnote w:id="51">
    <w:p w14:paraId="24505A42" w14:textId="60D3954B" w:rsidR="00067A9D" w:rsidRPr="00A721FB" w:rsidRDefault="00067A9D" w:rsidP="00067A9D">
      <w:pPr>
        <w:pStyle w:val="FootnoteText"/>
        <w:rPr>
          <w:rFonts w:cs="Arial"/>
          <w:sz w:val="16"/>
          <w:szCs w:val="16"/>
        </w:rPr>
      </w:pPr>
      <w:r w:rsidRPr="00A721FB">
        <w:rPr>
          <w:rStyle w:val="FootnoteReference"/>
          <w:rFonts w:cs="Arial"/>
          <w:sz w:val="16"/>
          <w:szCs w:val="16"/>
        </w:rPr>
        <w:footnoteRef/>
      </w:r>
      <w:r w:rsidRPr="00A721FB">
        <w:rPr>
          <w:rFonts w:cs="Arial"/>
          <w:sz w:val="16"/>
          <w:szCs w:val="16"/>
        </w:rPr>
        <w:t xml:space="preserve"> </w:t>
      </w:r>
      <w:r w:rsidR="007C3AC4">
        <w:rPr>
          <w:rFonts w:cs="Arial"/>
          <w:sz w:val="16"/>
          <w:szCs w:val="16"/>
        </w:rPr>
        <w:t>IPCPP,</w:t>
      </w:r>
      <w:r w:rsidRPr="00A721FB">
        <w:rPr>
          <w:rFonts w:cs="Arial"/>
          <w:sz w:val="16"/>
          <w:szCs w:val="16"/>
        </w:rPr>
        <w:t xml:space="preserve"> </w:t>
      </w:r>
      <w:r w:rsidRPr="00281C11">
        <w:rPr>
          <w:rFonts w:cs="Arial"/>
          <w:i/>
          <w:sz w:val="16"/>
          <w:szCs w:val="16"/>
        </w:rPr>
        <w:t xml:space="preserve">Community Aural </w:t>
      </w:r>
      <w:r w:rsidRPr="00281C11">
        <w:rPr>
          <w:rFonts w:cs="Arial"/>
          <w:i/>
          <w:sz w:val="16"/>
          <w:szCs w:val="16"/>
        </w:rPr>
        <w:t>Microsuction Service for Norfolk and Waveney (CR0011-25),</w:t>
      </w:r>
      <w:r>
        <w:rPr>
          <w:rFonts w:cs="Arial"/>
          <w:sz w:val="16"/>
          <w:szCs w:val="16"/>
        </w:rPr>
        <w:t xml:space="preserve"> </w:t>
      </w:r>
      <w:r w:rsidR="003E4463">
        <w:rPr>
          <w:rFonts w:cs="Arial"/>
          <w:sz w:val="16"/>
          <w:szCs w:val="16"/>
        </w:rPr>
        <w:t>8 April 2025</w:t>
      </w:r>
      <w:r w:rsidR="00BC3234">
        <w:rPr>
          <w:rFonts w:cs="Arial"/>
          <w:sz w:val="16"/>
          <w:szCs w:val="16"/>
        </w:rPr>
        <w:t xml:space="preserve">; </w:t>
      </w:r>
      <w:r w:rsidR="007C3AC4">
        <w:rPr>
          <w:rFonts w:cs="Arial"/>
          <w:sz w:val="16"/>
          <w:szCs w:val="16"/>
        </w:rPr>
        <w:t>IPCPP</w:t>
      </w:r>
      <w:r w:rsidR="007C3AC4" w:rsidRPr="000D1DF8">
        <w:rPr>
          <w:rFonts w:cs="Arial"/>
          <w:i/>
          <w:iCs/>
          <w:sz w:val="16"/>
          <w:szCs w:val="16"/>
        </w:rPr>
        <w:t>,</w:t>
      </w:r>
      <w:r w:rsidR="00C64E73" w:rsidRPr="000D1DF8">
        <w:rPr>
          <w:rFonts w:cs="Arial"/>
          <w:i/>
          <w:iCs/>
          <w:sz w:val="16"/>
          <w:szCs w:val="16"/>
        </w:rPr>
        <w:t xml:space="preserve"> </w:t>
      </w:r>
      <w:r w:rsidRPr="000D1DF8">
        <w:rPr>
          <w:rFonts w:cs="Arial"/>
          <w:i/>
          <w:iCs/>
          <w:sz w:val="16"/>
          <w:szCs w:val="16"/>
        </w:rPr>
        <w:t xml:space="preserve">Intermediate Minor Oral Surgery Services for Yorkshire and the </w:t>
      </w:r>
      <w:r w:rsidRPr="00B44674">
        <w:rPr>
          <w:rFonts w:cs="Arial"/>
          <w:i/>
          <w:iCs/>
          <w:sz w:val="16"/>
          <w:szCs w:val="16"/>
        </w:rPr>
        <w:t>Humber (CR0013-25 and CR0014-25)</w:t>
      </w:r>
      <w:r w:rsidR="003E4463" w:rsidRPr="003E4463">
        <w:rPr>
          <w:rFonts w:cs="Arial"/>
          <w:sz w:val="16"/>
          <w:szCs w:val="16"/>
        </w:rPr>
        <w:t>, 27</w:t>
      </w:r>
      <w:r w:rsidR="003E4463">
        <w:rPr>
          <w:rFonts w:cs="Arial"/>
          <w:sz w:val="16"/>
          <w:szCs w:val="16"/>
        </w:rPr>
        <w:t xml:space="preserve"> May 2025.</w:t>
      </w:r>
    </w:p>
  </w:footnote>
  <w:footnote w:id="52">
    <w:p w14:paraId="6A57D6BF" w14:textId="2B60BEEB" w:rsidR="007C3AC4" w:rsidRDefault="007C3AC4">
      <w:pPr>
        <w:pStyle w:val="FootnoteText"/>
      </w:pPr>
      <w:r w:rsidRPr="00281C11">
        <w:rPr>
          <w:rStyle w:val="FootnoteReference"/>
          <w:sz w:val="16"/>
          <w:szCs w:val="16"/>
        </w:rPr>
        <w:footnoteRef/>
      </w:r>
      <w:r w:rsidRPr="00281C11">
        <w:rPr>
          <w:sz w:val="16"/>
          <w:szCs w:val="16"/>
        </w:rPr>
        <w:t xml:space="preserve"> IPCPP, </w:t>
      </w:r>
      <w:r w:rsidRPr="00281C11">
        <w:rPr>
          <w:i/>
          <w:sz w:val="16"/>
          <w:szCs w:val="16"/>
        </w:rPr>
        <w:t>Targeted lung healthcare checks for Shropshire, Telford and Wrekin (CR0015-25),</w:t>
      </w:r>
      <w:r w:rsidRPr="00281C11">
        <w:rPr>
          <w:sz w:val="16"/>
          <w:szCs w:val="16"/>
        </w:rPr>
        <w:t xml:space="preserve"> 19 May 2025; </w:t>
      </w:r>
      <w:r w:rsidR="00AA76E7" w:rsidRPr="00281C11">
        <w:rPr>
          <w:sz w:val="16"/>
          <w:szCs w:val="16"/>
        </w:rPr>
        <w:t>IPCPP,</w:t>
      </w:r>
      <w:r w:rsidRPr="00281C11">
        <w:rPr>
          <w:sz w:val="16"/>
          <w:szCs w:val="16"/>
        </w:rPr>
        <w:t xml:space="preserve"> </w:t>
      </w:r>
      <w:r w:rsidRPr="00281C11">
        <w:rPr>
          <w:i/>
          <w:sz w:val="16"/>
          <w:szCs w:val="16"/>
        </w:rPr>
        <w:t>Primary care partner for urgent treatment centre at University Hospital Lewisham</w:t>
      </w:r>
      <w:r w:rsidR="00AA76E7" w:rsidRPr="00281C11">
        <w:rPr>
          <w:i/>
          <w:sz w:val="16"/>
          <w:szCs w:val="16"/>
        </w:rPr>
        <w:t xml:space="preserve"> (CR0018-25)</w:t>
      </w:r>
      <w:r w:rsidRPr="00281C11">
        <w:rPr>
          <w:i/>
          <w:sz w:val="16"/>
          <w:szCs w:val="16"/>
        </w:rPr>
        <w:t>,</w:t>
      </w:r>
      <w:r w:rsidRPr="00281C11">
        <w:rPr>
          <w:sz w:val="16"/>
          <w:szCs w:val="16"/>
        </w:rPr>
        <w:t xml:space="preserve"> 27 May 2025</w:t>
      </w:r>
      <w:r w:rsidR="00AA76E7" w:rsidRPr="00281C11">
        <w:rPr>
          <w:sz w:val="16"/>
          <w:szCs w:val="16"/>
        </w:rPr>
        <w:t>; IPCPP,</w:t>
      </w:r>
      <w:r w:rsidR="00B043BA" w:rsidRPr="00281C11">
        <w:rPr>
          <w:sz w:val="16"/>
          <w:szCs w:val="16"/>
        </w:rPr>
        <w:t xml:space="preserve"> </w:t>
      </w:r>
      <w:r w:rsidR="00B043BA" w:rsidRPr="00281C11">
        <w:rPr>
          <w:i/>
          <w:sz w:val="16"/>
          <w:szCs w:val="16"/>
        </w:rPr>
        <w:t>Talking Therapies and Psychological Therapies for Severe Mental Health Problems for Mid and South Essex (CR0021-25</w:t>
      </w:r>
      <w:r w:rsidR="00AA76E7" w:rsidRPr="00281C11">
        <w:rPr>
          <w:i/>
          <w:sz w:val="16"/>
          <w:szCs w:val="16"/>
        </w:rPr>
        <w:t xml:space="preserve"> </w:t>
      </w:r>
      <w:r w:rsidR="00B358AE">
        <w:rPr>
          <w:i/>
          <w:iCs/>
          <w:sz w:val="16"/>
          <w:szCs w:val="16"/>
        </w:rPr>
        <w:t>and</w:t>
      </w:r>
      <w:r w:rsidR="00B358AE" w:rsidRPr="00281C11">
        <w:rPr>
          <w:i/>
          <w:iCs/>
          <w:sz w:val="16"/>
          <w:szCs w:val="16"/>
        </w:rPr>
        <w:t xml:space="preserve"> CR0022-25),</w:t>
      </w:r>
      <w:r w:rsidR="00B358AE" w:rsidRPr="00281C11">
        <w:rPr>
          <w:sz w:val="16"/>
          <w:szCs w:val="16"/>
        </w:rPr>
        <w:t xml:space="preserve"> 24 September 2025</w:t>
      </w:r>
      <w:r w:rsidRPr="00281C11">
        <w:rPr>
          <w:sz w:val="16"/>
          <w:szCs w:val="16"/>
        </w:rPr>
        <w:t>.</w:t>
      </w:r>
    </w:p>
  </w:footnote>
  <w:footnote w:id="53">
    <w:p w14:paraId="59FED794" w14:textId="38CAED1E" w:rsidR="00317B23" w:rsidRPr="009F5235" w:rsidRDefault="00317B23">
      <w:pPr>
        <w:pStyle w:val="FootnoteText"/>
        <w:rPr>
          <w:sz w:val="16"/>
          <w:szCs w:val="16"/>
        </w:rPr>
      </w:pPr>
      <w:r w:rsidRPr="009F5235">
        <w:rPr>
          <w:rStyle w:val="FootnoteReference"/>
          <w:sz w:val="16"/>
          <w:szCs w:val="16"/>
        </w:rPr>
        <w:footnoteRef/>
      </w:r>
      <w:r w:rsidRPr="009F5235">
        <w:rPr>
          <w:sz w:val="16"/>
          <w:szCs w:val="16"/>
        </w:rPr>
        <w:t xml:space="preserve"> </w:t>
      </w:r>
      <w:r w:rsidR="00DF0BE4" w:rsidRPr="00DF0BE4">
        <w:rPr>
          <w:sz w:val="16"/>
          <w:szCs w:val="16"/>
        </w:rPr>
        <w:t>Panel meeting with HHFT, 3 March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AD2F" w14:textId="066E44E7" w:rsidR="008627A0" w:rsidRPr="0044752A" w:rsidRDefault="008627A0" w:rsidP="004475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A4F"/>
    <w:multiLevelType w:val="hybridMultilevel"/>
    <w:tmpl w:val="31DAEDF0"/>
    <w:lvl w:ilvl="0" w:tplc="372630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9D32095"/>
    <w:multiLevelType w:val="hybridMultilevel"/>
    <w:tmpl w:val="E8AA5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7008E3"/>
    <w:multiLevelType w:val="multilevel"/>
    <w:tmpl w:val="4650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E34F3"/>
    <w:multiLevelType w:val="multilevel"/>
    <w:tmpl w:val="0AB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30CF8"/>
    <w:multiLevelType w:val="hybridMultilevel"/>
    <w:tmpl w:val="5988491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3B9264D"/>
    <w:multiLevelType w:val="hybridMultilevel"/>
    <w:tmpl w:val="2AC6368C"/>
    <w:lvl w:ilvl="0" w:tplc="6B7C1118">
      <w:start w:val="1"/>
      <w:numFmt w:val="lowerLetter"/>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8284BFF"/>
    <w:multiLevelType w:val="multilevel"/>
    <w:tmpl w:val="678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97E64"/>
    <w:multiLevelType w:val="multilevel"/>
    <w:tmpl w:val="32E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E575E"/>
    <w:multiLevelType w:val="multilevel"/>
    <w:tmpl w:val="FE3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56E60"/>
    <w:multiLevelType w:val="multilevel"/>
    <w:tmpl w:val="54C2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595065"/>
    <w:multiLevelType w:val="hybridMultilevel"/>
    <w:tmpl w:val="A60ED12E"/>
    <w:lvl w:ilvl="0" w:tplc="58B2183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3E685CB1"/>
    <w:multiLevelType w:val="hybridMultilevel"/>
    <w:tmpl w:val="60C4AA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184374A"/>
    <w:multiLevelType w:val="multilevel"/>
    <w:tmpl w:val="A59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A42345"/>
    <w:multiLevelType w:val="hybridMultilevel"/>
    <w:tmpl w:val="7AF8F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C2327E"/>
    <w:multiLevelType w:val="hybridMultilevel"/>
    <w:tmpl w:val="A2F04F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7780DAE"/>
    <w:multiLevelType w:val="multilevel"/>
    <w:tmpl w:val="DC9E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045F5"/>
    <w:multiLevelType w:val="hybridMultilevel"/>
    <w:tmpl w:val="F8AC7DC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7" w15:restartNumberingAfterBreak="0">
    <w:nsid w:val="53E70973"/>
    <w:multiLevelType w:val="hybridMultilevel"/>
    <w:tmpl w:val="A19443D4"/>
    <w:lvl w:ilvl="0" w:tplc="66CC0378">
      <w:start w:val="1"/>
      <w:numFmt w:val="decimal"/>
      <w:pStyle w:val="ListParagraph"/>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2A0FA4"/>
    <w:multiLevelType w:val="hybridMultilevel"/>
    <w:tmpl w:val="9286BD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423425"/>
    <w:multiLevelType w:val="multilevel"/>
    <w:tmpl w:val="6A8A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221CB"/>
    <w:multiLevelType w:val="hybridMultilevel"/>
    <w:tmpl w:val="25D4A9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596AC6"/>
    <w:multiLevelType w:val="hybridMultilevel"/>
    <w:tmpl w:val="F632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CE078A"/>
    <w:multiLevelType w:val="hybridMultilevel"/>
    <w:tmpl w:val="EB501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BE3FAB"/>
    <w:multiLevelType w:val="multilevel"/>
    <w:tmpl w:val="98F8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B72953"/>
    <w:multiLevelType w:val="hybridMultilevel"/>
    <w:tmpl w:val="33CA4AD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5" w15:restartNumberingAfterBreak="0">
    <w:nsid w:val="6BE46816"/>
    <w:multiLevelType w:val="hybridMultilevel"/>
    <w:tmpl w:val="E736B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C1416FF"/>
    <w:multiLevelType w:val="hybridMultilevel"/>
    <w:tmpl w:val="E1D69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6C74BB"/>
    <w:multiLevelType w:val="hybridMultilevel"/>
    <w:tmpl w:val="EF844D00"/>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28" w15:restartNumberingAfterBreak="0">
    <w:nsid w:val="749F5395"/>
    <w:multiLevelType w:val="hybridMultilevel"/>
    <w:tmpl w:val="08CA8E36"/>
    <w:lvl w:ilvl="0" w:tplc="43743B40">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30066C"/>
    <w:multiLevelType w:val="hybridMultilevel"/>
    <w:tmpl w:val="1B981C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EF72BCB"/>
    <w:multiLevelType w:val="multilevel"/>
    <w:tmpl w:val="672A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677479">
    <w:abstractNumId w:val="28"/>
  </w:num>
  <w:num w:numId="2" w16cid:durableId="1553033104">
    <w:abstractNumId w:val="21"/>
  </w:num>
  <w:num w:numId="3" w16cid:durableId="1957641585">
    <w:abstractNumId w:val="22"/>
  </w:num>
  <w:num w:numId="4" w16cid:durableId="194780621">
    <w:abstractNumId w:val="24"/>
  </w:num>
  <w:num w:numId="5" w16cid:durableId="895160670">
    <w:abstractNumId w:val="26"/>
  </w:num>
  <w:num w:numId="6" w16cid:durableId="1864128803">
    <w:abstractNumId w:val="28"/>
    <w:lvlOverride w:ilvl="0">
      <w:startOverride w:val="2"/>
    </w:lvlOverride>
  </w:num>
  <w:num w:numId="7" w16cid:durableId="2000695017">
    <w:abstractNumId w:val="17"/>
  </w:num>
  <w:num w:numId="8" w16cid:durableId="641428876">
    <w:abstractNumId w:val="16"/>
  </w:num>
  <w:num w:numId="9" w16cid:durableId="1084454028">
    <w:abstractNumId w:val="27"/>
  </w:num>
  <w:num w:numId="10" w16cid:durableId="1965429470">
    <w:abstractNumId w:val="1"/>
  </w:num>
  <w:num w:numId="11" w16cid:durableId="1918244656">
    <w:abstractNumId w:val="13"/>
  </w:num>
  <w:num w:numId="12" w16cid:durableId="1189487829">
    <w:abstractNumId w:val="10"/>
  </w:num>
  <w:num w:numId="13" w16cid:durableId="1592003795">
    <w:abstractNumId w:val="11"/>
  </w:num>
  <w:num w:numId="14" w16cid:durableId="227427158">
    <w:abstractNumId w:val="29"/>
  </w:num>
  <w:num w:numId="15" w16cid:durableId="994257544">
    <w:abstractNumId w:val="25"/>
  </w:num>
  <w:num w:numId="16" w16cid:durableId="1684746073">
    <w:abstractNumId w:val="9"/>
  </w:num>
  <w:num w:numId="17" w16cid:durableId="2076925962">
    <w:abstractNumId w:val="6"/>
  </w:num>
  <w:num w:numId="18" w16cid:durableId="1273510205">
    <w:abstractNumId w:val="3"/>
  </w:num>
  <w:num w:numId="19" w16cid:durableId="392972654">
    <w:abstractNumId w:val="8"/>
  </w:num>
  <w:num w:numId="20" w16cid:durableId="101653277">
    <w:abstractNumId w:val="15"/>
  </w:num>
  <w:num w:numId="21" w16cid:durableId="1322466210">
    <w:abstractNumId w:val="23"/>
  </w:num>
  <w:num w:numId="22" w16cid:durableId="46687716">
    <w:abstractNumId w:val="19"/>
  </w:num>
  <w:num w:numId="23" w16cid:durableId="1471168112">
    <w:abstractNumId w:val="2"/>
  </w:num>
  <w:num w:numId="24" w16cid:durableId="550114346">
    <w:abstractNumId w:val="30"/>
  </w:num>
  <w:num w:numId="25" w16cid:durableId="291326397">
    <w:abstractNumId w:val="12"/>
  </w:num>
  <w:num w:numId="26" w16cid:durableId="204611137">
    <w:abstractNumId w:val="7"/>
  </w:num>
  <w:num w:numId="27" w16cid:durableId="1219632334">
    <w:abstractNumId w:val="20"/>
  </w:num>
  <w:num w:numId="28" w16cid:durableId="112140060">
    <w:abstractNumId w:val="5"/>
  </w:num>
  <w:num w:numId="29" w16cid:durableId="358745528">
    <w:abstractNumId w:val="0"/>
  </w:num>
  <w:num w:numId="30" w16cid:durableId="1976911753">
    <w:abstractNumId w:val="4"/>
  </w:num>
  <w:num w:numId="31" w16cid:durableId="1840656729">
    <w:abstractNumId w:val="18"/>
  </w:num>
  <w:num w:numId="32" w16cid:durableId="39262880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XKB6iyUR0fvZZyuBx+qCxgwv1iF+Uwhq7//y4V87a8MvUoXZpTHnn/dW+uD4kSk89TkFSrX1dH/uWqsxsSulxg==" w:salt="Wwrm8I9ZhE1KlGaLK4ljAQ=="/>
  <w:defaultTabStop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A"/>
    <w:rsid w:val="00000001"/>
    <w:rsid w:val="00000380"/>
    <w:rsid w:val="00000B8D"/>
    <w:rsid w:val="00000D4F"/>
    <w:rsid w:val="00001201"/>
    <w:rsid w:val="00002225"/>
    <w:rsid w:val="000025E0"/>
    <w:rsid w:val="00002A01"/>
    <w:rsid w:val="0000325F"/>
    <w:rsid w:val="00003882"/>
    <w:rsid w:val="000038D3"/>
    <w:rsid w:val="00003B40"/>
    <w:rsid w:val="00004381"/>
    <w:rsid w:val="00004403"/>
    <w:rsid w:val="00004792"/>
    <w:rsid w:val="000051FC"/>
    <w:rsid w:val="0000566D"/>
    <w:rsid w:val="00005837"/>
    <w:rsid w:val="00005852"/>
    <w:rsid w:val="0000585E"/>
    <w:rsid w:val="00005D6B"/>
    <w:rsid w:val="00006134"/>
    <w:rsid w:val="00006594"/>
    <w:rsid w:val="00007807"/>
    <w:rsid w:val="00007897"/>
    <w:rsid w:val="00007899"/>
    <w:rsid w:val="00007EFC"/>
    <w:rsid w:val="00010274"/>
    <w:rsid w:val="0001067E"/>
    <w:rsid w:val="00010E56"/>
    <w:rsid w:val="000118F7"/>
    <w:rsid w:val="00011E10"/>
    <w:rsid w:val="00011E92"/>
    <w:rsid w:val="0001234D"/>
    <w:rsid w:val="000123C4"/>
    <w:rsid w:val="00012D9B"/>
    <w:rsid w:val="00013042"/>
    <w:rsid w:val="000130A3"/>
    <w:rsid w:val="00013177"/>
    <w:rsid w:val="00013282"/>
    <w:rsid w:val="000134A6"/>
    <w:rsid w:val="00013780"/>
    <w:rsid w:val="0001449C"/>
    <w:rsid w:val="00014853"/>
    <w:rsid w:val="00014F9A"/>
    <w:rsid w:val="00015BEF"/>
    <w:rsid w:val="00016ADB"/>
    <w:rsid w:val="00016E7B"/>
    <w:rsid w:val="0001738D"/>
    <w:rsid w:val="0001755D"/>
    <w:rsid w:val="00020D17"/>
    <w:rsid w:val="00021045"/>
    <w:rsid w:val="00021314"/>
    <w:rsid w:val="00021402"/>
    <w:rsid w:val="00022C87"/>
    <w:rsid w:val="00023225"/>
    <w:rsid w:val="000235FF"/>
    <w:rsid w:val="000236A1"/>
    <w:rsid w:val="00023734"/>
    <w:rsid w:val="00023756"/>
    <w:rsid w:val="000237AE"/>
    <w:rsid w:val="00023A08"/>
    <w:rsid w:val="00023B3F"/>
    <w:rsid w:val="00024A6A"/>
    <w:rsid w:val="00024BC3"/>
    <w:rsid w:val="000253AE"/>
    <w:rsid w:val="00025405"/>
    <w:rsid w:val="00025563"/>
    <w:rsid w:val="00025DCF"/>
    <w:rsid w:val="00025E11"/>
    <w:rsid w:val="00025FA5"/>
    <w:rsid w:val="0002608F"/>
    <w:rsid w:val="000260B4"/>
    <w:rsid w:val="00026244"/>
    <w:rsid w:val="00026E7C"/>
    <w:rsid w:val="000271F5"/>
    <w:rsid w:val="000275F7"/>
    <w:rsid w:val="000278F3"/>
    <w:rsid w:val="00027A13"/>
    <w:rsid w:val="0003013B"/>
    <w:rsid w:val="00030717"/>
    <w:rsid w:val="00030A7A"/>
    <w:rsid w:val="00030B5A"/>
    <w:rsid w:val="00030E3C"/>
    <w:rsid w:val="00031231"/>
    <w:rsid w:val="000312A0"/>
    <w:rsid w:val="0003172D"/>
    <w:rsid w:val="00031E27"/>
    <w:rsid w:val="00031ECD"/>
    <w:rsid w:val="000327C5"/>
    <w:rsid w:val="00033079"/>
    <w:rsid w:val="00033435"/>
    <w:rsid w:val="0003348C"/>
    <w:rsid w:val="00033F35"/>
    <w:rsid w:val="0003458B"/>
    <w:rsid w:val="000350CC"/>
    <w:rsid w:val="00035684"/>
    <w:rsid w:val="00035A92"/>
    <w:rsid w:val="000361E9"/>
    <w:rsid w:val="0003634D"/>
    <w:rsid w:val="00036512"/>
    <w:rsid w:val="00036B98"/>
    <w:rsid w:val="00037456"/>
    <w:rsid w:val="000378DF"/>
    <w:rsid w:val="00037C60"/>
    <w:rsid w:val="00040178"/>
    <w:rsid w:val="00040DBD"/>
    <w:rsid w:val="00041361"/>
    <w:rsid w:val="00041959"/>
    <w:rsid w:val="00041E0A"/>
    <w:rsid w:val="00041F9F"/>
    <w:rsid w:val="00042148"/>
    <w:rsid w:val="000424AA"/>
    <w:rsid w:val="0004282C"/>
    <w:rsid w:val="00042C19"/>
    <w:rsid w:val="00042F28"/>
    <w:rsid w:val="0004316B"/>
    <w:rsid w:val="00043D8B"/>
    <w:rsid w:val="00044AB6"/>
    <w:rsid w:val="0004524D"/>
    <w:rsid w:val="0004571B"/>
    <w:rsid w:val="0004609B"/>
    <w:rsid w:val="00046DD0"/>
    <w:rsid w:val="00046EA8"/>
    <w:rsid w:val="000472FA"/>
    <w:rsid w:val="0004766E"/>
    <w:rsid w:val="00047EDE"/>
    <w:rsid w:val="0005095C"/>
    <w:rsid w:val="00050E20"/>
    <w:rsid w:val="0005125B"/>
    <w:rsid w:val="000512D2"/>
    <w:rsid w:val="00051A0C"/>
    <w:rsid w:val="00051AD4"/>
    <w:rsid w:val="00051B4E"/>
    <w:rsid w:val="0005231E"/>
    <w:rsid w:val="00052502"/>
    <w:rsid w:val="0005268F"/>
    <w:rsid w:val="000531ED"/>
    <w:rsid w:val="00053801"/>
    <w:rsid w:val="00053CF0"/>
    <w:rsid w:val="000544EF"/>
    <w:rsid w:val="00054947"/>
    <w:rsid w:val="00054C61"/>
    <w:rsid w:val="00054EED"/>
    <w:rsid w:val="0005551F"/>
    <w:rsid w:val="0005565A"/>
    <w:rsid w:val="00055DD8"/>
    <w:rsid w:val="00055E85"/>
    <w:rsid w:val="00056381"/>
    <w:rsid w:val="00056620"/>
    <w:rsid w:val="00056B38"/>
    <w:rsid w:val="00056F01"/>
    <w:rsid w:val="000573A2"/>
    <w:rsid w:val="0005773E"/>
    <w:rsid w:val="00057B52"/>
    <w:rsid w:val="00060041"/>
    <w:rsid w:val="0006004E"/>
    <w:rsid w:val="0006018B"/>
    <w:rsid w:val="000604CA"/>
    <w:rsid w:val="00061D69"/>
    <w:rsid w:val="00061F7D"/>
    <w:rsid w:val="0006215F"/>
    <w:rsid w:val="00062849"/>
    <w:rsid w:val="00062A00"/>
    <w:rsid w:val="00063135"/>
    <w:rsid w:val="00063469"/>
    <w:rsid w:val="00063963"/>
    <w:rsid w:val="00063A3C"/>
    <w:rsid w:val="000648AA"/>
    <w:rsid w:val="000653B3"/>
    <w:rsid w:val="00065472"/>
    <w:rsid w:val="00065F32"/>
    <w:rsid w:val="000663FF"/>
    <w:rsid w:val="0006648C"/>
    <w:rsid w:val="0006657D"/>
    <w:rsid w:val="00066735"/>
    <w:rsid w:val="0006688C"/>
    <w:rsid w:val="000670A6"/>
    <w:rsid w:val="000676B9"/>
    <w:rsid w:val="000679C7"/>
    <w:rsid w:val="000679FA"/>
    <w:rsid w:val="00067A9D"/>
    <w:rsid w:val="00067BE5"/>
    <w:rsid w:val="00067C8F"/>
    <w:rsid w:val="00070401"/>
    <w:rsid w:val="00070416"/>
    <w:rsid w:val="000705E0"/>
    <w:rsid w:val="000706DC"/>
    <w:rsid w:val="00070756"/>
    <w:rsid w:val="00071DAD"/>
    <w:rsid w:val="000720AC"/>
    <w:rsid w:val="00072202"/>
    <w:rsid w:val="00072E5F"/>
    <w:rsid w:val="0007327B"/>
    <w:rsid w:val="00073573"/>
    <w:rsid w:val="00073638"/>
    <w:rsid w:val="0007373B"/>
    <w:rsid w:val="00073CE0"/>
    <w:rsid w:val="00075701"/>
    <w:rsid w:val="00075B16"/>
    <w:rsid w:val="00075D6F"/>
    <w:rsid w:val="0007608F"/>
    <w:rsid w:val="00076CE7"/>
    <w:rsid w:val="00076DC2"/>
    <w:rsid w:val="000774F5"/>
    <w:rsid w:val="00077544"/>
    <w:rsid w:val="00077F9E"/>
    <w:rsid w:val="00080693"/>
    <w:rsid w:val="00080759"/>
    <w:rsid w:val="000809C5"/>
    <w:rsid w:val="00080F60"/>
    <w:rsid w:val="000812CB"/>
    <w:rsid w:val="00081E62"/>
    <w:rsid w:val="00081F5A"/>
    <w:rsid w:val="000821F9"/>
    <w:rsid w:val="000822EF"/>
    <w:rsid w:val="00082D8B"/>
    <w:rsid w:val="00082F63"/>
    <w:rsid w:val="000832FA"/>
    <w:rsid w:val="00083BA9"/>
    <w:rsid w:val="00083D14"/>
    <w:rsid w:val="0008411C"/>
    <w:rsid w:val="00084CDA"/>
    <w:rsid w:val="00084FF5"/>
    <w:rsid w:val="00085142"/>
    <w:rsid w:val="00085E84"/>
    <w:rsid w:val="00086286"/>
    <w:rsid w:val="00086851"/>
    <w:rsid w:val="00086AAB"/>
    <w:rsid w:val="00086AC0"/>
    <w:rsid w:val="00086F34"/>
    <w:rsid w:val="00087909"/>
    <w:rsid w:val="00087E84"/>
    <w:rsid w:val="000902C1"/>
    <w:rsid w:val="00090378"/>
    <w:rsid w:val="00090879"/>
    <w:rsid w:val="00090929"/>
    <w:rsid w:val="00090ADB"/>
    <w:rsid w:val="00090B07"/>
    <w:rsid w:val="00090E17"/>
    <w:rsid w:val="000911F9"/>
    <w:rsid w:val="00091AC8"/>
    <w:rsid w:val="00091B43"/>
    <w:rsid w:val="00091C3D"/>
    <w:rsid w:val="00092B34"/>
    <w:rsid w:val="00092C9F"/>
    <w:rsid w:val="00092D8B"/>
    <w:rsid w:val="00092EDF"/>
    <w:rsid w:val="00093C40"/>
    <w:rsid w:val="00093E51"/>
    <w:rsid w:val="00094585"/>
    <w:rsid w:val="000948A3"/>
    <w:rsid w:val="00094965"/>
    <w:rsid w:val="00095DF6"/>
    <w:rsid w:val="000960DF"/>
    <w:rsid w:val="00096360"/>
    <w:rsid w:val="00096AA3"/>
    <w:rsid w:val="00096D3A"/>
    <w:rsid w:val="00097706"/>
    <w:rsid w:val="00097945"/>
    <w:rsid w:val="00097C96"/>
    <w:rsid w:val="00097D6B"/>
    <w:rsid w:val="000A023F"/>
    <w:rsid w:val="000A04BA"/>
    <w:rsid w:val="000A06DC"/>
    <w:rsid w:val="000A0B6C"/>
    <w:rsid w:val="000A1674"/>
    <w:rsid w:val="000A1AC7"/>
    <w:rsid w:val="000A1DC1"/>
    <w:rsid w:val="000A215F"/>
    <w:rsid w:val="000A2167"/>
    <w:rsid w:val="000A27F1"/>
    <w:rsid w:val="000A31F4"/>
    <w:rsid w:val="000A38E7"/>
    <w:rsid w:val="000A3AF9"/>
    <w:rsid w:val="000A3CF8"/>
    <w:rsid w:val="000A4B69"/>
    <w:rsid w:val="000A4FBF"/>
    <w:rsid w:val="000A5381"/>
    <w:rsid w:val="000A5821"/>
    <w:rsid w:val="000A5883"/>
    <w:rsid w:val="000A6366"/>
    <w:rsid w:val="000A664A"/>
    <w:rsid w:val="000A684A"/>
    <w:rsid w:val="000A6BEA"/>
    <w:rsid w:val="000A71C3"/>
    <w:rsid w:val="000A7710"/>
    <w:rsid w:val="000B0184"/>
    <w:rsid w:val="000B0A8A"/>
    <w:rsid w:val="000B0D16"/>
    <w:rsid w:val="000B1063"/>
    <w:rsid w:val="000B16B9"/>
    <w:rsid w:val="000B212B"/>
    <w:rsid w:val="000B2223"/>
    <w:rsid w:val="000B27D9"/>
    <w:rsid w:val="000B28CD"/>
    <w:rsid w:val="000B2B74"/>
    <w:rsid w:val="000B2BE6"/>
    <w:rsid w:val="000B2CC5"/>
    <w:rsid w:val="000B2EA4"/>
    <w:rsid w:val="000B3238"/>
    <w:rsid w:val="000B3348"/>
    <w:rsid w:val="000B35B0"/>
    <w:rsid w:val="000B3752"/>
    <w:rsid w:val="000B3884"/>
    <w:rsid w:val="000B3E62"/>
    <w:rsid w:val="000B5074"/>
    <w:rsid w:val="000B5245"/>
    <w:rsid w:val="000B5525"/>
    <w:rsid w:val="000B5849"/>
    <w:rsid w:val="000B59BE"/>
    <w:rsid w:val="000B6D03"/>
    <w:rsid w:val="000B6D59"/>
    <w:rsid w:val="000B7B5E"/>
    <w:rsid w:val="000C0506"/>
    <w:rsid w:val="000C11E7"/>
    <w:rsid w:val="000C124E"/>
    <w:rsid w:val="000C12CA"/>
    <w:rsid w:val="000C1F0E"/>
    <w:rsid w:val="000C2DAB"/>
    <w:rsid w:val="000C2DB5"/>
    <w:rsid w:val="000C3359"/>
    <w:rsid w:val="000C3788"/>
    <w:rsid w:val="000C3986"/>
    <w:rsid w:val="000C3A57"/>
    <w:rsid w:val="000C3B79"/>
    <w:rsid w:val="000C3E62"/>
    <w:rsid w:val="000C3F73"/>
    <w:rsid w:val="000C46E5"/>
    <w:rsid w:val="000C5252"/>
    <w:rsid w:val="000C5327"/>
    <w:rsid w:val="000C54BB"/>
    <w:rsid w:val="000C5740"/>
    <w:rsid w:val="000C5793"/>
    <w:rsid w:val="000C585C"/>
    <w:rsid w:val="000C5C74"/>
    <w:rsid w:val="000C5DC8"/>
    <w:rsid w:val="000C5F01"/>
    <w:rsid w:val="000C62BF"/>
    <w:rsid w:val="000C65D1"/>
    <w:rsid w:val="000C6D7C"/>
    <w:rsid w:val="000C75B6"/>
    <w:rsid w:val="000C7652"/>
    <w:rsid w:val="000C7711"/>
    <w:rsid w:val="000C7CA2"/>
    <w:rsid w:val="000C7E48"/>
    <w:rsid w:val="000D04D5"/>
    <w:rsid w:val="000D05CC"/>
    <w:rsid w:val="000D09CF"/>
    <w:rsid w:val="000D0BD8"/>
    <w:rsid w:val="000D1373"/>
    <w:rsid w:val="000D1AEC"/>
    <w:rsid w:val="000D1D1B"/>
    <w:rsid w:val="000D1DE1"/>
    <w:rsid w:val="000D1DF8"/>
    <w:rsid w:val="000D24DA"/>
    <w:rsid w:val="000D2B6C"/>
    <w:rsid w:val="000D30C9"/>
    <w:rsid w:val="000D3D42"/>
    <w:rsid w:val="000D410A"/>
    <w:rsid w:val="000D4C1C"/>
    <w:rsid w:val="000D533E"/>
    <w:rsid w:val="000D53BB"/>
    <w:rsid w:val="000D5895"/>
    <w:rsid w:val="000D5CDE"/>
    <w:rsid w:val="000D61B4"/>
    <w:rsid w:val="000D624B"/>
    <w:rsid w:val="000D6342"/>
    <w:rsid w:val="000D6AF1"/>
    <w:rsid w:val="000D6C3B"/>
    <w:rsid w:val="000D6F8F"/>
    <w:rsid w:val="000D7A0E"/>
    <w:rsid w:val="000E0150"/>
    <w:rsid w:val="000E017E"/>
    <w:rsid w:val="000E0ADA"/>
    <w:rsid w:val="000E1356"/>
    <w:rsid w:val="000E17C8"/>
    <w:rsid w:val="000E1FF7"/>
    <w:rsid w:val="000E2401"/>
    <w:rsid w:val="000E2ACD"/>
    <w:rsid w:val="000E2BED"/>
    <w:rsid w:val="000E2C1A"/>
    <w:rsid w:val="000E3B73"/>
    <w:rsid w:val="000E3EB8"/>
    <w:rsid w:val="000E49D6"/>
    <w:rsid w:val="000E5B67"/>
    <w:rsid w:val="000E600D"/>
    <w:rsid w:val="000E6409"/>
    <w:rsid w:val="000E64F8"/>
    <w:rsid w:val="000E6829"/>
    <w:rsid w:val="000E70E0"/>
    <w:rsid w:val="000E775A"/>
    <w:rsid w:val="000F02BE"/>
    <w:rsid w:val="000F1144"/>
    <w:rsid w:val="000F166F"/>
    <w:rsid w:val="000F1F6D"/>
    <w:rsid w:val="000F24BB"/>
    <w:rsid w:val="000F2583"/>
    <w:rsid w:val="000F2593"/>
    <w:rsid w:val="000F2687"/>
    <w:rsid w:val="000F3234"/>
    <w:rsid w:val="000F3236"/>
    <w:rsid w:val="000F33E2"/>
    <w:rsid w:val="000F3D72"/>
    <w:rsid w:val="000F46F1"/>
    <w:rsid w:val="000F46F8"/>
    <w:rsid w:val="000F4721"/>
    <w:rsid w:val="000F49F6"/>
    <w:rsid w:val="000F4EFC"/>
    <w:rsid w:val="000F53CD"/>
    <w:rsid w:val="000F54FE"/>
    <w:rsid w:val="000F5BA0"/>
    <w:rsid w:val="000F5EAD"/>
    <w:rsid w:val="000F6050"/>
    <w:rsid w:val="000F6572"/>
    <w:rsid w:val="000F6590"/>
    <w:rsid w:val="000F66C1"/>
    <w:rsid w:val="000F6B63"/>
    <w:rsid w:val="000F6CBB"/>
    <w:rsid w:val="000F6F31"/>
    <w:rsid w:val="000F7017"/>
    <w:rsid w:val="000F78C2"/>
    <w:rsid w:val="001000D3"/>
    <w:rsid w:val="00100697"/>
    <w:rsid w:val="001007ED"/>
    <w:rsid w:val="00100D73"/>
    <w:rsid w:val="001023D5"/>
    <w:rsid w:val="001024C9"/>
    <w:rsid w:val="00102F75"/>
    <w:rsid w:val="0010390A"/>
    <w:rsid w:val="0010391A"/>
    <w:rsid w:val="00103D62"/>
    <w:rsid w:val="0010459B"/>
    <w:rsid w:val="00104CCB"/>
    <w:rsid w:val="00104DBC"/>
    <w:rsid w:val="00104F5F"/>
    <w:rsid w:val="001052A5"/>
    <w:rsid w:val="00105DC3"/>
    <w:rsid w:val="00105F08"/>
    <w:rsid w:val="00105F39"/>
    <w:rsid w:val="00106346"/>
    <w:rsid w:val="001066F0"/>
    <w:rsid w:val="0010731E"/>
    <w:rsid w:val="00107921"/>
    <w:rsid w:val="00110122"/>
    <w:rsid w:val="00110C57"/>
    <w:rsid w:val="00111149"/>
    <w:rsid w:val="001112AD"/>
    <w:rsid w:val="001115BC"/>
    <w:rsid w:val="001118ED"/>
    <w:rsid w:val="00111E17"/>
    <w:rsid w:val="00111FC2"/>
    <w:rsid w:val="00112100"/>
    <w:rsid w:val="001127F5"/>
    <w:rsid w:val="00113313"/>
    <w:rsid w:val="00113624"/>
    <w:rsid w:val="00113F08"/>
    <w:rsid w:val="00113FFD"/>
    <w:rsid w:val="00114682"/>
    <w:rsid w:val="00114FA9"/>
    <w:rsid w:val="001155B2"/>
    <w:rsid w:val="00115ED0"/>
    <w:rsid w:val="0011607B"/>
    <w:rsid w:val="00116099"/>
    <w:rsid w:val="00116260"/>
    <w:rsid w:val="001167E3"/>
    <w:rsid w:val="00117277"/>
    <w:rsid w:val="001174A2"/>
    <w:rsid w:val="001176C3"/>
    <w:rsid w:val="00117752"/>
    <w:rsid w:val="00117AF7"/>
    <w:rsid w:val="00117C72"/>
    <w:rsid w:val="00117D1E"/>
    <w:rsid w:val="00117F25"/>
    <w:rsid w:val="00120366"/>
    <w:rsid w:val="00120911"/>
    <w:rsid w:val="00120C3F"/>
    <w:rsid w:val="001210CB"/>
    <w:rsid w:val="001210FA"/>
    <w:rsid w:val="00121363"/>
    <w:rsid w:val="001214A1"/>
    <w:rsid w:val="001215BE"/>
    <w:rsid w:val="00121EF3"/>
    <w:rsid w:val="00122160"/>
    <w:rsid w:val="001221A8"/>
    <w:rsid w:val="00122449"/>
    <w:rsid w:val="001228B5"/>
    <w:rsid w:val="001228DF"/>
    <w:rsid w:val="00122CBF"/>
    <w:rsid w:val="00123DE9"/>
    <w:rsid w:val="00123F05"/>
    <w:rsid w:val="0012422C"/>
    <w:rsid w:val="0012447B"/>
    <w:rsid w:val="00124A1B"/>
    <w:rsid w:val="00124BD8"/>
    <w:rsid w:val="00124E3A"/>
    <w:rsid w:val="00124FBF"/>
    <w:rsid w:val="00125E86"/>
    <w:rsid w:val="0012614B"/>
    <w:rsid w:val="00126538"/>
    <w:rsid w:val="00126C45"/>
    <w:rsid w:val="00127B6D"/>
    <w:rsid w:val="00130341"/>
    <w:rsid w:val="0013035F"/>
    <w:rsid w:val="00130641"/>
    <w:rsid w:val="0013083A"/>
    <w:rsid w:val="00130C51"/>
    <w:rsid w:val="00130F5D"/>
    <w:rsid w:val="001315F9"/>
    <w:rsid w:val="001316D7"/>
    <w:rsid w:val="001316F0"/>
    <w:rsid w:val="00131A9C"/>
    <w:rsid w:val="00131DE9"/>
    <w:rsid w:val="0013235E"/>
    <w:rsid w:val="001323A3"/>
    <w:rsid w:val="00132649"/>
    <w:rsid w:val="001327BA"/>
    <w:rsid w:val="00132A32"/>
    <w:rsid w:val="00133226"/>
    <w:rsid w:val="0013344D"/>
    <w:rsid w:val="00133676"/>
    <w:rsid w:val="00133EB3"/>
    <w:rsid w:val="0013414B"/>
    <w:rsid w:val="00134700"/>
    <w:rsid w:val="001361DB"/>
    <w:rsid w:val="0013633C"/>
    <w:rsid w:val="001363DA"/>
    <w:rsid w:val="00136915"/>
    <w:rsid w:val="00136AA3"/>
    <w:rsid w:val="00136D91"/>
    <w:rsid w:val="00136EE3"/>
    <w:rsid w:val="001370C5"/>
    <w:rsid w:val="001372C6"/>
    <w:rsid w:val="00137589"/>
    <w:rsid w:val="0014078D"/>
    <w:rsid w:val="00141092"/>
    <w:rsid w:val="001412DB"/>
    <w:rsid w:val="00141F30"/>
    <w:rsid w:val="00142F6E"/>
    <w:rsid w:val="00143BEE"/>
    <w:rsid w:val="00143C45"/>
    <w:rsid w:val="00144032"/>
    <w:rsid w:val="001442AC"/>
    <w:rsid w:val="00144436"/>
    <w:rsid w:val="00144A51"/>
    <w:rsid w:val="00144E53"/>
    <w:rsid w:val="00145EA8"/>
    <w:rsid w:val="00145ED1"/>
    <w:rsid w:val="00146258"/>
    <w:rsid w:val="0014657A"/>
    <w:rsid w:val="00146767"/>
    <w:rsid w:val="001474F1"/>
    <w:rsid w:val="001476D2"/>
    <w:rsid w:val="00147951"/>
    <w:rsid w:val="00147DE7"/>
    <w:rsid w:val="00150281"/>
    <w:rsid w:val="0015070B"/>
    <w:rsid w:val="00150CE2"/>
    <w:rsid w:val="00150D98"/>
    <w:rsid w:val="00150F42"/>
    <w:rsid w:val="00150F5D"/>
    <w:rsid w:val="0015118E"/>
    <w:rsid w:val="001512E7"/>
    <w:rsid w:val="001516F0"/>
    <w:rsid w:val="00151D93"/>
    <w:rsid w:val="00152272"/>
    <w:rsid w:val="00152A97"/>
    <w:rsid w:val="001534F4"/>
    <w:rsid w:val="0015355A"/>
    <w:rsid w:val="00153D65"/>
    <w:rsid w:val="00153F0A"/>
    <w:rsid w:val="00154147"/>
    <w:rsid w:val="00154313"/>
    <w:rsid w:val="001543B8"/>
    <w:rsid w:val="00154634"/>
    <w:rsid w:val="001546F6"/>
    <w:rsid w:val="001552DF"/>
    <w:rsid w:val="0015626B"/>
    <w:rsid w:val="001562FB"/>
    <w:rsid w:val="00156559"/>
    <w:rsid w:val="001568C4"/>
    <w:rsid w:val="0015701B"/>
    <w:rsid w:val="0015724A"/>
    <w:rsid w:val="0015744C"/>
    <w:rsid w:val="0015745D"/>
    <w:rsid w:val="00157A73"/>
    <w:rsid w:val="00157E9D"/>
    <w:rsid w:val="00160BD0"/>
    <w:rsid w:val="00160C4E"/>
    <w:rsid w:val="0016100C"/>
    <w:rsid w:val="00161344"/>
    <w:rsid w:val="00161611"/>
    <w:rsid w:val="0016173A"/>
    <w:rsid w:val="00161C7E"/>
    <w:rsid w:val="0016243E"/>
    <w:rsid w:val="00162845"/>
    <w:rsid w:val="00162BF8"/>
    <w:rsid w:val="00162C0E"/>
    <w:rsid w:val="00162F60"/>
    <w:rsid w:val="001635C7"/>
    <w:rsid w:val="00163CB7"/>
    <w:rsid w:val="001647B9"/>
    <w:rsid w:val="00164AEB"/>
    <w:rsid w:val="00164E0C"/>
    <w:rsid w:val="001659ED"/>
    <w:rsid w:val="001664F9"/>
    <w:rsid w:val="00166E35"/>
    <w:rsid w:val="00166E81"/>
    <w:rsid w:val="001672CA"/>
    <w:rsid w:val="00167381"/>
    <w:rsid w:val="00167F05"/>
    <w:rsid w:val="00170831"/>
    <w:rsid w:val="001708B5"/>
    <w:rsid w:val="00170936"/>
    <w:rsid w:val="00170AD9"/>
    <w:rsid w:val="00170B0B"/>
    <w:rsid w:val="00170C63"/>
    <w:rsid w:val="00170FC2"/>
    <w:rsid w:val="001714DD"/>
    <w:rsid w:val="001716C6"/>
    <w:rsid w:val="00171719"/>
    <w:rsid w:val="001717AF"/>
    <w:rsid w:val="00171ACF"/>
    <w:rsid w:val="00172027"/>
    <w:rsid w:val="00172606"/>
    <w:rsid w:val="0017260C"/>
    <w:rsid w:val="00172773"/>
    <w:rsid w:val="00172A69"/>
    <w:rsid w:val="00172AE6"/>
    <w:rsid w:val="00173118"/>
    <w:rsid w:val="0017329A"/>
    <w:rsid w:val="0017346A"/>
    <w:rsid w:val="00173592"/>
    <w:rsid w:val="00173B52"/>
    <w:rsid w:val="00173F18"/>
    <w:rsid w:val="00173FA9"/>
    <w:rsid w:val="0017418A"/>
    <w:rsid w:val="00174E96"/>
    <w:rsid w:val="00174E99"/>
    <w:rsid w:val="00175385"/>
    <w:rsid w:val="001753FF"/>
    <w:rsid w:val="001759DF"/>
    <w:rsid w:val="00175FF7"/>
    <w:rsid w:val="0017609C"/>
    <w:rsid w:val="00176656"/>
    <w:rsid w:val="00176ED6"/>
    <w:rsid w:val="00177C2F"/>
    <w:rsid w:val="00180983"/>
    <w:rsid w:val="00180C50"/>
    <w:rsid w:val="00180D71"/>
    <w:rsid w:val="00180FA5"/>
    <w:rsid w:val="00181193"/>
    <w:rsid w:val="00181933"/>
    <w:rsid w:val="00181BBC"/>
    <w:rsid w:val="00181D8B"/>
    <w:rsid w:val="00182728"/>
    <w:rsid w:val="00182A92"/>
    <w:rsid w:val="00182E48"/>
    <w:rsid w:val="00183DD6"/>
    <w:rsid w:val="00184024"/>
    <w:rsid w:val="001840FE"/>
    <w:rsid w:val="00184909"/>
    <w:rsid w:val="00184AC9"/>
    <w:rsid w:val="00184C01"/>
    <w:rsid w:val="001853C0"/>
    <w:rsid w:val="00185491"/>
    <w:rsid w:val="00185BB7"/>
    <w:rsid w:val="00185D47"/>
    <w:rsid w:val="001864EF"/>
    <w:rsid w:val="00186512"/>
    <w:rsid w:val="00186D55"/>
    <w:rsid w:val="001870E4"/>
    <w:rsid w:val="00187442"/>
    <w:rsid w:val="0018755E"/>
    <w:rsid w:val="00187C09"/>
    <w:rsid w:val="00187DCE"/>
    <w:rsid w:val="00187F73"/>
    <w:rsid w:val="00190012"/>
    <w:rsid w:val="0019064A"/>
    <w:rsid w:val="001908AB"/>
    <w:rsid w:val="001908FC"/>
    <w:rsid w:val="00190F21"/>
    <w:rsid w:val="0019198E"/>
    <w:rsid w:val="00191A6F"/>
    <w:rsid w:val="00191BDB"/>
    <w:rsid w:val="00192205"/>
    <w:rsid w:val="00192950"/>
    <w:rsid w:val="00192A39"/>
    <w:rsid w:val="00192A58"/>
    <w:rsid w:val="00192CD4"/>
    <w:rsid w:val="00193062"/>
    <w:rsid w:val="001930B2"/>
    <w:rsid w:val="001936E4"/>
    <w:rsid w:val="00193A68"/>
    <w:rsid w:val="00193CF6"/>
    <w:rsid w:val="001940A9"/>
    <w:rsid w:val="001941CF"/>
    <w:rsid w:val="0019445C"/>
    <w:rsid w:val="00194C89"/>
    <w:rsid w:val="00194E19"/>
    <w:rsid w:val="00194E5F"/>
    <w:rsid w:val="00195149"/>
    <w:rsid w:val="00195217"/>
    <w:rsid w:val="00195817"/>
    <w:rsid w:val="0019637F"/>
    <w:rsid w:val="00196B77"/>
    <w:rsid w:val="001972F4"/>
    <w:rsid w:val="00197B83"/>
    <w:rsid w:val="001A00B7"/>
    <w:rsid w:val="001A04FE"/>
    <w:rsid w:val="001A0F75"/>
    <w:rsid w:val="001A1192"/>
    <w:rsid w:val="001A15D3"/>
    <w:rsid w:val="001A17EB"/>
    <w:rsid w:val="001A1B23"/>
    <w:rsid w:val="001A3137"/>
    <w:rsid w:val="001A347A"/>
    <w:rsid w:val="001A3854"/>
    <w:rsid w:val="001A3950"/>
    <w:rsid w:val="001A3AB4"/>
    <w:rsid w:val="001A4316"/>
    <w:rsid w:val="001A5681"/>
    <w:rsid w:val="001A5996"/>
    <w:rsid w:val="001A5998"/>
    <w:rsid w:val="001A5DA9"/>
    <w:rsid w:val="001A6C9A"/>
    <w:rsid w:val="001A70A2"/>
    <w:rsid w:val="001A775C"/>
    <w:rsid w:val="001A7982"/>
    <w:rsid w:val="001A7AB4"/>
    <w:rsid w:val="001A7ACE"/>
    <w:rsid w:val="001A7DD1"/>
    <w:rsid w:val="001A7E13"/>
    <w:rsid w:val="001A7F5A"/>
    <w:rsid w:val="001B0EE2"/>
    <w:rsid w:val="001B1721"/>
    <w:rsid w:val="001B173C"/>
    <w:rsid w:val="001B194A"/>
    <w:rsid w:val="001B2480"/>
    <w:rsid w:val="001B27E8"/>
    <w:rsid w:val="001B2849"/>
    <w:rsid w:val="001B2A48"/>
    <w:rsid w:val="001B2D7B"/>
    <w:rsid w:val="001B2F7A"/>
    <w:rsid w:val="001B3AB4"/>
    <w:rsid w:val="001B3D0A"/>
    <w:rsid w:val="001B4040"/>
    <w:rsid w:val="001B490A"/>
    <w:rsid w:val="001B4E34"/>
    <w:rsid w:val="001B4F2E"/>
    <w:rsid w:val="001B58FC"/>
    <w:rsid w:val="001B60B1"/>
    <w:rsid w:val="001B6921"/>
    <w:rsid w:val="001B7197"/>
    <w:rsid w:val="001B71FF"/>
    <w:rsid w:val="001B74ED"/>
    <w:rsid w:val="001B7807"/>
    <w:rsid w:val="001B7BF1"/>
    <w:rsid w:val="001C124A"/>
    <w:rsid w:val="001C18E7"/>
    <w:rsid w:val="001C1F61"/>
    <w:rsid w:val="001C2356"/>
    <w:rsid w:val="001C2446"/>
    <w:rsid w:val="001C2778"/>
    <w:rsid w:val="001C3C01"/>
    <w:rsid w:val="001C3E3B"/>
    <w:rsid w:val="001C42D2"/>
    <w:rsid w:val="001C46EF"/>
    <w:rsid w:val="001C49CB"/>
    <w:rsid w:val="001C4BD8"/>
    <w:rsid w:val="001C4C57"/>
    <w:rsid w:val="001C4F23"/>
    <w:rsid w:val="001C50B0"/>
    <w:rsid w:val="001C51C7"/>
    <w:rsid w:val="001C53ED"/>
    <w:rsid w:val="001C5572"/>
    <w:rsid w:val="001C567D"/>
    <w:rsid w:val="001C5799"/>
    <w:rsid w:val="001C5BA1"/>
    <w:rsid w:val="001C5F61"/>
    <w:rsid w:val="001C617E"/>
    <w:rsid w:val="001C6715"/>
    <w:rsid w:val="001C6899"/>
    <w:rsid w:val="001C6C07"/>
    <w:rsid w:val="001C6FCA"/>
    <w:rsid w:val="001C7817"/>
    <w:rsid w:val="001C789A"/>
    <w:rsid w:val="001C7F70"/>
    <w:rsid w:val="001D00D8"/>
    <w:rsid w:val="001D0553"/>
    <w:rsid w:val="001D139A"/>
    <w:rsid w:val="001D1BA8"/>
    <w:rsid w:val="001D1E1A"/>
    <w:rsid w:val="001D1E78"/>
    <w:rsid w:val="001D1F5D"/>
    <w:rsid w:val="001D26F6"/>
    <w:rsid w:val="001D3AB9"/>
    <w:rsid w:val="001D3AF6"/>
    <w:rsid w:val="001D3CCA"/>
    <w:rsid w:val="001D3FA4"/>
    <w:rsid w:val="001D405D"/>
    <w:rsid w:val="001D420D"/>
    <w:rsid w:val="001D432D"/>
    <w:rsid w:val="001D44B4"/>
    <w:rsid w:val="001D4D60"/>
    <w:rsid w:val="001D5698"/>
    <w:rsid w:val="001D5A20"/>
    <w:rsid w:val="001D60FD"/>
    <w:rsid w:val="001D64B7"/>
    <w:rsid w:val="001D6567"/>
    <w:rsid w:val="001D693B"/>
    <w:rsid w:val="001D6A03"/>
    <w:rsid w:val="001D6EAB"/>
    <w:rsid w:val="001D719B"/>
    <w:rsid w:val="001D7DB5"/>
    <w:rsid w:val="001E0125"/>
    <w:rsid w:val="001E049B"/>
    <w:rsid w:val="001E05A4"/>
    <w:rsid w:val="001E0A54"/>
    <w:rsid w:val="001E0C1B"/>
    <w:rsid w:val="001E0E3F"/>
    <w:rsid w:val="001E0F89"/>
    <w:rsid w:val="001E12AF"/>
    <w:rsid w:val="001E1360"/>
    <w:rsid w:val="001E14B0"/>
    <w:rsid w:val="001E1993"/>
    <w:rsid w:val="001E1BB7"/>
    <w:rsid w:val="001E1FD4"/>
    <w:rsid w:val="001E2078"/>
    <w:rsid w:val="001E2358"/>
    <w:rsid w:val="001E25B8"/>
    <w:rsid w:val="001E2869"/>
    <w:rsid w:val="001E2C0F"/>
    <w:rsid w:val="001E2D78"/>
    <w:rsid w:val="001E2D90"/>
    <w:rsid w:val="001E30D9"/>
    <w:rsid w:val="001E350A"/>
    <w:rsid w:val="001E3587"/>
    <w:rsid w:val="001E3611"/>
    <w:rsid w:val="001E48E2"/>
    <w:rsid w:val="001E502D"/>
    <w:rsid w:val="001E534D"/>
    <w:rsid w:val="001E56A2"/>
    <w:rsid w:val="001E57B4"/>
    <w:rsid w:val="001E57DA"/>
    <w:rsid w:val="001E67CB"/>
    <w:rsid w:val="001E6B13"/>
    <w:rsid w:val="001E6C2C"/>
    <w:rsid w:val="001E7030"/>
    <w:rsid w:val="001E761F"/>
    <w:rsid w:val="001E76F8"/>
    <w:rsid w:val="001E7756"/>
    <w:rsid w:val="001E7812"/>
    <w:rsid w:val="001E7C60"/>
    <w:rsid w:val="001E7D33"/>
    <w:rsid w:val="001F00AE"/>
    <w:rsid w:val="001F05CE"/>
    <w:rsid w:val="001F0820"/>
    <w:rsid w:val="001F0E8C"/>
    <w:rsid w:val="001F1152"/>
    <w:rsid w:val="001F1501"/>
    <w:rsid w:val="001F15BB"/>
    <w:rsid w:val="001F1637"/>
    <w:rsid w:val="001F1C7A"/>
    <w:rsid w:val="001F1CB0"/>
    <w:rsid w:val="001F1D4D"/>
    <w:rsid w:val="001F1FEB"/>
    <w:rsid w:val="001F2364"/>
    <w:rsid w:val="001F2B0D"/>
    <w:rsid w:val="001F2B46"/>
    <w:rsid w:val="001F2BB8"/>
    <w:rsid w:val="001F3EE8"/>
    <w:rsid w:val="001F40EC"/>
    <w:rsid w:val="001F42F9"/>
    <w:rsid w:val="001F46A4"/>
    <w:rsid w:val="001F48CD"/>
    <w:rsid w:val="001F5185"/>
    <w:rsid w:val="001F57DE"/>
    <w:rsid w:val="001F5A25"/>
    <w:rsid w:val="001F5B16"/>
    <w:rsid w:val="001F5EFC"/>
    <w:rsid w:val="001F60C3"/>
    <w:rsid w:val="001F64C6"/>
    <w:rsid w:val="001F6AB0"/>
    <w:rsid w:val="001F72E5"/>
    <w:rsid w:val="001F7372"/>
    <w:rsid w:val="00200230"/>
    <w:rsid w:val="0020029D"/>
    <w:rsid w:val="00200397"/>
    <w:rsid w:val="00200918"/>
    <w:rsid w:val="0020097D"/>
    <w:rsid w:val="00200F65"/>
    <w:rsid w:val="002010C3"/>
    <w:rsid w:val="00201196"/>
    <w:rsid w:val="00201F4C"/>
    <w:rsid w:val="0020207A"/>
    <w:rsid w:val="00202403"/>
    <w:rsid w:val="00202596"/>
    <w:rsid w:val="0020259E"/>
    <w:rsid w:val="002027D4"/>
    <w:rsid w:val="00202BA0"/>
    <w:rsid w:val="00203196"/>
    <w:rsid w:val="002034A6"/>
    <w:rsid w:val="00203A6F"/>
    <w:rsid w:val="00203B95"/>
    <w:rsid w:val="00203BA4"/>
    <w:rsid w:val="00203BE7"/>
    <w:rsid w:val="00203CCA"/>
    <w:rsid w:val="00203E2B"/>
    <w:rsid w:val="0020497E"/>
    <w:rsid w:val="002049DA"/>
    <w:rsid w:val="00204B07"/>
    <w:rsid w:val="002050F5"/>
    <w:rsid w:val="002051C6"/>
    <w:rsid w:val="00205328"/>
    <w:rsid w:val="0020634E"/>
    <w:rsid w:val="00206DA0"/>
    <w:rsid w:val="002072B6"/>
    <w:rsid w:val="002073A5"/>
    <w:rsid w:val="0020755B"/>
    <w:rsid w:val="00207B09"/>
    <w:rsid w:val="00207F12"/>
    <w:rsid w:val="00210DA1"/>
    <w:rsid w:val="002114E9"/>
    <w:rsid w:val="002117E0"/>
    <w:rsid w:val="0021195E"/>
    <w:rsid w:val="00211DE8"/>
    <w:rsid w:val="002129E0"/>
    <w:rsid w:val="002129FB"/>
    <w:rsid w:val="00212A5E"/>
    <w:rsid w:val="0021319C"/>
    <w:rsid w:val="00213A97"/>
    <w:rsid w:val="00213F57"/>
    <w:rsid w:val="00214263"/>
    <w:rsid w:val="002142EB"/>
    <w:rsid w:val="002144AB"/>
    <w:rsid w:val="00214538"/>
    <w:rsid w:val="002150E6"/>
    <w:rsid w:val="002157AD"/>
    <w:rsid w:val="00215976"/>
    <w:rsid w:val="00215A1B"/>
    <w:rsid w:val="00215D24"/>
    <w:rsid w:val="00216388"/>
    <w:rsid w:val="00216473"/>
    <w:rsid w:val="002165DF"/>
    <w:rsid w:val="002169B0"/>
    <w:rsid w:val="00216D5D"/>
    <w:rsid w:val="00217F40"/>
    <w:rsid w:val="00220119"/>
    <w:rsid w:val="002202B7"/>
    <w:rsid w:val="002209E8"/>
    <w:rsid w:val="00221966"/>
    <w:rsid w:val="00221E91"/>
    <w:rsid w:val="002224AB"/>
    <w:rsid w:val="002232D2"/>
    <w:rsid w:val="00223507"/>
    <w:rsid w:val="00223ACF"/>
    <w:rsid w:val="00223D8B"/>
    <w:rsid w:val="0022483C"/>
    <w:rsid w:val="00225303"/>
    <w:rsid w:val="002264EB"/>
    <w:rsid w:val="002267AF"/>
    <w:rsid w:val="00227438"/>
    <w:rsid w:val="002274AA"/>
    <w:rsid w:val="00227838"/>
    <w:rsid w:val="00227AD6"/>
    <w:rsid w:val="00230539"/>
    <w:rsid w:val="00230640"/>
    <w:rsid w:val="00230AA5"/>
    <w:rsid w:val="00230D08"/>
    <w:rsid w:val="00231042"/>
    <w:rsid w:val="002311A2"/>
    <w:rsid w:val="0023138B"/>
    <w:rsid w:val="00231510"/>
    <w:rsid w:val="002318F2"/>
    <w:rsid w:val="00231DEA"/>
    <w:rsid w:val="0023215A"/>
    <w:rsid w:val="00232265"/>
    <w:rsid w:val="002324CA"/>
    <w:rsid w:val="002324D7"/>
    <w:rsid w:val="00232F30"/>
    <w:rsid w:val="0023328D"/>
    <w:rsid w:val="00233443"/>
    <w:rsid w:val="00234015"/>
    <w:rsid w:val="0023413F"/>
    <w:rsid w:val="0023457F"/>
    <w:rsid w:val="002345C4"/>
    <w:rsid w:val="0023463D"/>
    <w:rsid w:val="002346AA"/>
    <w:rsid w:val="00234A27"/>
    <w:rsid w:val="00234E3C"/>
    <w:rsid w:val="00234F4A"/>
    <w:rsid w:val="002350DA"/>
    <w:rsid w:val="002351E0"/>
    <w:rsid w:val="00235487"/>
    <w:rsid w:val="002354C4"/>
    <w:rsid w:val="002356B5"/>
    <w:rsid w:val="0023599E"/>
    <w:rsid w:val="002359D9"/>
    <w:rsid w:val="00236C49"/>
    <w:rsid w:val="00237277"/>
    <w:rsid w:val="002372E8"/>
    <w:rsid w:val="002375F6"/>
    <w:rsid w:val="002376AF"/>
    <w:rsid w:val="00237A02"/>
    <w:rsid w:val="002400E2"/>
    <w:rsid w:val="00240214"/>
    <w:rsid w:val="002403C1"/>
    <w:rsid w:val="00242213"/>
    <w:rsid w:val="00242224"/>
    <w:rsid w:val="002426F9"/>
    <w:rsid w:val="00242C95"/>
    <w:rsid w:val="00242E60"/>
    <w:rsid w:val="0024308B"/>
    <w:rsid w:val="00244723"/>
    <w:rsid w:val="002448BF"/>
    <w:rsid w:val="00244DF5"/>
    <w:rsid w:val="00244F7B"/>
    <w:rsid w:val="002466C5"/>
    <w:rsid w:val="0024675F"/>
    <w:rsid w:val="002471D2"/>
    <w:rsid w:val="002471F2"/>
    <w:rsid w:val="00247869"/>
    <w:rsid w:val="00247CDF"/>
    <w:rsid w:val="00247F00"/>
    <w:rsid w:val="002503A0"/>
    <w:rsid w:val="00251161"/>
    <w:rsid w:val="00251203"/>
    <w:rsid w:val="002522A9"/>
    <w:rsid w:val="0025315A"/>
    <w:rsid w:val="002531A5"/>
    <w:rsid w:val="00253A7F"/>
    <w:rsid w:val="00253E94"/>
    <w:rsid w:val="002541D6"/>
    <w:rsid w:val="00254499"/>
    <w:rsid w:val="00254F17"/>
    <w:rsid w:val="0025512D"/>
    <w:rsid w:val="0025576A"/>
    <w:rsid w:val="002563CA"/>
    <w:rsid w:val="002568BF"/>
    <w:rsid w:val="00256F44"/>
    <w:rsid w:val="00257457"/>
    <w:rsid w:val="002600E3"/>
    <w:rsid w:val="002601D4"/>
    <w:rsid w:val="00260572"/>
    <w:rsid w:val="0026112B"/>
    <w:rsid w:val="00261A4D"/>
    <w:rsid w:val="00261B60"/>
    <w:rsid w:val="0026255C"/>
    <w:rsid w:val="002625CF"/>
    <w:rsid w:val="002626BA"/>
    <w:rsid w:val="002635C4"/>
    <w:rsid w:val="00263A72"/>
    <w:rsid w:val="00263E21"/>
    <w:rsid w:val="00263E39"/>
    <w:rsid w:val="002640B0"/>
    <w:rsid w:val="0026452C"/>
    <w:rsid w:val="00264E62"/>
    <w:rsid w:val="00266BE1"/>
    <w:rsid w:val="00266C6F"/>
    <w:rsid w:val="00266D59"/>
    <w:rsid w:val="002671A7"/>
    <w:rsid w:val="0026731D"/>
    <w:rsid w:val="002710A4"/>
    <w:rsid w:val="00271A0B"/>
    <w:rsid w:val="00271A7E"/>
    <w:rsid w:val="00271C49"/>
    <w:rsid w:val="00271E13"/>
    <w:rsid w:val="00272C4C"/>
    <w:rsid w:val="00272DE0"/>
    <w:rsid w:val="00273430"/>
    <w:rsid w:val="00273567"/>
    <w:rsid w:val="00273A23"/>
    <w:rsid w:val="00273ACC"/>
    <w:rsid w:val="00273AF0"/>
    <w:rsid w:val="00274152"/>
    <w:rsid w:val="00274A3A"/>
    <w:rsid w:val="00274ADF"/>
    <w:rsid w:val="00274D9E"/>
    <w:rsid w:val="00274FF6"/>
    <w:rsid w:val="00275210"/>
    <w:rsid w:val="0027533E"/>
    <w:rsid w:val="00275461"/>
    <w:rsid w:val="00275669"/>
    <w:rsid w:val="00275CB9"/>
    <w:rsid w:val="002765E6"/>
    <w:rsid w:val="00277041"/>
    <w:rsid w:val="002771D0"/>
    <w:rsid w:val="00277621"/>
    <w:rsid w:val="0027784D"/>
    <w:rsid w:val="00280B4D"/>
    <w:rsid w:val="0028162E"/>
    <w:rsid w:val="002816C3"/>
    <w:rsid w:val="002819CE"/>
    <w:rsid w:val="00281C11"/>
    <w:rsid w:val="002825B4"/>
    <w:rsid w:val="0028271C"/>
    <w:rsid w:val="002827A2"/>
    <w:rsid w:val="002828A8"/>
    <w:rsid w:val="00283495"/>
    <w:rsid w:val="00283B43"/>
    <w:rsid w:val="00283EE5"/>
    <w:rsid w:val="00283F8F"/>
    <w:rsid w:val="00284003"/>
    <w:rsid w:val="0028427A"/>
    <w:rsid w:val="00284363"/>
    <w:rsid w:val="00285569"/>
    <w:rsid w:val="002859FC"/>
    <w:rsid w:val="00285C92"/>
    <w:rsid w:val="00285CD2"/>
    <w:rsid w:val="0028771A"/>
    <w:rsid w:val="00287E73"/>
    <w:rsid w:val="00287F0A"/>
    <w:rsid w:val="00287FDA"/>
    <w:rsid w:val="002900BD"/>
    <w:rsid w:val="00290A3C"/>
    <w:rsid w:val="00290D03"/>
    <w:rsid w:val="00291814"/>
    <w:rsid w:val="002919D1"/>
    <w:rsid w:val="00291F01"/>
    <w:rsid w:val="0029227F"/>
    <w:rsid w:val="002929A6"/>
    <w:rsid w:val="00292CE1"/>
    <w:rsid w:val="00293276"/>
    <w:rsid w:val="0029335D"/>
    <w:rsid w:val="00293A35"/>
    <w:rsid w:val="0029406E"/>
    <w:rsid w:val="00294C86"/>
    <w:rsid w:val="00294F36"/>
    <w:rsid w:val="002954A2"/>
    <w:rsid w:val="00295548"/>
    <w:rsid w:val="00295831"/>
    <w:rsid w:val="00296646"/>
    <w:rsid w:val="00296AF3"/>
    <w:rsid w:val="00296C9E"/>
    <w:rsid w:val="0029755C"/>
    <w:rsid w:val="0029760A"/>
    <w:rsid w:val="00297655"/>
    <w:rsid w:val="002977DD"/>
    <w:rsid w:val="002A0143"/>
    <w:rsid w:val="002A01BB"/>
    <w:rsid w:val="002A0285"/>
    <w:rsid w:val="002A0917"/>
    <w:rsid w:val="002A0B4A"/>
    <w:rsid w:val="002A0D9B"/>
    <w:rsid w:val="002A16B7"/>
    <w:rsid w:val="002A1E3C"/>
    <w:rsid w:val="002A1EE8"/>
    <w:rsid w:val="002A27EF"/>
    <w:rsid w:val="002A2CF5"/>
    <w:rsid w:val="002A316D"/>
    <w:rsid w:val="002A32DA"/>
    <w:rsid w:val="002A3593"/>
    <w:rsid w:val="002A38CF"/>
    <w:rsid w:val="002A3947"/>
    <w:rsid w:val="002A3CAD"/>
    <w:rsid w:val="002A498B"/>
    <w:rsid w:val="002A4990"/>
    <w:rsid w:val="002A49CF"/>
    <w:rsid w:val="002A4E50"/>
    <w:rsid w:val="002A4E62"/>
    <w:rsid w:val="002A5194"/>
    <w:rsid w:val="002A51D2"/>
    <w:rsid w:val="002A52FC"/>
    <w:rsid w:val="002A536E"/>
    <w:rsid w:val="002A5374"/>
    <w:rsid w:val="002A55DD"/>
    <w:rsid w:val="002A586D"/>
    <w:rsid w:val="002A5A01"/>
    <w:rsid w:val="002A5A68"/>
    <w:rsid w:val="002A5EA0"/>
    <w:rsid w:val="002A61ED"/>
    <w:rsid w:val="002A7087"/>
    <w:rsid w:val="002A7D35"/>
    <w:rsid w:val="002B06FC"/>
    <w:rsid w:val="002B0DA2"/>
    <w:rsid w:val="002B0DDA"/>
    <w:rsid w:val="002B0F61"/>
    <w:rsid w:val="002B14D0"/>
    <w:rsid w:val="002B18EF"/>
    <w:rsid w:val="002B211D"/>
    <w:rsid w:val="002B2227"/>
    <w:rsid w:val="002B3FD1"/>
    <w:rsid w:val="002B45D2"/>
    <w:rsid w:val="002B483A"/>
    <w:rsid w:val="002B5082"/>
    <w:rsid w:val="002B50CD"/>
    <w:rsid w:val="002B5CD3"/>
    <w:rsid w:val="002B5D43"/>
    <w:rsid w:val="002B5E1F"/>
    <w:rsid w:val="002B5F5F"/>
    <w:rsid w:val="002B6595"/>
    <w:rsid w:val="002B687B"/>
    <w:rsid w:val="002B6C68"/>
    <w:rsid w:val="002B6D26"/>
    <w:rsid w:val="002B6D83"/>
    <w:rsid w:val="002B6DD9"/>
    <w:rsid w:val="002B6FBD"/>
    <w:rsid w:val="002B7043"/>
    <w:rsid w:val="002B713C"/>
    <w:rsid w:val="002B798E"/>
    <w:rsid w:val="002C005D"/>
    <w:rsid w:val="002C0664"/>
    <w:rsid w:val="002C0C6D"/>
    <w:rsid w:val="002C162C"/>
    <w:rsid w:val="002C2043"/>
    <w:rsid w:val="002C2A6F"/>
    <w:rsid w:val="002C2C2F"/>
    <w:rsid w:val="002C36CE"/>
    <w:rsid w:val="002C4645"/>
    <w:rsid w:val="002C49D8"/>
    <w:rsid w:val="002C49FC"/>
    <w:rsid w:val="002C4AAF"/>
    <w:rsid w:val="002C4D17"/>
    <w:rsid w:val="002C4F82"/>
    <w:rsid w:val="002C5329"/>
    <w:rsid w:val="002C5339"/>
    <w:rsid w:val="002C596E"/>
    <w:rsid w:val="002C5B90"/>
    <w:rsid w:val="002C65C8"/>
    <w:rsid w:val="002C687A"/>
    <w:rsid w:val="002C69C7"/>
    <w:rsid w:val="002C7B64"/>
    <w:rsid w:val="002C7BE6"/>
    <w:rsid w:val="002C7EEB"/>
    <w:rsid w:val="002C7FEE"/>
    <w:rsid w:val="002D008F"/>
    <w:rsid w:val="002D0170"/>
    <w:rsid w:val="002D0274"/>
    <w:rsid w:val="002D02CD"/>
    <w:rsid w:val="002D066F"/>
    <w:rsid w:val="002D1045"/>
    <w:rsid w:val="002D136F"/>
    <w:rsid w:val="002D1929"/>
    <w:rsid w:val="002D26F7"/>
    <w:rsid w:val="002D2866"/>
    <w:rsid w:val="002D29BA"/>
    <w:rsid w:val="002D3260"/>
    <w:rsid w:val="002D36B2"/>
    <w:rsid w:val="002D3779"/>
    <w:rsid w:val="002D3A27"/>
    <w:rsid w:val="002D3E5E"/>
    <w:rsid w:val="002D48B8"/>
    <w:rsid w:val="002D4DE2"/>
    <w:rsid w:val="002D52C5"/>
    <w:rsid w:val="002D53DD"/>
    <w:rsid w:val="002D5476"/>
    <w:rsid w:val="002D65F7"/>
    <w:rsid w:val="002D7809"/>
    <w:rsid w:val="002D7DF9"/>
    <w:rsid w:val="002E0019"/>
    <w:rsid w:val="002E042B"/>
    <w:rsid w:val="002E0529"/>
    <w:rsid w:val="002E14B4"/>
    <w:rsid w:val="002E2102"/>
    <w:rsid w:val="002E2593"/>
    <w:rsid w:val="002E33A6"/>
    <w:rsid w:val="002E35CB"/>
    <w:rsid w:val="002E3652"/>
    <w:rsid w:val="002E3B74"/>
    <w:rsid w:val="002E3BFD"/>
    <w:rsid w:val="002E3D43"/>
    <w:rsid w:val="002E3D5E"/>
    <w:rsid w:val="002E3F3C"/>
    <w:rsid w:val="002E3F84"/>
    <w:rsid w:val="002E3FBF"/>
    <w:rsid w:val="002E40B2"/>
    <w:rsid w:val="002E4183"/>
    <w:rsid w:val="002E44F8"/>
    <w:rsid w:val="002E483E"/>
    <w:rsid w:val="002E54C8"/>
    <w:rsid w:val="002E59D6"/>
    <w:rsid w:val="002E6618"/>
    <w:rsid w:val="002E6712"/>
    <w:rsid w:val="002E69CD"/>
    <w:rsid w:val="002E6E13"/>
    <w:rsid w:val="002E6F3E"/>
    <w:rsid w:val="002E7010"/>
    <w:rsid w:val="002E7807"/>
    <w:rsid w:val="002E7EE7"/>
    <w:rsid w:val="002E7FF5"/>
    <w:rsid w:val="002F02E1"/>
    <w:rsid w:val="002F09AA"/>
    <w:rsid w:val="002F1062"/>
    <w:rsid w:val="002F1192"/>
    <w:rsid w:val="002F2085"/>
    <w:rsid w:val="002F22C9"/>
    <w:rsid w:val="002F23FF"/>
    <w:rsid w:val="002F2609"/>
    <w:rsid w:val="002F2B1C"/>
    <w:rsid w:val="002F2E02"/>
    <w:rsid w:val="002F31A0"/>
    <w:rsid w:val="002F323E"/>
    <w:rsid w:val="002F3A87"/>
    <w:rsid w:val="002F3BE1"/>
    <w:rsid w:val="002F3F8D"/>
    <w:rsid w:val="002F42B9"/>
    <w:rsid w:val="002F4396"/>
    <w:rsid w:val="002F43A8"/>
    <w:rsid w:val="002F4B29"/>
    <w:rsid w:val="002F4E56"/>
    <w:rsid w:val="002F4E7E"/>
    <w:rsid w:val="002F507E"/>
    <w:rsid w:val="002F5AA0"/>
    <w:rsid w:val="002F5FA0"/>
    <w:rsid w:val="002F5FC3"/>
    <w:rsid w:val="002F6058"/>
    <w:rsid w:val="002F6427"/>
    <w:rsid w:val="002F6435"/>
    <w:rsid w:val="002F66CB"/>
    <w:rsid w:val="002F6B2A"/>
    <w:rsid w:val="002F75C3"/>
    <w:rsid w:val="002F772C"/>
    <w:rsid w:val="002F7CF7"/>
    <w:rsid w:val="00300147"/>
    <w:rsid w:val="00300634"/>
    <w:rsid w:val="00300CB8"/>
    <w:rsid w:val="003010C5"/>
    <w:rsid w:val="00301207"/>
    <w:rsid w:val="003017BD"/>
    <w:rsid w:val="00302560"/>
    <w:rsid w:val="003026D9"/>
    <w:rsid w:val="003029F8"/>
    <w:rsid w:val="00302DC4"/>
    <w:rsid w:val="0030363A"/>
    <w:rsid w:val="0030373D"/>
    <w:rsid w:val="00303A2F"/>
    <w:rsid w:val="00303F89"/>
    <w:rsid w:val="00305614"/>
    <w:rsid w:val="00305B55"/>
    <w:rsid w:val="00305F1D"/>
    <w:rsid w:val="00306999"/>
    <w:rsid w:val="00307D22"/>
    <w:rsid w:val="00307E0C"/>
    <w:rsid w:val="00307E6F"/>
    <w:rsid w:val="00310BF5"/>
    <w:rsid w:val="0031119B"/>
    <w:rsid w:val="003115FC"/>
    <w:rsid w:val="003116DA"/>
    <w:rsid w:val="003117A6"/>
    <w:rsid w:val="00311F81"/>
    <w:rsid w:val="0031218B"/>
    <w:rsid w:val="00312698"/>
    <w:rsid w:val="0031287E"/>
    <w:rsid w:val="00313DD5"/>
    <w:rsid w:val="0031440B"/>
    <w:rsid w:val="00314718"/>
    <w:rsid w:val="00314BA3"/>
    <w:rsid w:val="00315436"/>
    <w:rsid w:val="003155A0"/>
    <w:rsid w:val="00315835"/>
    <w:rsid w:val="00315E9C"/>
    <w:rsid w:val="00315EB2"/>
    <w:rsid w:val="00315F5E"/>
    <w:rsid w:val="003164AB"/>
    <w:rsid w:val="00316EBB"/>
    <w:rsid w:val="003178AA"/>
    <w:rsid w:val="00317B23"/>
    <w:rsid w:val="0032020B"/>
    <w:rsid w:val="00320A28"/>
    <w:rsid w:val="00320EE6"/>
    <w:rsid w:val="0032147E"/>
    <w:rsid w:val="003218A7"/>
    <w:rsid w:val="00322226"/>
    <w:rsid w:val="003226BC"/>
    <w:rsid w:val="0032298F"/>
    <w:rsid w:val="00322A93"/>
    <w:rsid w:val="00322CCE"/>
    <w:rsid w:val="00323119"/>
    <w:rsid w:val="003234D1"/>
    <w:rsid w:val="00323903"/>
    <w:rsid w:val="00323A48"/>
    <w:rsid w:val="00324729"/>
    <w:rsid w:val="0032495A"/>
    <w:rsid w:val="00324BA2"/>
    <w:rsid w:val="00324EA1"/>
    <w:rsid w:val="00325119"/>
    <w:rsid w:val="003252FB"/>
    <w:rsid w:val="00325786"/>
    <w:rsid w:val="003258BC"/>
    <w:rsid w:val="00325FD5"/>
    <w:rsid w:val="0032608D"/>
    <w:rsid w:val="00326393"/>
    <w:rsid w:val="00326615"/>
    <w:rsid w:val="00326719"/>
    <w:rsid w:val="0032672D"/>
    <w:rsid w:val="00326A26"/>
    <w:rsid w:val="00326BF9"/>
    <w:rsid w:val="00326D07"/>
    <w:rsid w:val="0032701C"/>
    <w:rsid w:val="003270F5"/>
    <w:rsid w:val="00327358"/>
    <w:rsid w:val="00330B32"/>
    <w:rsid w:val="00331851"/>
    <w:rsid w:val="00332CD6"/>
    <w:rsid w:val="00332DF8"/>
    <w:rsid w:val="00333C98"/>
    <w:rsid w:val="00334415"/>
    <w:rsid w:val="00334DBE"/>
    <w:rsid w:val="00334E75"/>
    <w:rsid w:val="003351CB"/>
    <w:rsid w:val="00335277"/>
    <w:rsid w:val="0033592E"/>
    <w:rsid w:val="00335E97"/>
    <w:rsid w:val="00336684"/>
    <w:rsid w:val="003366C8"/>
    <w:rsid w:val="00336D78"/>
    <w:rsid w:val="003370C9"/>
    <w:rsid w:val="00337193"/>
    <w:rsid w:val="00337DBC"/>
    <w:rsid w:val="00337E51"/>
    <w:rsid w:val="0034023B"/>
    <w:rsid w:val="00340503"/>
    <w:rsid w:val="003408B8"/>
    <w:rsid w:val="00340937"/>
    <w:rsid w:val="00340DA6"/>
    <w:rsid w:val="00340E4D"/>
    <w:rsid w:val="00340EBE"/>
    <w:rsid w:val="00340ED1"/>
    <w:rsid w:val="00340F9C"/>
    <w:rsid w:val="003416D6"/>
    <w:rsid w:val="00341AD4"/>
    <w:rsid w:val="00341AFC"/>
    <w:rsid w:val="00342A30"/>
    <w:rsid w:val="0034332A"/>
    <w:rsid w:val="00344205"/>
    <w:rsid w:val="0034466B"/>
    <w:rsid w:val="003449CE"/>
    <w:rsid w:val="003452CA"/>
    <w:rsid w:val="003453E0"/>
    <w:rsid w:val="00345C73"/>
    <w:rsid w:val="00345E09"/>
    <w:rsid w:val="003462D3"/>
    <w:rsid w:val="003466A9"/>
    <w:rsid w:val="00346935"/>
    <w:rsid w:val="00347123"/>
    <w:rsid w:val="003475C7"/>
    <w:rsid w:val="0034768C"/>
    <w:rsid w:val="00347754"/>
    <w:rsid w:val="00347C44"/>
    <w:rsid w:val="00347E63"/>
    <w:rsid w:val="00350E0B"/>
    <w:rsid w:val="003518E6"/>
    <w:rsid w:val="00351B04"/>
    <w:rsid w:val="003524C2"/>
    <w:rsid w:val="00352562"/>
    <w:rsid w:val="003527D2"/>
    <w:rsid w:val="00352B98"/>
    <w:rsid w:val="00352EEC"/>
    <w:rsid w:val="00353643"/>
    <w:rsid w:val="00354387"/>
    <w:rsid w:val="0035450A"/>
    <w:rsid w:val="00354926"/>
    <w:rsid w:val="0035506D"/>
    <w:rsid w:val="0035517E"/>
    <w:rsid w:val="003553C3"/>
    <w:rsid w:val="00356AD1"/>
    <w:rsid w:val="00356F0E"/>
    <w:rsid w:val="003571FB"/>
    <w:rsid w:val="0035724E"/>
    <w:rsid w:val="003575AD"/>
    <w:rsid w:val="00357939"/>
    <w:rsid w:val="00357ACA"/>
    <w:rsid w:val="00357F1B"/>
    <w:rsid w:val="003605C7"/>
    <w:rsid w:val="00361115"/>
    <w:rsid w:val="0036142F"/>
    <w:rsid w:val="00361921"/>
    <w:rsid w:val="00361B52"/>
    <w:rsid w:val="00361B6F"/>
    <w:rsid w:val="00361C43"/>
    <w:rsid w:val="00361D83"/>
    <w:rsid w:val="00361EB2"/>
    <w:rsid w:val="003622CC"/>
    <w:rsid w:val="003623EF"/>
    <w:rsid w:val="00362F3A"/>
    <w:rsid w:val="00363AE6"/>
    <w:rsid w:val="00364694"/>
    <w:rsid w:val="003656C7"/>
    <w:rsid w:val="00365C66"/>
    <w:rsid w:val="00366338"/>
    <w:rsid w:val="00366468"/>
    <w:rsid w:val="00366509"/>
    <w:rsid w:val="00366D27"/>
    <w:rsid w:val="00366D43"/>
    <w:rsid w:val="00367604"/>
    <w:rsid w:val="003679A1"/>
    <w:rsid w:val="00367E77"/>
    <w:rsid w:val="00370387"/>
    <w:rsid w:val="0037058D"/>
    <w:rsid w:val="003706BA"/>
    <w:rsid w:val="0037080C"/>
    <w:rsid w:val="0037092E"/>
    <w:rsid w:val="00370A07"/>
    <w:rsid w:val="00370D43"/>
    <w:rsid w:val="00370FA3"/>
    <w:rsid w:val="0037109F"/>
    <w:rsid w:val="003713D9"/>
    <w:rsid w:val="00371AE8"/>
    <w:rsid w:val="00371D2D"/>
    <w:rsid w:val="00371F47"/>
    <w:rsid w:val="0037242D"/>
    <w:rsid w:val="0037264E"/>
    <w:rsid w:val="0037284B"/>
    <w:rsid w:val="00373EEA"/>
    <w:rsid w:val="00373FA1"/>
    <w:rsid w:val="003740EB"/>
    <w:rsid w:val="00374646"/>
    <w:rsid w:val="003749FD"/>
    <w:rsid w:val="00374B59"/>
    <w:rsid w:val="00374FC7"/>
    <w:rsid w:val="0037531A"/>
    <w:rsid w:val="00376053"/>
    <w:rsid w:val="00376913"/>
    <w:rsid w:val="00376F6F"/>
    <w:rsid w:val="0037719C"/>
    <w:rsid w:val="00377270"/>
    <w:rsid w:val="0037753F"/>
    <w:rsid w:val="00377BDB"/>
    <w:rsid w:val="00377C1D"/>
    <w:rsid w:val="003801DA"/>
    <w:rsid w:val="0038088E"/>
    <w:rsid w:val="00381177"/>
    <w:rsid w:val="003812F2"/>
    <w:rsid w:val="00381473"/>
    <w:rsid w:val="003818C8"/>
    <w:rsid w:val="00381D0F"/>
    <w:rsid w:val="00381DA9"/>
    <w:rsid w:val="00381DC9"/>
    <w:rsid w:val="00381E09"/>
    <w:rsid w:val="00382B29"/>
    <w:rsid w:val="00382C72"/>
    <w:rsid w:val="0038325A"/>
    <w:rsid w:val="003833B3"/>
    <w:rsid w:val="00383620"/>
    <w:rsid w:val="00383E9A"/>
    <w:rsid w:val="003851B7"/>
    <w:rsid w:val="00385381"/>
    <w:rsid w:val="00385685"/>
    <w:rsid w:val="00385A32"/>
    <w:rsid w:val="0038661A"/>
    <w:rsid w:val="00386DB3"/>
    <w:rsid w:val="00386F9F"/>
    <w:rsid w:val="00387CB1"/>
    <w:rsid w:val="0039005F"/>
    <w:rsid w:val="0039088A"/>
    <w:rsid w:val="003909F3"/>
    <w:rsid w:val="00390A1D"/>
    <w:rsid w:val="00391407"/>
    <w:rsid w:val="00391D1D"/>
    <w:rsid w:val="003922C7"/>
    <w:rsid w:val="00392529"/>
    <w:rsid w:val="00392A46"/>
    <w:rsid w:val="00392C57"/>
    <w:rsid w:val="00392EDB"/>
    <w:rsid w:val="0039314D"/>
    <w:rsid w:val="003932AE"/>
    <w:rsid w:val="00393432"/>
    <w:rsid w:val="003935D0"/>
    <w:rsid w:val="00394AF1"/>
    <w:rsid w:val="00394E04"/>
    <w:rsid w:val="00395063"/>
    <w:rsid w:val="003950CF"/>
    <w:rsid w:val="00395815"/>
    <w:rsid w:val="00395816"/>
    <w:rsid w:val="00396086"/>
    <w:rsid w:val="00396568"/>
    <w:rsid w:val="00396762"/>
    <w:rsid w:val="00396811"/>
    <w:rsid w:val="00396DC2"/>
    <w:rsid w:val="003977A9"/>
    <w:rsid w:val="003977F0"/>
    <w:rsid w:val="003979C9"/>
    <w:rsid w:val="00397A36"/>
    <w:rsid w:val="00397EDD"/>
    <w:rsid w:val="003A04E8"/>
    <w:rsid w:val="003A0871"/>
    <w:rsid w:val="003A1016"/>
    <w:rsid w:val="003A11DD"/>
    <w:rsid w:val="003A15BC"/>
    <w:rsid w:val="003A16A4"/>
    <w:rsid w:val="003A27D3"/>
    <w:rsid w:val="003A2DC4"/>
    <w:rsid w:val="003A34CF"/>
    <w:rsid w:val="003A41B2"/>
    <w:rsid w:val="003A49FC"/>
    <w:rsid w:val="003A4A34"/>
    <w:rsid w:val="003A4AF1"/>
    <w:rsid w:val="003A5672"/>
    <w:rsid w:val="003A5EF4"/>
    <w:rsid w:val="003A673B"/>
    <w:rsid w:val="003A6BD2"/>
    <w:rsid w:val="003A6E01"/>
    <w:rsid w:val="003A6F34"/>
    <w:rsid w:val="003A7668"/>
    <w:rsid w:val="003A7A90"/>
    <w:rsid w:val="003A7BA5"/>
    <w:rsid w:val="003A7DC4"/>
    <w:rsid w:val="003B0210"/>
    <w:rsid w:val="003B11CE"/>
    <w:rsid w:val="003B1491"/>
    <w:rsid w:val="003B15DC"/>
    <w:rsid w:val="003B184A"/>
    <w:rsid w:val="003B193D"/>
    <w:rsid w:val="003B1BA1"/>
    <w:rsid w:val="003B1BC0"/>
    <w:rsid w:val="003B1D97"/>
    <w:rsid w:val="003B216D"/>
    <w:rsid w:val="003B2391"/>
    <w:rsid w:val="003B293D"/>
    <w:rsid w:val="003B3374"/>
    <w:rsid w:val="003B38FF"/>
    <w:rsid w:val="003B39B2"/>
    <w:rsid w:val="003B3A2B"/>
    <w:rsid w:val="003B3FB3"/>
    <w:rsid w:val="003B44E0"/>
    <w:rsid w:val="003B4728"/>
    <w:rsid w:val="003B47CE"/>
    <w:rsid w:val="003B48A9"/>
    <w:rsid w:val="003B492C"/>
    <w:rsid w:val="003B5149"/>
    <w:rsid w:val="003B56E5"/>
    <w:rsid w:val="003B5E65"/>
    <w:rsid w:val="003B5E79"/>
    <w:rsid w:val="003B623A"/>
    <w:rsid w:val="003B62DF"/>
    <w:rsid w:val="003B6354"/>
    <w:rsid w:val="003B6AF6"/>
    <w:rsid w:val="003B7273"/>
    <w:rsid w:val="003B7298"/>
    <w:rsid w:val="003B77E1"/>
    <w:rsid w:val="003C0305"/>
    <w:rsid w:val="003C103B"/>
    <w:rsid w:val="003C1DFB"/>
    <w:rsid w:val="003C2D12"/>
    <w:rsid w:val="003C352A"/>
    <w:rsid w:val="003C3535"/>
    <w:rsid w:val="003C36B3"/>
    <w:rsid w:val="003C3D18"/>
    <w:rsid w:val="003C455B"/>
    <w:rsid w:val="003C48BB"/>
    <w:rsid w:val="003C502F"/>
    <w:rsid w:val="003C51DF"/>
    <w:rsid w:val="003C569F"/>
    <w:rsid w:val="003C5831"/>
    <w:rsid w:val="003C5BE5"/>
    <w:rsid w:val="003C6162"/>
    <w:rsid w:val="003C6258"/>
    <w:rsid w:val="003C6D41"/>
    <w:rsid w:val="003C6FEA"/>
    <w:rsid w:val="003C713B"/>
    <w:rsid w:val="003C7C47"/>
    <w:rsid w:val="003C7C48"/>
    <w:rsid w:val="003C7E8C"/>
    <w:rsid w:val="003C7EBD"/>
    <w:rsid w:val="003C7F8A"/>
    <w:rsid w:val="003D019E"/>
    <w:rsid w:val="003D02FD"/>
    <w:rsid w:val="003D0418"/>
    <w:rsid w:val="003D0735"/>
    <w:rsid w:val="003D0D79"/>
    <w:rsid w:val="003D1C6B"/>
    <w:rsid w:val="003D25D0"/>
    <w:rsid w:val="003D2AAD"/>
    <w:rsid w:val="003D3949"/>
    <w:rsid w:val="003D39C5"/>
    <w:rsid w:val="003D3ADA"/>
    <w:rsid w:val="003D3BDF"/>
    <w:rsid w:val="003D4138"/>
    <w:rsid w:val="003D444C"/>
    <w:rsid w:val="003D47F7"/>
    <w:rsid w:val="003D4890"/>
    <w:rsid w:val="003D4DE0"/>
    <w:rsid w:val="003D5043"/>
    <w:rsid w:val="003D5199"/>
    <w:rsid w:val="003D53FE"/>
    <w:rsid w:val="003D5754"/>
    <w:rsid w:val="003D5844"/>
    <w:rsid w:val="003D5CEC"/>
    <w:rsid w:val="003D6900"/>
    <w:rsid w:val="003D6F82"/>
    <w:rsid w:val="003D7138"/>
    <w:rsid w:val="003D7369"/>
    <w:rsid w:val="003D78F6"/>
    <w:rsid w:val="003D7FC6"/>
    <w:rsid w:val="003E022E"/>
    <w:rsid w:val="003E0479"/>
    <w:rsid w:val="003E0986"/>
    <w:rsid w:val="003E0A21"/>
    <w:rsid w:val="003E1585"/>
    <w:rsid w:val="003E178E"/>
    <w:rsid w:val="003E1AA4"/>
    <w:rsid w:val="003E2177"/>
    <w:rsid w:val="003E2292"/>
    <w:rsid w:val="003E32E5"/>
    <w:rsid w:val="003E34D4"/>
    <w:rsid w:val="003E4193"/>
    <w:rsid w:val="003E42A1"/>
    <w:rsid w:val="003E4390"/>
    <w:rsid w:val="003E4463"/>
    <w:rsid w:val="003E44A8"/>
    <w:rsid w:val="003E48CF"/>
    <w:rsid w:val="003E4936"/>
    <w:rsid w:val="003E5247"/>
    <w:rsid w:val="003E54EF"/>
    <w:rsid w:val="003E56A7"/>
    <w:rsid w:val="003E5C85"/>
    <w:rsid w:val="003E5FB5"/>
    <w:rsid w:val="003E6402"/>
    <w:rsid w:val="003E66FC"/>
    <w:rsid w:val="003E6C70"/>
    <w:rsid w:val="003E72DD"/>
    <w:rsid w:val="003E78FC"/>
    <w:rsid w:val="003E79D8"/>
    <w:rsid w:val="003E7AC8"/>
    <w:rsid w:val="003F0291"/>
    <w:rsid w:val="003F0656"/>
    <w:rsid w:val="003F1899"/>
    <w:rsid w:val="003F1B4E"/>
    <w:rsid w:val="003F2B40"/>
    <w:rsid w:val="003F2E9D"/>
    <w:rsid w:val="003F42C2"/>
    <w:rsid w:val="003F4527"/>
    <w:rsid w:val="003F4B14"/>
    <w:rsid w:val="003F5065"/>
    <w:rsid w:val="003F53E7"/>
    <w:rsid w:val="003F54D7"/>
    <w:rsid w:val="003F599B"/>
    <w:rsid w:val="003F5C90"/>
    <w:rsid w:val="003F5CEC"/>
    <w:rsid w:val="003F5FEB"/>
    <w:rsid w:val="003F60CF"/>
    <w:rsid w:val="003F69AD"/>
    <w:rsid w:val="003F6AE6"/>
    <w:rsid w:val="003F71B6"/>
    <w:rsid w:val="003F76A3"/>
    <w:rsid w:val="003F7E15"/>
    <w:rsid w:val="004000FE"/>
    <w:rsid w:val="00400236"/>
    <w:rsid w:val="00400297"/>
    <w:rsid w:val="00400E69"/>
    <w:rsid w:val="00401884"/>
    <w:rsid w:val="00401C5F"/>
    <w:rsid w:val="00401D5A"/>
    <w:rsid w:val="004023AB"/>
    <w:rsid w:val="004027DC"/>
    <w:rsid w:val="00402BAA"/>
    <w:rsid w:val="00402C11"/>
    <w:rsid w:val="00402E4D"/>
    <w:rsid w:val="00402E9F"/>
    <w:rsid w:val="00403294"/>
    <w:rsid w:val="00403632"/>
    <w:rsid w:val="004039DD"/>
    <w:rsid w:val="00403E0B"/>
    <w:rsid w:val="00404DF2"/>
    <w:rsid w:val="00405404"/>
    <w:rsid w:val="00405419"/>
    <w:rsid w:val="004057FE"/>
    <w:rsid w:val="00405BFC"/>
    <w:rsid w:val="00405C2E"/>
    <w:rsid w:val="00405F0C"/>
    <w:rsid w:val="00406379"/>
    <w:rsid w:val="004065D5"/>
    <w:rsid w:val="004068D7"/>
    <w:rsid w:val="00406FD9"/>
    <w:rsid w:val="004075A7"/>
    <w:rsid w:val="004079D1"/>
    <w:rsid w:val="00407ED3"/>
    <w:rsid w:val="00407F80"/>
    <w:rsid w:val="004114C3"/>
    <w:rsid w:val="00411604"/>
    <w:rsid w:val="004116BF"/>
    <w:rsid w:val="00411B62"/>
    <w:rsid w:val="00411C40"/>
    <w:rsid w:val="00412105"/>
    <w:rsid w:val="00412130"/>
    <w:rsid w:val="004123B4"/>
    <w:rsid w:val="00412956"/>
    <w:rsid w:val="00412E9D"/>
    <w:rsid w:val="00413099"/>
    <w:rsid w:val="00413D87"/>
    <w:rsid w:val="004141C4"/>
    <w:rsid w:val="0041476F"/>
    <w:rsid w:val="004148DE"/>
    <w:rsid w:val="004149D4"/>
    <w:rsid w:val="00414B11"/>
    <w:rsid w:val="00414D36"/>
    <w:rsid w:val="00415456"/>
    <w:rsid w:val="0041550D"/>
    <w:rsid w:val="004160A2"/>
    <w:rsid w:val="00416A18"/>
    <w:rsid w:val="00416B23"/>
    <w:rsid w:val="00416F50"/>
    <w:rsid w:val="00417336"/>
    <w:rsid w:val="0041752C"/>
    <w:rsid w:val="00417796"/>
    <w:rsid w:val="0041798B"/>
    <w:rsid w:val="00417FFC"/>
    <w:rsid w:val="00420163"/>
    <w:rsid w:val="00420296"/>
    <w:rsid w:val="004203F2"/>
    <w:rsid w:val="00421746"/>
    <w:rsid w:val="00421870"/>
    <w:rsid w:val="00421AD7"/>
    <w:rsid w:val="00421E2B"/>
    <w:rsid w:val="004220E2"/>
    <w:rsid w:val="004226BA"/>
    <w:rsid w:val="00422749"/>
    <w:rsid w:val="0042279D"/>
    <w:rsid w:val="00422F98"/>
    <w:rsid w:val="00422F9C"/>
    <w:rsid w:val="004235BE"/>
    <w:rsid w:val="00423849"/>
    <w:rsid w:val="00423886"/>
    <w:rsid w:val="00423B0A"/>
    <w:rsid w:val="00423D9A"/>
    <w:rsid w:val="00424230"/>
    <w:rsid w:val="00424D6B"/>
    <w:rsid w:val="00425519"/>
    <w:rsid w:val="00425E91"/>
    <w:rsid w:val="00426E20"/>
    <w:rsid w:val="00426FEE"/>
    <w:rsid w:val="004270BE"/>
    <w:rsid w:val="004271FD"/>
    <w:rsid w:val="004272D6"/>
    <w:rsid w:val="00427386"/>
    <w:rsid w:val="0042741E"/>
    <w:rsid w:val="00427658"/>
    <w:rsid w:val="004278CF"/>
    <w:rsid w:val="00427A9A"/>
    <w:rsid w:val="00427AEA"/>
    <w:rsid w:val="00427B26"/>
    <w:rsid w:val="00427C49"/>
    <w:rsid w:val="00427F50"/>
    <w:rsid w:val="00430348"/>
    <w:rsid w:val="00430533"/>
    <w:rsid w:val="00430894"/>
    <w:rsid w:val="00430C3D"/>
    <w:rsid w:val="0043103B"/>
    <w:rsid w:val="0043206E"/>
    <w:rsid w:val="004323B5"/>
    <w:rsid w:val="004325E8"/>
    <w:rsid w:val="0043264E"/>
    <w:rsid w:val="004332DD"/>
    <w:rsid w:val="004335B1"/>
    <w:rsid w:val="004336DF"/>
    <w:rsid w:val="00433776"/>
    <w:rsid w:val="00434082"/>
    <w:rsid w:val="00434119"/>
    <w:rsid w:val="0043568F"/>
    <w:rsid w:val="00435851"/>
    <w:rsid w:val="00436059"/>
    <w:rsid w:val="00436560"/>
    <w:rsid w:val="004378E6"/>
    <w:rsid w:val="00440841"/>
    <w:rsid w:val="00440AB6"/>
    <w:rsid w:val="00440ACB"/>
    <w:rsid w:val="00440BC8"/>
    <w:rsid w:val="00440C47"/>
    <w:rsid w:val="00440D94"/>
    <w:rsid w:val="004411EC"/>
    <w:rsid w:val="004413A5"/>
    <w:rsid w:val="00441528"/>
    <w:rsid w:val="004416CA"/>
    <w:rsid w:val="004419A2"/>
    <w:rsid w:val="0044253A"/>
    <w:rsid w:val="004427CC"/>
    <w:rsid w:val="00442AA9"/>
    <w:rsid w:val="004430DC"/>
    <w:rsid w:val="00443615"/>
    <w:rsid w:val="00443AE6"/>
    <w:rsid w:val="00443B92"/>
    <w:rsid w:val="00444673"/>
    <w:rsid w:val="00444893"/>
    <w:rsid w:val="00444C7E"/>
    <w:rsid w:val="0044514B"/>
    <w:rsid w:val="0044541F"/>
    <w:rsid w:val="00445678"/>
    <w:rsid w:val="0044568E"/>
    <w:rsid w:val="00445E18"/>
    <w:rsid w:val="00445EC4"/>
    <w:rsid w:val="00445FCF"/>
    <w:rsid w:val="00446055"/>
    <w:rsid w:val="004463A3"/>
    <w:rsid w:val="00446C5C"/>
    <w:rsid w:val="0044752A"/>
    <w:rsid w:val="00447601"/>
    <w:rsid w:val="004503A5"/>
    <w:rsid w:val="004504BF"/>
    <w:rsid w:val="00450B2B"/>
    <w:rsid w:val="00450CC6"/>
    <w:rsid w:val="004511C8"/>
    <w:rsid w:val="00451394"/>
    <w:rsid w:val="00451538"/>
    <w:rsid w:val="00451702"/>
    <w:rsid w:val="004521A0"/>
    <w:rsid w:val="004523AA"/>
    <w:rsid w:val="004526BB"/>
    <w:rsid w:val="00452AE8"/>
    <w:rsid w:val="00452E00"/>
    <w:rsid w:val="0045321B"/>
    <w:rsid w:val="00453724"/>
    <w:rsid w:val="0045390D"/>
    <w:rsid w:val="00453E0E"/>
    <w:rsid w:val="00454070"/>
    <w:rsid w:val="00454448"/>
    <w:rsid w:val="004546DD"/>
    <w:rsid w:val="00454850"/>
    <w:rsid w:val="00454AA5"/>
    <w:rsid w:val="0045554C"/>
    <w:rsid w:val="00455E43"/>
    <w:rsid w:val="004564F8"/>
    <w:rsid w:val="00456E72"/>
    <w:rsid w:val="004570C3"/>
    <w:rsid w:val="0045757E"/>
    <w:rsid w:val="0045772C"/>
    <w:rsid w:val="004577FD"/>
    <w:rsid w:val="004578EB"/>
    <w:rsid w:val="00457960"/>
    <w:rsid w:val="00457B70"/>
    <w:rsid w:val="00457B9A"/>
    <w:rsid w:val="00457FEE"/>
    <w:rsid w:val="00460568"/>
    <w:rsid w:val="00460CE2"/>
    <w:rsid w:val="00461081"/>
    <w:rsid w:val="0046140E"/>
    <w:rsid w:val="0046165A"/>
    <w:rsid w:val="00461FBD"/>
    <w:rsid w:val="00462322"/>
    <w:rsid w:val="00462709"/>
    <w:rsid w:val="004628F6"/>
    <w:rsid w:val="004630CE"/>
    <w:rsid w:val="0046335D"/>
    <w:rsid w:val="004638C6"/>
    <w:rsid w:val="004638FC"/>
    <w:rsid w:val="00463BBB"/>
    <w:rsid w:val="00463CB1"/>
    <w:rsid w:val="00463EEE"/>
    <w:rsid w:val="004641F6"/>
    <w:rsid w:val="00464727"/>
    <w:rsid w:val="00465DBF"/>
    <w:rsid w:val="00466000"/>
    <w:rsid w:val="0046642F"/>
    <w:rsid w:val="0046643F"/>
    <w:rsid w:val="00466D15"/>
    <w:rsid w:val="00467465"/>
    <w:rsid w:val="00467A44"/>
    <w:rsid w:val="00467F84"/>
    <w:rsid w:val="00470789"/>
    <w:rsid w:val="00470849"/>
    <w:rsid w:val="00470B13"/>
    <w:rsid w:val="00470C38"/>
    <w:rsid w:val="00470DE0"/>
    <w:rsid w:val="00470E97"/>
    <w:rsid w:val="00471167"/>
    <w:rsid w:val="0047177D"/>
    <w:rsid w:val="00471A84"/>
    <w:rsid w:val="00471F32"/>
    <w:rsid w:val="004723E3"/>
    <w:rsid w:val="0047240B"/>
    <w:rsid w:val="00472565"/>
    <w:rsid w:val="004731ED"/>
    <w:rsid w:val="00473D53"/>
    <w:rsid w:val="00473DDB"/>
    <w:rsid w:val="004741ED"/>
    <w:rsid w:val="0047426E"/>
    <w:rsid w:val="004748C7"/>
    <w:rsid w:val="00475104"/>
    <w:rsid w:val="0047526E"/>
    <w:rsid w:val="0047541B"/>
    <w:rsid w:val="004754BC"/>
    <w:rsid w:val="00475AE2"/>
    <w:rsid w:val="004760A9"/>
    <w:rsid w:val="004769A5"/>
    <w:rsid w:val="00476C98"/>
    <w:rsid w:val="00476CBB"/>
    <w:rsid w:val="00477023"/>
    <w:rsid w:val="00477C07"/>
    <w:rsid w:val="00477C2E"/>
    <w:rsid w:val="00477FC6"/>
    <w:rsid w:val="004806CC"/>
    <w:rsid w:val="00480E96"/>
    <w:rsid w:val="00481A9D"/>
    <w:rsid w:val="00482B4A"/>
    <w:rsid w:val="004832D6"/>
    <w:rsid w:val="00483A92"/>
    <w:rsid w:val="00483C62"/>
    <w:rsid w:val="00483C75"/>
    <w:rsid w:val="004849BB"/>
    <w:rsid w:val="004849C0"/>
    <w:rsid w:val="004849DC"/>
    <w:rsid w:val="00484D60"/>
    <w:rsid w:val="004851EC"/>
    <w:rsid w:val="00485210"/>
    <w:rsid w:val="0048537B"/>
    <w:rsid w:val="004857E2"/>
    <w:rsid w:val="00485D05"/>
    <w:rsid w:val="0048685F"/>
    <w:rsid w:val="00486EE5"/>
    <w:rsid w:val="00490956"/>
    <w:rsid w:val="00490C29"/>
    <w:rsid w:val="00491634"/>
    <w:rsid w:val="00491BA7"/>
    <w:rsid w:val="00491DD0"/>
    <w:rsid w:val="00492B48"/>
    <w:rsid w:val="00492F8D"/>
    <w:rsid w:val="00493325"/>
    <w:rsid w:val="0049344F"/>
    <w:rsid w:val="004939B3"/>
    <w:rsid w:val="00493EAC"/>
    <w:rsid w:val="00494326"/>
    <w:rsid w:val="0049465A"/>
    <w:rsid w:val="004950A8"/>
    <w:rsid w:val="00495549"/>
    <w:rsid w:val="00495AFA"/>
    <w:rsid w:val="00495D1F"/>
    <w:rsid w:val="004960E9"/>
    <w:rsid w:val="004967C5"/>
    <w:rsid w:val="00496820"/>
    <w:rsid w:val="00496AB1"/>
    <w:rsid w:val="00496AF3"/>
    <w:rsid w:val="00496BD2"/>
    <w:rsid w:val="004970FF"/>
    <w:rsid w:val="004974EA"/>
    <w:rsid w:val="00497908"/>
    <w:rsid w:val="00497E4D"/>
    <w:rsid w:val="00497EF3"/>
    <w:rsid w:val="00497F4A"/>
    <w:rsid w:val="004A00EE"/>
    <w:rsid w:val="004A0765"/>
    <w:rsid w:val="004A07EA"/>
    <w:rsid w:val="004A0A4B"/>
    <w:rsid w:val="004A0DBA"/>
    <w:rsid w:val="004A1000"/>
    <w:rsid w:val="004A1224"/>
    <w:rsid w:val="004A1335"/>
    <w:rsid w:val="004A26AD"/>
    <w:rsid w:val="004A285C"/>
    <w:rsid w:val="004A2E68"/>
    <w:rsid w:val="004A304D"/>
    <w:rsid w:val="004A3F6B"/>
    <w:rsid w:val="004A40BE"/>
    <w:rsid w:val="004A4EF5"/>
    <w:rsid w:val="004A4FAB"/>
    <w:rsid w:val="004A5C5D"/>
    <w:rsid w:val="004A5D6C"/>
    <w:rsid w:val="004A60A2"/>
    <w:rsid w:val="004A6468"/>
    <w:rsid w:val="004A64A6"/>
    <w:rsid w:val="004A6AF9"/>
    <w:rsid w:val="004A7246"/>
    <w:rsid w:val="004A7476"/>
    <w:rsid w:val="004A778B"/>
    <w:rsid w:val="004A7E85"/>
    <w:rsid w:val="004B034D"/>
    <w:rsid w:val="004B0920"/>
    <w:rsid w:val="004B0C8E"/>
    <w:rsid w:val="004B0DBA"/>
    <w:rsid w:val="004B1559"/>
    <w:rsid w:val="004B1F00"/>
    <w:rsid w:val="004B208B"/>
    <w:rsid w:val="004B2409"/>
    <w:rsid w:val="004B2531"/>
    <w:rsid w:val="004B2BA8"/>
    <w:rsid w:val="004B2DAE"/>
    <w:rsid w:val="004B2F7D"/>
    <w:rsid w:val="004B317D"/>
    <w:rsid w:val="004B3322"/>
    <w:rsid w:val="004B3715"/>
    <w:rsid w:val="004B41CE"/>
    <w:rsid w:val="004B4798"/>
    <w:rsid w:val="004B4C19"/>
    <w:rsid w:val="004B5179"/>
    <w:rsid w:val="004B51D9"/>
    <w:rsid w:val="004B6327"/>
    <w:rsid w:val="004B6421"/>
    <w:rsid w:val="004B66D8"/>
    <w:rsid w:val="004B67AA"/>
    <w:rsid w:val="004B6AFE"/>
    <w:rsid w:val="004B6E0C"/>
    <w:rsid w:val="004B7A9D"/>
    <w:rsid w:val="004B7C40"/>
    <w:rsid w:val="004B7E78"/>
    <w:rsid w:val="004C0356"/>
    <w:rsid w:val="004C0484"/>
    <w:rsid w:val="004C04C7"/>
    <w:rsid w:val="004C062E"/>
    <w:rsid w:val="004C0914"/>
    <w:rsid w:val="004C091B"/>
    <w:rsid w:val="004C0F4F"/>
    <w:rsid w:val="004C1001"/>
    <w:rsid w:val="004C120C"/>
    <w:rsid w:val="004C1A17"/>
    <w:rsid w:val="004C1C2E"/>
    <w:rsid w:val="004C2971"/>
    <w:rsid w:val="004C3255"/>
    <w:rsid w:val="004C3274"/>
    <w:rsid w:val="004C33CB"/>
    <w:rsid w:val="004C37FA"/>
    <w:rsid w:val="004C389A"/>
    <w:rsid w:val="004C3C67"/>
    <w:rsid w:val="004C4030"/>
    <w:rsid w:val="004C41F0"/>
    <w:rsid w:val="004C436F"/>
    <w:rsid w:val="004C4F26"/>
    <w:rsid w:val="004C5622"/>
    <w:rsid w:val="004C579F"/>
    <w:rsid w:val="004C5DD2"/>
    <w:rsid w:val="004C5ED2"/>
    <w:rsid w:val="004C61E5"/>
    <w:rsid w:val="004C72EF"/>
    <w:rsid w:val="004C786E"/>
    <w:rsid w:val="004C79E2"/>
    <w:rsid w:val="004D04AE"/>
    <w:rsid w:val="004D0729"/>
    <w:rsid w:val="004D0D8D"/>
    <w:rsid w:val="004D1B7B"/>
    <w:rsid w:val="004D1F96"/>
    <w:rsid w:val="004D274C"/>
    <w:rsid w:val="004D2AE3"/>
    <w:rsid w:val="004D2EF6"/>
    <w:rsid w:val="004D31A3"/>
    <w:rsid w:val="004D3A1B"/>
    <w:rsid w:val="004D4289"/>
    <w:rsid w:val="004D4978"/>
    <w:rsid w:val="004D5CBD"/>
    <w:rsid w:val="004D5D28"/>
    <w:rsid w:val="004D635E"/>
    <w:rsid w:val="004D6404"/>
    <w:rsid w:val="004D702A"/>
    <w:rsid w:val="004D75FD"/>
    <w:rsid w:val="004D7909"/>
    <w:rsid w:val="004D79FD"/>
    <w:rsid w:val="004D7AD6"/>
    <w:rsid w:val="004D7AF6"/>
    <w:rsid w:val="004D7EB2"/>
    <w:rsid w:val="004D7FA1"/>
    <w:rsid w:val="004E06CF"/>
    <w:rsid w:val="004E0E74"/>
    <w:rsid w:val="004E0FF0"/>
    <w:rsid w:val="004E1318"/>
    <w:rsid w:val="004E1591"/>
    <w:rsid w:val="004E2C17"/>
    <w:rsid w:val="004E37B1"/>
    <w:rsid w:val="004E4871"/>
    <w:rsid w:val="004E4A99"/>
    <w:rsid w:val="004E54B6"/>
    <w:rsid w:val="004E5AE0"/>
    <w:rsid w:val="004E5B59"/>
    <w:rsid w:val="004E5BC1"/>
    <w:rsid w:val="004E604C"/>
    <w:rsid w:val="004E643E"/>
    <w:rsid w:val="004E6716"/>
    <w:rsid w:val="004E67AE"/>
    <w:rsid w:val="004E698B"/>
    <w:rsid w:val="004E6B4E"/>
    <w:rsid w:val="004E6B7F"/>
    <w:rsid w:val="004E6E99"/>
    <w:rsid w:val="004E6EDA"/>
    <w:rsid w:val="004E6F40"/>
    <w:rsid w:val="004E7928"/>
    <w:rsid w:val="004F0CF8"/>
    <w:rsid w:val="004F0E02"/>
    <w:rsid w:val="004F105A"/>
    <w:rsid w:val="004F11D3"/>
    <w:rsid w:val="004F11E3"/>
    <w:rsid w:val="004F1760"/>
    <w:rsid w:val="004F18AB"/>
    <w:rsid w:val="004F1B64"/>
    <w:rsid w:val="004F20A1"/>
    <w:rsid w:val="004F28C7"/>
    <w:rsid w:val="004F2E63"/>
    <w:rsid w:val="004F2F0D"/>
    <w:rsid w:val="004F358F"/>
    <w:rsid w:val="004F3943"/>
    <w:rsid w:val="004F3CE8"/>
    <w:rsid w:val="004F3D4F"/>
    <w:rsid w:val="004F4127"/>
    <w:rsid w:val="004F42F7"/>
    <w:rsid w:val="004F4817"/>
    <w:rsid w:val="004F4F04"/>
    <w:rsid w:val="004F5171"/>
    <w:rsid w:val="004F565A"/>
    <w:rsid w:val="004F680B"/>
    <w:rsid w:val="004F6FB3"/>
    <w:rsid w:val="004F7F14"/>
    <w:rsid w:val="004F7FF6"/>
    <w:rsid w:val="005000BD"/>
    <w:rsid w:val="00500268"/>
    <w:rsid w:val="0050031D"/>
    <w:rsid w:val="00500561"/>
    <w:rsid w:val="0050057A"/>
    <w:rsid w:val="00500B14"/>
    <w:rsid w:val="0050154D"/>
    <w:rsid w:val="00501B5B"/>
    <w:rsid w:val="00501D48"/>
    <w:rsid w:val="00501D4D"/>
    <w:rsid w:val="00502211"/>
    <w:rsid w:val="0050234F"/>
    <w:rsid w:val="0050258A"/>
    <w:rsid w:val="005025B5"/>
    <w:rsid w:val="00502D4A"/>
    <w:rsid w:val="0050323B"/>
    <w:rsid w:val="005035FD"/>
    <w:rsid w:val="00503D0E"/>
    <w:rsid w:val="0050455A"/>
    <w:rsid w:val="005054BA"/>
    <w:rsid w:val="00505514"/>
    <w:rsid w:val="00505737"/>
    <w:rsid w:val="00505A48"/>
    <w:rsid w:val="005063C5"/>
    <w:rsid w:val="00506E67"/>
    <w:rsid w:val="0050723B"/>
    <w:rsid w:val="00507384"/>
    <w:rsid w:val="00507517"/>
    <w:rsid w:val="005075D2"/>
    <w:rsid w:val="0050763F"/>
    <w:rsid w:val="00507BE8"/>
    <w:rsid w:val="005108F3"/>
    <w:rsid w:val="00510E7E"/>
    <w:rsid w:val="00511222"/>
    <w:rsid w:val="0051123A"/>
    <w:rsid w:val="00511832"/>
    <w:rsid w:val="00511B5A"/>
    <w:rsid w:val="00512B88"/>
    <w:rsid w:val="00513BBD"/>
    <w:rsid w:val="00513DD5"/>
    <w:rsid w:val="0051410B"/>
    <w:rsid w:val="0051471A"/>
    <w:rsid w:val="0051486E"/>
    <w:rsid w:val="00514D24"/>
    <w:rsid w:val="00515D28"/>
    <w:rsid w:val="00515DE7"/>
    <w:rsid w:val="005160B3"/>
    <w:rsid w:val="0051613B"/>
    <w:rsid w:val="0051643F"/>
    <w:rsid w:val="0051688F"/>
    <w:rsid w:val="005169D7"/>
    <w:rsid w:val="005170B6"/>
    <w:rsid w:val="00517488"/>
    <w:rsid w:val="0051778F"/>
    <w:rsid w:val="00517840"/>
    <w:rsid w:val="005178BF"/>
    <w:rsid w:val="00517B53"/>
    <w:rsid w:val="00520233"/>
    <w:rsid w:val="00520648"/>
    <w:rsid w:val="005210D7"/>
    <w:rsid w:val="00521348"/>
    <w:rsid w:val="0052138D"/>
    <w:rsid w:val="00521455"/>
    <w:rsid w:val="005216C6"/>
    <w:rsid w:val="005223B7"/>
    <w:rsid w:val="0052243C"/>
    <w:rsid w:val="005236BC"/>
    <w:rsid w:val="005240CD"/>
    <w:rsid w:val="00524396"/>
    <w:rsid w:val="00524510"/>
    <w:rsid w:val="0052456B"/>
    <w:rsid w:val="005248C6"/>
    <w:rsid w:val="0052583E"/>
    <w:rsid w:val="005268FB"/>
    <w:rsid w:val="00526DC4"/>
    <w:rsid w:val="00526ED9"/>
    <w:rsid w:val="005279B8"/>
    <w:rsid w:val="005302A9"/>
    <w:rsid w:val="00530437"/>
    <w:rsid w:val="005307B2"/>
    <w:rsid w:val="005307FB"/>
    <w:rsid w:val="00530BD5"/>
    <w:rsid w:val="00530CC7"/>
    <w:rsid w:val="00530F03"/>
    <w:rsid w:val="00531C67"/>
    <w:rsid w:val="00531F31"/>
    <w:rsid w:val="00531FD8"/>
    <w:rsid w:val="00532215"/>
    <w:rsid w:val="005324A9"/>
    <w:rsid w:val="00532DB2"/>
    <w:rsid w:val="00532E6A"/>
    <w:rsid w:val="00533481"/>
    <w:rsid w:val="00533E2E"/>
    <w:rsid w:val="00533F5D"/>
    <w:rsid w:val="0053447C"/>
    <w:rsid w:val="0053469E"/>
    <w:rsid w:val="00535732"/>
    <w:rsid w:val="00535773"/>
    <w:rsid w:val="005357C1"/>
    <w:rsid w:val="00536891"/>
    <w:rsid w:val="00536AD5"/>
    <w:rsid w:val="00536F11"/>
    <w:rsid w:val="00537911"/>
    <w:rsid w:val="005379B9"/>
    <w:rsid w:val="00537D2D"/>
    <w:rsid w:val="00537E03"/>
    <w:rsid w:val="00537E3D"/>
    <w:rsid w:val="00537F1F"/>
    <w:rsid w:val="005400E0"/>
    <w:rsid w:val="00540129"/>
    <w:rsid w:val="00540223"/>
    <w:rsid w:val="00540347"/>
    <w:rsid w:val="005405DF"/>
    <w:rsid w:val="00540FB9"/>
    <w:rsid w:val="00541018"/>
    <w:rsid w:val="0054113B"/>
    <w:rsid w:val="00541153"/>
    <w:rsid w:val="0054122B"/>
    <w:rsid w:val="0054185D"/>
    <w:rsid w:val="00541C9A"/>
    <w:rsid w:val="00542765"/>
    <w:rsid w:val="00542B6C"/>
    <w:rsid w:val="00542E25"/>
    <w:rsid w:val="00543359"/>
    <w:rsid w:val="00543ADF"/>
    <w:rsid w:val="0054449E"/>
    <w:rsid w:val="00544781"/>
    <w:rsid w:val="005448C8"/>
    <w:rsid w:val="00544C0C"/>
    <w:rsid w:val="0054526A"/>
    <w:rsid w:val="0054543E"/>
    <w:rsid w:val="005459A2"/>
    <w:rsid w:val="00545BE7"/>
    <w:rsid w:val="00545E62"/>
    <w:rsid w:val="0054628B"/>
    <w:rsid w:val="005507AC"/>
    <w:rsid w:val="005509FF"/>
    <w:rsid w:val="00551411"/>
    <w:rsid w:val="00551423"/>
    <w:rsid w:val="00551828"/>
    <w:rsid w:val="0055244E"/>
    <w:rsid w:val="00552656"/>
    <w:rsid w:val="0055281C"/>
    <w:rsid w:val="00552BFD"/>
    <w:rsid w:val="00552CF6"/>
    <w:rsid w:val="005530E2"/>
    <w:rsid w:val="0055310F"/>
    <w:rsid w:val="00554117"/>
    <w:rsid w:val="00554295"/>
    <w:rsid w:val="005542B5"/>
    <w:rsid w:val="005543F0"/>
    <w:rsid w:val="0055470C"/>
    <w:rsid w:val="0055481F"/>
    <w:rsid w:val="005549CA"/>
    <w:rsid w:val="00554C23"/>
    <w:rsid w:val="0055530F"/>
    <w:rsid w:val="0055584F"/>
    <w:rsid w:val="00556108"/>
    <w:rsid w:val="00556EC8"/>
    <w:rsid w:val="00557235"/>
    <w:rsid w:val="00557A04"/>
    <w:rsid w:val="00557FF7"/>
    <w:rsid w:val="005604F2"/>
    <w:rsid w:val="00560EEA"/>
    <w:rsid w:val="0056153B"/>
    <w:rsid w:val="00561751"/>
    <w:rsid w:val="005618A1"/>
    <w:rsid w:val="00561A18"/>
    <w:rsid w:val="00561CD8"/>
    <w:rsid w:val="00562013"/>
    <w:rsid w:val="00562544"/>
    <w:rsid w:val="00562C4B"/>
    <w:rsid w:val="00563120"/>
    <w:rsid w:val="00563152"/>
    <w:rsid w:val="00563763"/>
    <w:rsid w:val="00563792"/>
    <w:rsid w:val="00563B42"/>
    <w:rsid w:val="00563E31"/>
    <w:rsid w:val="0056457F"/>
    <w:rsid w:val="00564ACF"/>
    <w:rsid w:val="005654D7"/>
    <w:rsid w:val="00565D41"/>
    <w:rsid w:val="00566C77"/>
    <w:rsid w:val="00566F66"/>
    <w:rsid w:val="00567D73"/>
    <w:rsid w:val="00570014"/>
    <w:rsid w:val="00570163"/>
    <w:rsid w:val="005701CE"/>
    <w:rsid w:val="00570423"/>
    <w:rsid w:val="00570493"/>
    <w:rsid w:val="00571A25"/>
    <w:rsid w:val="0057237F"/>
    <w:rsid w:val="005726B2"/>
    <w:rsid w:val="00572745"/>
    <w:rsid w:val="00572C1D"/>
    <w:rsid w:val="00572EBB"/>
    <w:rsid w:val="005735FF"/>
    <w:rsid w:val="00573BF7"/>
    <w:rsid w:val="005743C3"/>
    <w:rsid w:val="005746BF"/>
    <w:rsid w:val="005750EB"/>
    <w:rsid w:val="005752BF"/>
    <w:rsid w:val="0057553C"/>
    <w:rsid w:val="00575996"/>
    <w:rsid w:val="00575B5A"/>
    <w:rsid w:val="00575B6B"/>
    <w:rsid w:val="00575F85"/>
    <w:rsid w:val="00576166"/>
    <w:rsid w:val="0057647B"/>
    <w:rsid w:val="0057699B"/>
    <w:rsid w:val="0057741D"/>
    <w:rsid w:val="00577796"/>
    <w:rsid w:val="00577C7C"/>
    <w:rsid w:val="0058032C"/>
    <w:rsid w:val="005804D2"/>
    <w:rsid w:val="00580AA7"/>
    <w:rsid w:val="005810A4"/>
    <w:rsid w:val="00581D29"/>
    <w:rsid w:val="00581ED9"/>
    <w:rsid w:val="005820E7"/>
    <w:rsid w:val="00582AD4"/>
    <w:rsid w:val="00582C60"/>
    <w:rsid w:val="00582D07"/>
    <w:rsid w:val="0058360F"/>
    <w:rsid w:val="00584248"/>
    <w:rsid w:val="00584537"/>
    <w:rsid w:val="00584901"/>
    <w:rsid w:val="00585405"/>
    <w:rsid w:val="005857EA"/>
    <w:rsid w:val="00585BAE"/>
    <w:rsid w:val="00585F42"/>
    <w:rsid w:val="0058632B"/>
    <w:rsid w:val="00586975"/>
    <w:rsid w:val="00586C2E"/>
    <w:rsid w:val="005870FB"/>
    <w:rsid w:val="005875C6"/>
    <w:rsid w:val="005878BE"/>
    <w:rsid w:val="00587E24"/>
    <w:rsid w:val="00590379"/>
    <w:rsid w:val="00590B0D"/>
    <w:rsid w:val="00590C8E"/>
    <w:rsid w:val="00590E6F"/>
    <w:rsid w:val="00590F45"/>
    <w:rsid w:val="005916FA"/>
    <w:rsid w:val="00591970"/>
    <w:rsid w:val="00592B7F"/>
    <w:rsid w:val="00592FE0"/>
    <w:rsid w:val="005931AE"/>
    <w:rsid w:val="00593939"/>
    <w:rsid w:val="00593B5A"/>
    <w:rsid w:val="00593CBC"/>
    <w:rsid w:val="00594480"/>
    <w:rsid w:val="00594534"/>
    <w:rsid w:val="005945AC"/>
    <w:rsid w:val="0059497E"/>
    <w:rsid w:val="00594A88"/>
    <w:rsid w:val="0059514A"/>
    <w:rsid w:val="005955F3"/>
    <w:rsid w:val="00595AFA"/>
    <w:rsid w:val="005962D8"/>
    <w:rsid w:val="005966F9"/>
    <w:rsid w:val="00596DC0"/>
    <w:rsid w:val="00597000"/>
    <w:rsid w:val="0059752B"/>
    <w:rsid w:val="00597841"/>
    <w:rsid w:val="005A0128"/>
    <w:rsid w:val="005A015B"/>
    <w:rsid w:val="005A0266"/>
    <w:rsid w:val="005A09DC"/>
    <w:rsid w:val="005A0B0C"/>
    <w:rsid w:val="005A0B0E"/>
    <w:rsid w:val="005A0E8D"/>
    <w:rsid w:val="005A1BAB"/>
    <w:rsid w:val="005A2E02"/>
    <w:rsid w:val="005A2E15"/>
    <w:rsid w:val="005A3091"/>
    <w:rsid w:val="005A3340"/>
    <w:rsid w:val="005A3BCC"/>
    <w:rsid w:val="005A469E"/>
    <w:rsid w:val="005A479B"/>
    <w:rsid w:val="005A4BF9"/>
    <w:rsid w:val="005A4ECA"/>
    <w:rsid w:val="005A5016"/>
    <w:rsid w:val="005A58F4"/>
    <w:rsid w:val="005A5C38"/>
    <w:rsid w:val="005A5E4B"/>
    <w:rsid w:val="005A60FD"/>
    <w:rsid w:val="005A6478"/>
    <w:rsid w:val="005A6490"/>
    <w:rsid w:val="005A6DC0"/>
    <w:rsid w:val="005A71FF"/>
    <w:rsid w:val="005A7C2D"/>
    <w:rsid w:val="005B046E"/>
    <w:rsid w:val="005B0D2C"/>
    <w:rsid w:val="005B1B43"/>
    <w:rsid w:val="005B1D08"/>
    <w:rsid w:val="005B1DA6"/>
    <w:rsid w:val="005B1E97"/>
    <w:rsid w:val="005B1F92"/>
    <w:rsid w:val="005B2439"/>
    <w:rsid w:val="005B26D2"/>
    <w:rsid w:val="005B27E0"/>
    <w:rsid w:val="005B28FF"/>
    <w:rsid w:val="005B292D"/>
    <w:rsid w:val="005B2C1D"/>
    <w:rsid w:val="005B2F95"/>
    <w:rsid w:val="005B41CB"/>
    <w:rsid w:val="005B42EF"/>
    <w:rsid w:val="005B4FE3"/>
    <w:rsid w:val="005B5080"/>
    <w:rsid w:val="005B52F6"/>
    <w:rsid w:val="005B530D"/>
    <w:rsid w:val="005B5A14"/>
    <w:rsid w:val="005B6A69"/>
    <w:rsid w:val="005B7235"/>
    <w:rsid w:val="005B72AD"/>
    <w:rsid w:val="005B7EB2"/>
    <w:rsid w:val="005C01A3"/>
    <w:rsid w:val="005C0A27"/>
    <w:rsid w:val="005C1551"/>
    <w:rsid w:val="005C17F3"/>
    <w:rsid w:val="005C1C7B"/>
    <w:rsid w:val="005C1DF3"/>
    <w:rsid w:val="005C222F"/>
    <w:rsid w:val="005C2AE1"/>
    <w:rsid w:val="005C2E6D"/>
    <w:rsid w:val="005C345B"/>
    <w:rsid w:val="005C35F7"/>
    <w:rsid w:val="005C3601"/>
    <w:rsid w:val="005C3AE7"/>
    <w:rsid w:val="005C3C5A"/>
    <w:rsid w:val="005C4744"/>
    <w:rsid w:val="005C49FA"/>
    <w:rsid w:val="005C4A2D"/>
    <w:rsid w:val="005C4AC4"/>
    <w:rsid w:val="005C4BC8"/>
    <w:rsid w:val="005C50B0"/>
    <w:rsid w:val="005C5183"/>
    <w:rsid w:val="005C5A8C"/>
    <w:rsid w:val="005C61FF"/>
    <w:rsid w:val="005C64B5"/>
    <w:rsid w:val="005C6C08"/>
    <w:rsid w:val="005C6E18"/>
    <w:rsid w:val="005C6EBC"/>
    <w:rsid w:val="005C7378"/>
    <w:rsid w:val="005C7CA6"/>
    <w:rsid w:val="005D015E"/>
    <w:rsid w:val="005D02A2"/>
    <w:rsid w:val="005D09A0"/>
    <w:rsid w:val="005D1972"/>
    <w:rsid w:val="005D2216"/>
    <w:rsid w:val="005D22F9"/>
    <w:rsid w:val="005D2A4D"/>
    <w:rsid w:val="005D2CE9"/>
    <w:rsid w:val="005D311F"/>
    <w:rsid w:val="005D3644"/>
    <w:rsid w:val="005D3988"/>
    <w:rsid w:val="005D3A5E"/>
    <w:rsid w:val="005D3C96"/>
    <w:rsid w:val="005D4754"/>
    <w:rsid w:val="005D4EDE"/>
    <w:rsid w:val="005D58C4"/>
    <w:rsid w:val="005D5B91"/>
    <w:rsid w:val="005D5DB9"/>
    <w:rsid w:val="005D5E0A"/>
    <w:rsid w:val="005D6388"/>
    <w:rsid w:val="005D63FA"/>
    <w:rsid w:val="005D67DA"/>
    <w:rsid w:val="005D6C52"/>
    <w:rsid w:val="005D7259"/>
    <w:rsid w:val="005D735D"/>
    <w:rsid w:val="005D7E32"/>
    <w:rsid w:val="005E0D55"/>
    <w:rsid w:val="005E138F"/>
    <w:rsid w:val="005E1493"/>
    <w:rsid w:val="005E23BB"/>
    <w:rsid w:val="005E253E"/>
    <w:rsid w:val="005E2A2C"/>
    <w:rsid w:val="005E2AA5"/>
    <w:rsid w:val="005E3194"/>
    <w:rsid w:val="005E3219"/>
    <w:rsid w:val="005E3256"/>
    <w:rsid w:val="005E33A8"/>
    <w:rsid w:val="005E33FA"/>
    <w:rsid w:val="005E3864"/>
    <w:rsid w:val="005E3DFA"/>
    <w:rsid w:val="005E3F5A"/>
    <w:rsid w:val="005E4138"/>
    <w:rsid w:val="005E4227"/>
    <w:rsid w:val="005E45AA"/>
    <w:rsid w:val="005E4CA2"/>
    <w:rsid w:val="005E4F0D"/>
    <w:rsid w:val="005E5319"/>
    <w:rsid w:val="005E537B"/>
    <w:rsid w:val="005E53D3"/>
    <w:rsid w:val="005E579E"/>
    <w:rsid w:val="005E5E48"/>
    <w:rsid w:val="005E5F0D"/>
    <w:rsid w:val="005E6EC6"/>
    <w:rsid w:val="005E6FD6"/>
    <w:rsid w:val="005E72F4"/>
    <w:rsid w:val="005E7AF0"/>
    <w:rsid w:val="005F001F"/>
    <w:rsid w:val="005F149F"/>
    <w:rsid w:val="005F14E8"/>
    <w:rsid w:val="005F1A1C"/>
    <w:rsid w:val="005F27FC"/>
    <w:rsid w:val="005F29E0"/>
    <w:rsid w:val="005F2B26"/>
    <w:rsid w:val="005F2BCD"/>
    <w:rsid w:val="005F2C22"/>
    <w:rsid w:val="005F2C8A"/>
    <w:rsid w:val="005F336C"/>
    <w:rsid w:val="005F341E"/>
    <w:rsid w:val="005F3530"/>
    <w:rsid w:val="005F37D3"/>
    <w:rsid w:val="005F388B"/>
    <w:rsid w:val="005F3D59"/>
    <w:rsid w:val="005F3F27"/>
    <w:rsid w:val="005F44E3"/>
    <w:rsid w:val="005F4A27"/>
    <w:rsid w:val="005F4C82"/>
    <w:rsid w:val="005F50E8"/>
    <w:rsid w:val="005F5DB7"/>
    <w:rsid w:val="005F60FD"/>
    <w:rsid w:val="005F6242"/>
    <w:rsid w:val="005F6525"/>
    <w:rsid w:val="005F65A8"/>
    <w:rsid w:val="005F6669"/>
    <w:rsid w:val="005F6895"/>
    <w:rsid w:val="005F6F23"/>
    <w:rsid w:val="005F7AF3"/>
    <w:rsid w:val="005F7C81"/>
    <w:rsid w:val="006001CE"/>
    <w:rsid w:val="00600B33"/>
    <w:rsid w:val="00600BA2"/>
    <w:rsid w:val="00600C24"/>
    <w:rsid w:val="00601066"/>
    <w:rsid w:val="0060119D"/>
    <w:rsid w:val="0060133B"/>
    <w:rsid w:val="00601427"/>
    <w:rsid w:val="006017DB"/>
    <w:rsid w:val="00601B3C"/>
    <w:rsid w:val="00601BFC"/>
    <w:rsid w:val="00601FAF"/>
    <w:rsid w:val="00602197"/>
    <w:rsid w:val="00602690"/>
    <w:rsid w:val="0060356E"/>
    <w:rsid w:val="00604948"/>
    <w:rsid w:val="00605004"/>
    <w:rsid w:val="006051DD"/>
    <w:rsid w:val="006052B3"/>
    <w:rsid w:val="00605387"/>
    <w:rsid w:val="006053F1"/>
    <w:rsid w:val="00605DAD"/>
    <w:rsid w:val="00605F77"/>
    <w:rsid w:val="00605FEE"/>
    <w:rsid w:val="00606083"/>
    <w:rsid w:val="006063B4"/>
    <w:rsid w:val="00606B0D"/>
    <w:rsid w:val="00606C52"/>
    <w:rsid w:val="00607917"/>
    <w:rsid w:val="0061005A"/>
    <w:rsid w:val="00611943"/>
    <w:rsid w:val="0061196C"/>
    <w:rsid w:val="00611B82"/>
    <w:rsid w:val="006121C0"/>
    <w:rsid w:val="006126B9"/>
    <w:rsid w:val="00612700"/>
    <w:rsid w:val="006131B8"/>
    <w:rsid w:val="00613277"/>
    <w:rsid w:val="0061350F"/>
    <w:rsid w:val="0061372B"/>
    <w:rsid w:val="006139BC"/>
    <w:rsid w:val="00613A8A"/>
    <w:rsid w:val="0061406E"/>
    <w:rsid w:val="006140E6"/>
    <w:rsid w:val="0061448F"/>
    <w:rsid w:val="006145AC"/>
    <w:rsid w:val="006146EB"/>
    <w:rsid w:val="006150DB"/>
    <w:rsid w:val="0061518E"/>
    <w:rsid w:val="006152B3"/>
    <w:rsid w:val="006152F1"/>
    <w:rsid w:val="00615530"/>
    <w:rsid w:val="0061587A"/>
    <w:rsid w:val="00615CC3"/>
    <w:rsid w:val="00615E4E"/>
    <w:rsid w:val="006166F3"/>
    <w:rsid w:val="0061694B"/>
    <w:rsid w:val="00616A30"/>
    <w:rsid w:val="00616E10"/>
    <w:rsid w:val="00616F19"/>
    <w:rsid w:val="006173C6"/>
    <w:rsid w:val="00617A07"/>
    <w:rsid w:val="00617CC7"/>
    <w:rsid w:val="00617E2C"/>
    <w:rsid w:val="00620361"/>
    <w:rsid w:val="0062049C"/>
    <w:rsid w:val="0062059B"/>
    <w:rsid w:val="00620E7B"/>
    <w:rsid w:val="006216E8"/>
    <w:rsid w:val="00622353"/>
    <w:rsid w:val="006224A7"/>
    <w:rsid w:val="006227E4"/>
    <w:rsid w:val="00623B80"/>
    <w:rsid w:val="00623CCC"/>
    <w:rsid w:val="00623FD0"/>
    <w:rsid w:val="00623FF3"/>
    <w:rsid w:val="00625D0A"/>
    <w:rsid w:val="00626668"/>
    <w:rsid w:val="00626814"/>
    <w:rsid w:val="00626B86"/>
    <w:rsid w:val="00626C37"/>
    <w:rsid w:val="00626FD5"/>
    <w:rsid w:val="006303F7"/>
    <w:rsid w:val="00630741"/>
    <w:rsid w:val="00630D9C"/>
    <w:rsid w:val="00631167"/>
    <w:rsid w:val="00631767"/>
    <w:rsid w:val="00631818"/>
    <w:rsid w:val="00631988"/>
    <w:rsid w:val="006319F1"/>
    <w:rsid w:val="00631BC3"/>
    <w:rsid w:val="00632194"/>
    <w:rsid w:val="0063235B"/>
    <w:rsid w:val="006323D5"/>
    <w:rsid w:val="00633034"/>
    <w:rsid w:val="0063349D"/>
    <w:rsid w:val="00633850"/>
    <w:rsid w:val="00633A78"/>
    <w:rsid w:val="00633F2D"/>
    <w:rsid w:val="00633FDB"/>
    <w:rsid w:val="006342A6"/>
    <w:rsid w:val="00634364"/>
    <w:rsid w:val="006346F2"/>
    <w:rsid w:val="00634939"/>
    <w:rsid w:val="00635494"/>
    <w:rsid w:val="006356F0"/>
    <w:rsid w:val="00635C02"/>
    <w:rsid w:val="00635E01"/>
    <w:rsid w:val="00635E49"/>
    <w:rsid w:val="00636886"/>
    <w:rsid w:val="00636CD1"/>
    <w:rsid w:val="00636E58"/>
    <w:rsid w:val="00640176"/>
    <w:rsid w:val="006402B0"/>
    <w:rsid w:val="00640C01"/>
    <w:rsid w:val="00640C9C"/>
    <w:rsid w:val="00640E6C"/>
    <w:rsid w:val="00641132"/>
    <w:rsid w:val="00641297"/>
    <w:rsid w:val="00641A64"/>
    <w:rsid w:val="00641BA4"/>
    <w:rsid w:val="0064203F"/>
    <w:rsid w:val="00642525"/>
    <w:rsid w:val="006429C7"/>
    <w:rsid w:val="00642CDD"/>
    <w:rsid w:val="00642E5B"/>
    <w:rsid w:val="00643520"/>
    <w:rsid w:val="006435BA"/>
    <w:rsid w:val="0064391B"/>
    <w:rsid w:val="00643C43"/>
    <w:rsid w:val="00643E69"/>
    <w:rsid w:val="006440EA"/>
    <w:rsid w:val="00644A46"/>
    <w:rsid w:val="00644D87"/>
    <w:rsid w:val="00644E37"/>
    <w:rsid w:val="00645A90"/>
    <w:rsid w:val="00645BB0"/>
    <w:rsid w:val="00646360"/>
    <w:rsid w:val="00646472"/>
    <w:rsid w:val="0064659E"/>
    <w:rsid w:val="00646608"/>
    <w:rsid w:val="00646616"/>
    <w:rsid w:val="00646D2B"/>
    <w:rsid w:val="006473C6"/>
    <w:rsid w:val="0064783F"/>
    <w:rsid w:val="00647A80"/>
    <w:rsid w:val="00647BA6"/>
    <w:rsid w:val="00647DE3"/>
    <w:rsid w:val="00650193"/>
    <w:rsid w:val="006504EE"/>
    <w:rsid w:val="006505DF"/>
    <w:rsid w:val="00650DD3"/>
    <w:rsid w:val="00650EF9"/>
    <w:rsid w:val="00651292"/>
    <w:rsid w:val="0065162E"/>
    <w:rsid w:val="00651FF6"/>
    <w:rsid w:val="00652502"/>
    <w:rsid w:val="006525AD"/>
    <w:rsid w:val="006525B0"/>
    <w:rsid w:val="006527FB"/>
    <w:rsid w:val="00652C08"/>
    <w:rsid w:val="00653289"/>
    <w:rsid w:val="00653F28"/>
    <w:rsid w:val="00653F48"/>
    <w:rsid w:val="006540EA"/>
    <w:rsid w:val="006541B7"/>
    <w:rsid w:val="00654699"/>
    <w:rsid w:val="00654AAF"/>
    <w:rsid w:val="00654F69"/>
    <w:rsid w:val="006559D6"/>
    <w:rsid w:val="00655A10"/>
    <w:rsid w:val="00655B65"/>
    <w:rsid w:val="00656601"/>
    <w:rsid w:val="00657155"/>
    <w:rsid w:val="00657410"/>
    <w:rsid w:val="0065781A"/>
    <w:rsid w:val="00657D62"/>
    <w:rsid w:val="006603E5"/>
    <w:rsid w:val="006606C0"/>
    <w:rsid w:val="00660B3C"/>
    <w:rsid w:val="00660BE9"/>
    <w:rsid w:val="006614B5"/>
    <w:rsid w:val="0066196A"/>
    <w:rsid w:val="00661D60"/>
    <w:rsid w:val="00661F96"/>
    <w:rsid w:val="00662577"/>
    <w:rsid w:val="00662683"/>
    <w:rsid w:val="0066285E"/>
    <w:rsid w:val="00662BFE"/>
    <w:rsid w:val="006632AF"/>
    <w:rsid w:val="00665116"/>
    <w:rsid w:val="006655CC"/>
    <w:rsid w:val="006657EA"/>
    <w:rsid w:val="0066598B"/>
    <w:rsid w:val="00665D2C"/>
    <w:rsid w:val="00665DA2"/>
    <w:rsid w:val="0066625E"/>
    <w:rsid w:val="00666352"/>
    <w:rsid w:val="00666427"/>
    <w:rsid w:val="00666654"/>
    <w:rsid w:val="00666DFE"/>
    <w:rsid w:val="0066762B"/>
    <w:rsid w:val="00667B6B"/>
    <w:rsid w:val="006710E4"/>
    <w:rsid w:val="00671299"/>
    <w:rsid w:val="006712EC"/>
    <w:rsid w:val="0067135D"/>
    <w:rsid w:val="0067141C"/>
    <w:rsid w:val="00671600"/>
    <w:rsid w:val="00671659"/>
    <w:rsid w:val="006716D1"/>
    <w:rsid w:val="0067189A"/>
    <w:rsid w:val="00671BFA"/>
    <w:rsid w:val="00671D64"/>
    <w:rsid w:val="00673530"/>
    <w:rsid w:val="00673BB2"/>
    <w:rsid w:val="006742F4"/>
    <w:rsid w:val="006747EA"/>
    <w:rsid w:val="0067496A"/>
    <w:rsid w:val="00674AE3"/>
    <w:rsid w:val="0067514C"/>
    <w:rsid w:val="00675617"/>
    <w:rsid w:val="00675C2D"/>
    <w:rsid w:val="00675D9D"/>
    <w:rsid w:val="00676183"/>
    <w:rsid w:val="006761F0"/>
    <w:rsid w:val="00677769"/>
    <w:rsid w:val="00677AE5"/>
    <w:rsid w:val="00677F55"/>
    <w:rsid w:val="00677FCA"/>
    <w:rsid w:val="006800CA"/>
    <w:rsid w:val="00680EC0"/>
    <w:rsid w:val="00681BD6"/>
    <w:rsid w:val="00682097"/>
    <w:rsid w:val="006823A7"/>
    <w:rsid w:val="006824E7"/>
    <w:rsid w:val="00682CB2"/>
    <w:rsid w:val="006832F6"/>
    <w:rsid w:val="00683371"/>
    <w:rsid w:val="006836DD"/>
    <w:rsid w:val="00683A12"/>
    <w:rsid w:val="006840B8"/>
    <w:rsid w:val="0068454A"/>
    <w:rsid w:val="00684F2E"/>
    <w:rsid w:val="00686F6C"/>
    <w:rsid w:val="00686FC2"/>
    <w:rsid w:val="00687120"/>
    <w:rsid w:val="006873A4"/>
    <w:rsid w:val="006873F8"/>
    <w:rsid w:val="0068755E"/>
    <w:rsid w:val="00687E88"/>
    <w:rsid w:val="0069037D"/>
    <w:rsid w:val="00690387"/>
    <w:rsid w:val="006905B0"/>
    <w:rsid w:val="0069214B"/>
    <w:rsid w:val="00692188"/>
    <w:rsid w:val="00692B5E"/>
    <w:rsid w:val="00692DB0"/>
    <w:rsid w:val="00692DB4"/>
    <w:rsid w:val="00692EA7"/>
    <w:rsid w:val="0069371D"/>
    <w:rsid w:val="00694489"/>
    <w:rsid w:val="0069482F"/>
    <w:rsid w:val="00694912"/>
    <w:rsid w:val="00694E73"/>
    <w:rsid w:val="00695611"/>
    <w:rsid w:val="006957E0"/>
    <w:rsid w:val="0069676C"/>
    <w:rsid w:val="00696808"/>
    <w:rsid w:val="00696A2C"/>
    <w:rsid w:val="00696A43"/>
    <w:rsid w:val="00696D94"/>
    <w:rsid w:val="00696E15"/>
    <w:rsid w:val="006972A7"/>
    <w:rsid w:val="00697749"/>
    <w:rsid w:val="006977B0"/>
    <w:rsid w:val="006977C6"/>
    <w:rsid w:val="00697E0E"/>
    <w:rsid w:val="00697F8A"/>
    <w:rsid w:val="006A0788"/>
    <w:rsid w:val="006A0C03"/>
    <w:rsid w:val="006A0DDF"/>
    <w:rsid w:val="006A1612"/>
    <w:rsid w:val="006A188F"/>
    <w:rsid w:val="006A1AED"/>
    <w:rsid w:val="006A2669"/>
    <w:rsid w:val="006A2755"/>
    <w:rsid w:val="006A28F2"/>
    <w:rsid w:val="006A2B2A"/>
    <w:rsid w:val="006A333E"/>
    <w:rsid w:val="006A3492"/>
    <w:rsid w:val="006A3CC7"/>
    <w:rsid w:val="006A4315"/>
    <w:rsid w:val="006A468F"/>
    <w:rsid w:val="006A478B"/>
    <w:rsid w:val="006A4E88"/>
    <w:rsid w:val="006A4EB9"/>
    <w:rsid w:val="006A5505"/>
    <w:rsid w:val="006A5CA0"/>
    <w:rsid w:val="006A5D3E"/>
    <w:rsid w:val="006A6281"/>
    <w:rsid w:val="006A646B"/>
    <w:rsid w:val="006A702F"/>
    <w:rsid w:val="006A74D9"/>
    <w:rsid w:val="006A7B50"/>
    <w:rsid w:val="006A7D6F"/>
    <w:rsid w:val="006B007B"/>
    <w:rsid w:val="006B02CF"/>
    <w:rsid w:val="006B0E8E"/>
    <w:rsid w:val="006B11E7"/>
    <w:rsid w:val="006B19E4"/>
    <w:rsid w:val="006B1D80"/>
    <w:rsid w:val="006B214B"/>
    <w:rsid w:val="006B23A6"/>
    <w:rsid w:val="006B2AD2"/>
    <w:rsid w:val="006B2DAD"/>
    <w:rsid w:val="006B3050"/>
    <w:rsid w:val="006B3B7F"/>
    <w:rsid w:val="006B3E51"/>
    <w:rsid w:val="006B423E"/>
    <w:rsid w:val="006B477C"/>
    <w:rsid w:val="006B54CE"/>
    <w:rsid w:val="006B563B"/>
    <w:rsid w:val="006B5AC5"/>
    <w:rsid w:val="006B5BB6"/>
    <w:rsid w:val="006B62A7"/>
    <w:rsid w:val="006B659A"/>
    <w:rsid w:val="006B65C0"/>
    <w:rsid w:val="006B6CA2"/>
    <w:rsid w:val="006B727E"/>
    <w:rsid w:val="006B74FF"/>
    <w:rsid w:val="006B7920"/>
    <w:rsid w:val="006B7D87"/>
    <w:rsid w:val="006C0150"/>
    <w:rsid w:val="006C0DC4"/>
    <w:rsid w:val="006C19A0"/>
    <w:rsid w:val="006C1B1D"/>
    <w:rsid w:val="006C1C76"/>
    <w:rsid w:val="006C21D7"/>
    <w:rsid w:val="006C2822"/>
    <w:rsid w:val="006C2D9B"/>
    <w:rsid w:val="006C35BA"/>
    <w:rsid w:val="006C3BB0"/>
    <w:rsid w:val="006C3CBD"/>
    <w:rsid w:val="006C3CD4"/>
    <w:rsid w:val="006C3FA6"/>
    <w:rsid w:val="006C491D"/>
    <w:rsid w:val="006C4B4B"/>
    <w:rsid w:val="006C4CA6"/>
    <w:rsid w:val="006C58CF"/>
    <w:rsid w:val="006C598B"/>
    <w:rsid w:val="006C5AD2"/>
    <w:rsid w:val="006C5E54"/>
    <w:rsid w:val="006C60AE"/>
    <w:rsid w:val="006C617E"/>
    <w:rsid w:val="006C6387"/>
    <w:rsid w:val="006C67FC"/>
    <w:rsid w:val="006C698A"/>
    <w:rsid w:val="006C6C64"/>
    <w:rsid w:val="006C6C69"/>
    <w:rsid w:val="006C6EEE"/>
    <w:rsid w:val="006C71D2"/>
    <w:rsid w:val="006C72B9"/>
    <w:rsid w:val="006C75AC"/>
    <w:rsid w:val="006D00CB"/>
    <w:rsid w:val="006D0E14"/>
    <w:rsid w:val="006D126F"/>
    <w:rsid w:val="006D1619"/>
    <w:rsid w:val="006D16C4"/>
    <w:rsid w:val="006D1747"/>
    <w:rsid w:val="006D2000"/>
    <w:rsid w:val="006D21C6"/>
    <w:rsid w:val="006D225F"/>
    <w:rsid w:val="006D3789"/>
    <w:rsid w:val="006D38EB"/>
    <w:rsid w:val="006D3C31"/>
    <w:rsid w:val="006D4085"/>
    <w:rsid w:val="006D4238"/>
    <w:rsid w:val="006D4241"/>
    <w:rsid w:val="006D433C"/>
    <w:rsid w:val="006D4BB7"/>
    <w:rsid w:val="006D4F13"/>
    <w:rsid w:val="006D53A8"/>
    <w:rsid w:val="006D5812"/>
    <w:rsid w:val="006D59CC"/>
    <w:rsid w:val="006D66E5"/>
    <w:rsid w:val="006D697B"/>
    <w:rsid w:val="006D6C51"/>
    <w:rsid w:val="006D6DE6"/>
    <w:rsid w:val="006D7483"/>
    <w:rsid w:val="006D77A2"/>
    <w:rsid w:val="006D7E3F"/>
    <w:rsid w:val="006E002F"/>
    <w:rsid w:val="006E02C7"/>
    <w:rsid w:val="006E0ABD"/>
    <w:rsid w:val="006E1990"/>
    <w:rsid w:val="006E2078"/>
    <w:rsid w:val="006E217A"/>
    <w:rsid w:val="006E229B"/>
    <w:rsid w:val="006E297D"/>
    <w:rsid w:val="006E2DA0"/>
    <w:rsid w:val="006E3341"/>
    <w:rsid w:val="006E3A3F"/>
    <w:rsid w:val="006E3A8A"/>
    <w:rsid w:val="006E439B"/>
    <w:rsid w:val="006E447D"/>
    <w:rsid w:val="006E50FD"/>
    <w:rsid w:val="006E552A"/>
    <w:rsid w:val="006E573B"/>
    <w:rsid w:val="006E5D71"/>
    <w:rsid w:val="006E64CC"/>
    <w:rsid w:val="006E6C5D"/>
    <w:rsid w:val="006E6C89"/>
    <w:rsid w:val="006E6D6D"/>
    <w:rsid w:val="006E6D8E"/>
    <w:rsid w:val="006E74C2"/>
    <w:rsid w:val="006E7873"/>
    <w:rsid w:val="006E7C20"/>
    <w:rsid w:val="006F00DC"/>
    <w:rsid w:val="006F082E"/>
    <w:rsid w:val="006F0A80"/>
    <w:rsid w:val="006F0C77"/>
    <w:rsid w:val="006F0ED2"/>
    <w:rsid w:val="006F102E"/>
    <w:rsid w:val="006F1639"/>
    <w:rsid w:val="006F18CE"/>
    <w:rsid w:val="006F1944"/>
    <w:rsid w:val="006F1C4A"/>
    <w:rsid w:val="006F1CA1"/>
    <w:rsid w:val="006F21D6"/>
    <w:rsid w:val="006F220C"/>
    <w:rsid w:val="006F2589"/>
    <w:rsid w:val="006F3582"/>
    <w:rsid w:val="006F3AD5"/>
    <w:rsid w:val="006F45F9"/>
    <w:rsid w:val="006F4717"/>
    <w:rsid w:val="006F4A24"/>
    <w:rsid w:val="006F4C5E"/>
    <w:rsid w:val="006F4D0F"/>
    <w:rsid w:val="006F51BD"/>
    <w:rsid w:val="006F5360"/>
    <w:rsid w:val="006F5380"/>
    <w:rsid w:val="006F5562"/>
    <w:rsid w:val="006F5C04"/>
    <w:rsid w:val="006F639D"/>
    <w:rsid w:val="006F685E"/>
    <w:rsid w:val="006F72AD"/>
    <w:rsid w:val="006F78E2"/>
    <w:rsid w:val="00700999"/>
    <w:rsid w:val="00700CE3"/>
    <w:rsid w:val="00700EEB"/>
    <w:rsid w:val="0070189B"/>
    <w:rsid w:val="007018AA"/>
    <w:rsid w:val="00702040"/>
    <w:rsid w:val="0070204A"/>
    <w:rsid w:val="00702489"/>
    <w:rsid w:val="0070256F"/>
    <w:rsid w:val="00702703"/>
    <w:rsid w:val="00703083"/>
    <w:rsid w:val="0070309F"/>
    <w:rsid w:val="007035DF"/>
    <w:rsid w:val="00703E99"/>
    <w:rsid w:val="00704AFF"/>
    <w:rsid w:val="00704B0A"/>
    <w:rsid w:val="00705A12"/>
    <w:rsid w:val="00705AA8"/>
    <w:rsid w:val="00705B27"/>
    <w:rsid w:val="00705BC7"/>
    <w:rsid w:val="00705BDF"/>
    <w:rsid w:val="00705D38"/>
    <w:rsid w:val="00705F32"/>
    <w:rsid w:val="0070617F"/>
    <w:rsid w:val="007062FE"/>
    <w:rsid w:val="007071E9"/>
    <w:rsid w:val="007072E4"/>
    <w:rsid w:val="007076E1"/>
    <w:rsid w:val="007100EF"/>
    <w:rsid w:val="00710393"/>
    <w:rsid w:val="00710620"/>
    <w:rsid w:val="00710878"/>
    <w:rsid w:val="00710A26"/>
    <w:rsid w:val="007111BD"/>
    <w:rsid w:val="00711421"/>
    <w:rsid w:val="00711588"/>
    <w:rsid w:val="007115AF"/>
    <w:rsid w:val="00711C29"/>
    <w:rsid w:val="00711EF7"/>
    <w:rsid w:val="0071205B"/>
    <w:rsid w:val="007123D1"/>
    <w:rsid w:val="0071259D"/>
    <w:rsid w:val="007125F8"/>
    <w:rsid w:val="00712D96"/>
    <w:rsid w:val="00712E88"/>
    <w:rsid w:val="00712FB3"/>
    <w:rsid w:val="0071376F"/>
    <w:rsid w:val="007139BD"/>
    <w:rsid w:val="007150F1"/>
    <w:rsid w:val="0071558E"/>
    <w:rsid w:val="007155BD"/>
    <w:rsid w:val="00715778"/>
    <w:rsid w:val="00715A20"/>
    <w:rsid w:val="00715CE4"/>
    <w:rsid w:val="00715D25"/>
    <w:rsid w:val="007162B3"/>
    <w:rsid w:val="0071639E"/>
    <w:rsid w:val="00716CE6"/>
    <w:rsid w:val="00716DEA"/>
    <w:rsid w:val="00717703"/>
    <w:rsid w:val="00717811"/>
    <w:rsid w:val="00717E4E"/>
    <w:rsid w:val="00720075"/>
    <w:rsid w:val="0072058A"/>
    <w:rsid w:val="007206A6"/>
    <w:rsid w:val="00720BE2"/>
    <w:rsid w:val="00720CB9"/>
    <w:rsid w:val="00720EF0"/>
    <w:rsid w:val="00720F46"/>
    <w:rsid w:val="007211EB"/>
    <w:rsid w:val="007214FE"/>
    <w:rsid w:val="007215E3"/>
    <w:rsid w:val="00721B00"/>
    <w:rsid w:val="0072220C"/>
    <w:rsid w:val="00722431"/>
    <w:rsid w:val="00722A07"/>
    <w:rsid w:val="00722B16"/>
    <w:rsid w:val="00722CB3"/>
    <w:rsid w:val="00722F5B"/>
    <w:rsid w:val="0072339F"/>
    <w:rsid w:val="00723951"/>
    <w:rsid w:val="007243A6"/>
    <w:rsid w:val="0072452F"/>
    <w:rsid w:val="007246A1"/>
    <w:rsid w:val="007247A1"/>
    <w:rsid w:val="00724AE3"/>
    <w:rsid w:val="00724D8B"/>
    <w:rsid w:val="007252D1"/>
    <w:rsid w:val="007256AA"/>
    <w:rsid w:val="00725841"/>
    <w:rsid w:val="007259B9"/>
    <w:rsid w:val="00725A55"/>
    <w:rsid w:val="007262EB"/>
    <w:rsid w:val="007265FD"/>
    <w:rsid w:val="007273C9"/>
    <w:rsid w:val="0072790D"/>
    <w:rsid w:val="00727F4D"/>
    <w:rsid w:val="00730755"/>
    <w:rsid w:val="00730C85"/>
    <w:rsid w:val="00732DBB"/>
    <w:rsid w:val="00732EDF"/>
    <w:rsid w:val="007332A0"/>
    <w:rsid w:val="007333CA"/>
    <w:rsid w:val="0073346B"/>
    <w:rsid w:val="007338EA"/>
    <w:rsid w:val="0073415E"/>
    <w:rsid w:val="00734581"/>
    <w:rsid w:val="00734F6E"/>
    <w:rsid w:val="00735192"/>
    <w:rsid w:val="007353DE"/>
    <w:rsid w:val="00735B20"/>
    <w:rsid w:val="0073629E"/>
    <w:rsid w:val="007367A8"/>
    <w:rsid w:val="00736A39"/>
    <w:rsid w:val="00736D58"/>
    <w:rsid w:val="00737B4E"/>
    <w:rsid w:val="007403B5"/>
    <w:rsid w:val="007406B8"/>
    <w:rsid w:val="00740A2C"/>
    <w:rsid w:val="00740D48"/>
    <w:rsid w:val="00740F01"/>
    <w:rsid w:val="0074117C"/>
    <w:rsid w:val="00741917"/>
    <w:rsid w:val="0074255F"/>
    <w:rsid w:val="0074297A"/>
    <w:rsid w:val="00743228"/>
    <w:rsid w:val="00743393"/>
    <w:rsid w:val="0074369C"/>
    <w:rsid w:val="00743A1F"/>
    <w:rsid w:val="00743AD0"/>
    <w:rsid w:val="00743E71"/>
    <w:rsid w:val="00744750"/>
    <w:rsid w:val="00744C32"/>
    <w:rsid w:val="00744CD0"/>
    <w:rsid w:val="00745AF4"/>
    <w:rsid w:val="00745B16"/>
    <w:rsid w:val="00745C5D"/>
    <w:rsid w:val="00746F3B"/>
    <w:rsid w:val="00746F6C"/>
    <w:rsid w:val="00747300"/>
    <w:rsid w:val="00747622"/>
    <w:rsid w:val="007477B3"/>
    <w:rsid w:val="00747A3B"/>
    <w:rsid w:val="00750B94"/>
    <w:rsid w:val="00750D8F"/>
    <w:rsid w:val="00750F84"/>
    <w:rsid w:val="00751392"/>
    <w:rsid w:val="007514FF"/>
    <w:rsid w:val="007518E5"/>
    <w:rsid w:val="00751B97"/>
    <w:rsid w:val="00751E1F"/>
    <w:rsid w:val="007526CF"/>
    <w:rsid w:val="00753015"/>
    <w:rsid w:val="007537E6"/>
    <w:rsid w:val="007542D1"/>
    <w:rsid w:val="00754B94"/>
    <w:rsid w:val="00755389"/>
    <w:rsid w:val="007558B8"/>
    <w:rsid w:val="007559C5"/>
    <w:rsid w:val="00755B12"/>
    <w:rsid w:val="007563AB"/>
    <w:rsid w:val="0075647F"/>
    <w:rsid w:val="00756DF6"/>
    <w:rsid w:val="00757161"/>
    <w:rsid w:val="0075782B"/>
    <w:rsid w:val="00760271"/>
    <w:rsid w:val="00760288"/>
    <w:rsid w:val="00760669"/>
    <w:rsid w:val="00760831"/>
    <w:rsid w:val="00760869"/>
    <w:rsid w:val="00760AE1"/>
    <w:rsid w:val="00760F08"/>
    <w:rsid w:val="007614FA"/>
    <w:rsid w:val="00761665"/>
    <w:rsid w:val="00761C42"/>
    <w:rsid w:val="00761C9A"/>
    <w:rsid w:val="00761E1E"/>
    <w:rsid w:val="007621F0"/>
    <w:rsid w:val="0076235F"/>
    <w:rsid w:val="00762506"/>
    <w:rsid w:val="007630B2"/>
    <w:rsid w:val="00763490"/>
    <w:rsid w:val="007634EF"/>
    <w:rsid w:val="0076379C"/>
    <w:rsid w:val="0076503B"/>
    <w:rsid w:val="0076555A"/>
    <w:rsid w:val="007656A8"/>
    <w:rsid w:val="00765F60"/>
    <w:rsid w:val="007663B5"/>
    <w:rsid w:val="0076698C"/>
    <w:rsid w:val="00767518"/>
    <w:rsid w:val="00767D18"/>
    <w:rsid w:val="00767DAD"/>
    <w:rsid w:val="007708FC"/>
    <w:rsid w:val="007714A9"/>
    <w:rsid w:val="00771C5A"/>
    <w:rsid w:val="00771D73"/>
    <w:rsid w:val="00771DA2"/>
    <w:rsid w:val="00772608"/>
    <w:rsid w:val="00772FAA"/>
    <w:rsid w:val="00773068"/>
    <w:rsid w:val="00773381"/>
    <w:rsid w:val="00773702"/>
    <w:rsid w:val="00773D4E"/>
    <w:rsid w:val="0077418C"/>
    <w:rsid w:val="007747AE"/>
    <w:rsid w:val="00775099"/>
    <w:rsid w:val="007751C1"/>
    <w:rsid w:val="00775AFD"/>
    <w:rsid w:val="00775D17"/>
    <w:rsid w:val="00776097"/>
    <w:rsid w:val="00776864"/>
    <w:rsid w:val="00776BC1"/>
    <w:rsid w:val="007771DB"/>
    <w:rsid w:val="00777346"/>
    <w:rsid w:val="0077772F"/>
    <w:rsid w:val="00780419"/>
    <w:rsid w:val="0078085B"/>
    <w:rsid w:val="00780D0D"/>
    <w:rsid w:val="00780FB4"/>
    <w:rsid w:val="0078103B"/>
    <w:rsid w:val="0078167A"/>
    <w:rsid w:val="00781EE3"/>
    <w:rsid w:val="0078357D"/>
    <w:rsid w:val="00784324"/>
    <w:rsid w:val="0078484E"/>
    <w:rsid w:val="007850CD"/>
    <w:rsid w:val="007851A7"/>
    <w:rsid w:val="00785431"/>
    <w:rsid w:val="00785464"/>
    <w:rsid w:val="0078602E"/>
    <w:rsid w:val="0078613B"/>
    <w:rsid w:val="007868C6"/>
    <w:rsid w:val="00787155"/>
    <w:rsid w:val="0078717B"/>
    <w:rsid w:val="00787472"/>
    <w:rsid w:val="00787896"/>
    <w:rsid w:val="00787AF8"/>
    <w:rsid w:val="00787B23"/>
    <w:rsid w:val="007900E3"/>
    <w:rsid w:val="007901C9"/>
    <w:rsid w:val="0079075F"/>
    <w:rsid w:val="007909D4"/>
    <w:rsid w:val="00790AB7"/>
    <w:rsid w:val="00790F0A"/>
    <w:rsid w:val="0079102F"/>
    <w:rsid w:val="007910D5"/>
    <w:rsid w:val="00791204"/>
    <w:rsid w:val="00791453"/>
    <w:rsid w:val="00791EDF"/>
    <w:rsid w:val="00792117"/>
    <w:rsid w:val="007922BA"/>
    <w:rsid w:val="0079238C"/>
    <w:rsid w:val="0079247F"/>
    <w:rsid w:val="0079279F"/>
    <w:rsid w:val="00792F60"/>
    <w:rsid w:val="0079322B"/>
    <w:rsid w:val="00793982"/>
    <w:rsid w:val="00793E1F"/>
    <w:rsid w:val="007948AF"/>
    <w:rsid w:val="00794970"/>
    <w:rsid w:val="00794A26"/>
    <w:rsid w:val="00794FB6"/>
    <w:rsid w:val="0079513E"/>
    <w:rsid w:val="007957E6"/>
    <w:rsid w:val="00795AE2"/>
    <w:rsid w:val="00796514"/>
    <w:rsid w:val="00796740"/>
    <w:rsid w:val="00796C87"/>
    <w:rsid w:val="00796E32"/>
    <w:rsid w:val="00797185"/>
    <w:rsid w:val="007971B6"/>
    <w:rsid w:val="007979B4"/>
    <w:rsid w:val="007A0006"/>
    <w:rsid w:val="007A0794"/>
    <w:rsid w:val="007A09AC"/>
    <w:rsid w:val="007A12AC"/>
    <w:rsid w:val="007A16AA"/>
    <w:rsid w:val="007A1A4F"/>
    <w:rsid w:val="007A1EE6"/>
    <w:rsid w:val="007A1F3A"/>
    <w:rsid w:val="007A2049"/>
    <w:rsid w:val="007A22B2"/>
    <w:rsid w:val="007A2354"/>
    <w:rsid w:val="007A23A0"/>
    <w:rsid w:val="007A260F"/>
    <w:rsid w:val="007A2AE6"/>
    <w:rsid w:val="007A32EC"/>
    <w:rsid w:val="007A366C"/>
    <w:rsid w:val="007A3C0D"/>
    <w:rsid w:val="007A4011"/>
    <w:rsid w:val="007A49B9"/>
    <w:rsid w:val="007A538D"/>
    <w:rsid w:val="007A624E"/>
    <w:rsid w:val="007A6AA4"/>
    <w:rsid w:val="007A78BD"/>
    <w:rsid w:val="007A7CD9"/>
    <w:rsid w:val="007B09E1"/>
    <w:rsid w:val="007B0D32"/>
    <w:rsid w:val="007B11BA"/>
    <w:rsid w:val="007B1345"/>
    <w:rsid w:val="007B1349"/>
    <w:rsid w:val="007B14B4"/>
    <w:rsid w:val="007B17DF"/>
    <w:rsid w:val="007B1D12"/>
    <w:rsid w:val="007B3337"/>
    <w:rsid w:val="007B368D"/>
    <w:rsid w:val="007B3870"/>
    <w:rsid w:val="007B3AF0"/>
    <w:rsid w:val="007B3E8C"/>
    <w:rsid w:val="007B4626"/>
    <w:rsid w:val="007B56C4"/>
    <w:rsid w:val="007B5C30"/>
    <w:rsid w:val="007B5E39"/>
    <w:rsid w:val="007B619D"/>
    <w:rsid w:val="007B6921"/>
    <w:rsid w:val="007B6E2E"/>
    <w:rsid w:val="007C040C"/>
    <w:rsid w:val="007C08FF"/>
    <w:rsid w:val="007C0A7D"/>
    <w:rsid w:val="007C0BD7"/>
    <w:rsid w:val="007C11ED"/>
    <w:rsid w:val="007C1358"/>
    <w:rsid w:val="007C1F7C"/>
    <w:rsid w:val="007C2438"/>
    <w:rsid w:val="007C285F"/>
    <w:rsid w:val="007C287C"/>
    <w:rsid w:val="007C2B39"/>
    <w:rsid w:val="007C2FEA"/>
    <w:rsid w:val="007C372D"/>
    <w:rsid w:val="007C3AC4"/>
    <w:rsid w:val="007C3FB2"/>
    <w:rsid w:val="007C4134"/>
    <w:rsid w:val="007C4221"/>
    <w:rsid w:val="007C43CC"/>
    <w:rsid w:val="007C4A02"/>
    <w:rsid w:val="007C4B63"/>
    <w:rsid w:val="007C5DD6"/>
    <w:rsid w:val="007C5F1B"/>
    <w:rsid w:val="007C5F80"/>
    <w:rsid w:val="007C60A5"/>
    <w:rsid w:val="007C6395"/>
    <w:rsid w:val="007C7972"/>
    <w:rsid w:val="007C79D0"/>
    <w:rsid w:val="007D0239"/>
    <w:rsid w:val="007D0F35"/>
    <w:rsid w:val="007D17B1"/>
    <w:rsid w:val="007D19B9"/>
    <w:rsid w:val="007D26E3"/>
    <w:rsid w:val="007D28F4"/>
    <w:rsid w:val="007D2C68"/>
    <w:rsid w:val="007D306B"/>
    <w:rsid w:val="007D3403"/>
    <w:rsid w:val="007D37ED"/>
    <w:rsid w:val="007D3AFC"/>
    <w:rsid w:val="007D4500"/>
    <w:rsid w:val="007D486C"/>
    <w:rsid w:val="007D4B58"/>
    <w:rsid w:val="007D4C54"/>
    <w:rsid w:val="007D4DE0"/>
    <w:rsid w:val="007D5029"/>
    <w:rsid w:val="007D5D41"/>
    <w:rsid w:val="007D5F1B"/>
    <w:rsid w:val="007D6270"/>
    <w:rsid w:val="007D67BE"/>
    <w:rsid w:val="007D6D49"/>
    <w:rsid w:val="007D741B"/>
    <w:rsid w:val="007D75E5"/>
    <w:rsid w:val="007D765C"/>
    <w:rsid w:val="007D7B7F"/>
    <w:rsid w:val="007D7D23"/>
    <w:rsid w:val="007E0047"/>
    <w:rsid w:val="007E0335"/>
    <w:rsid w:val="007E07C9"/>
    <w:rsid w:val="007E0C3F"/>
    <w:rsid w:val="007E15EA"/>
    <w:rsid w:val="007E17E4"/>
    <w:rsid w:val="007E28B9"/>
    <w:rsid w:val="007E2E0D"/>
    <w:rsid w:val="007E3156"/>
    <w:rsid w:val="007E3253"/>
    <w:rsid w:val="007E3346"/>
    <w:rsid w:val="007E3A3B"/>
    <w:rsid w:val="007E3CCC"/>
    <w:rsid w:val="007E4A7A"/>
    <w:rsid w:val="007E4BD9"/>
    <w:rsid w:val="007E5641"/>
    <w:rsid w:val="007E5806"/>
    <w:rsid w:val="007E5888"/>
    <w:rsid w:val="007E5C52"/>
    <w:rsid w:val="007E5ED1"/>
    <w:rsid w:val="007E5FFC"/>
    <w:rsid w:val="007E61D1"/>
    <w:rsid w:val="007E6765"/>
    <w:rsid w:val="007E6E28"/>
    <w:rsid w:val="007E7054"/>
    <w:rsid w:val="007E72AB"/>
    <w:rsid w:val="007E73BC"/>
    <w:rsid w:val="007E74B1"/>
    <w:rsid w:val="007E77F3"/>
    <w:rsid w:val="007E78DB"/>
    <w:rsid w:val="007E7A9D"/>
    <w:rsid w:val="007F0176"/>
    <w:rsid w:val="007F089A"/>
    <w:rsid w:val="007F10A0"/>
    <w:rsid w:val="007F16BC"/>
    <w:rsid w:val="007F1CC4"/>
    <w:rsid w:val="007F1D18"/>
    <w:rsid w:val="007F1FFD"/>
    <w:rsid w:val="007F2E20"/>
    <w:rsid w:val="007F2F20"/>
    <w:rsid w:val="007F39F9"/>
    <w:rsid w:val="007F3C90"/>
    <w:rsid w:val="007F42BA"/>
    <w:rsid w:val="007F4555"/>
    <w:rsid w:val="007F470C"/>
    <w:rsid w:val="007F488E"/>
    <w:rsid w:val="007F4C39"/>
    <w:rsid w:val="007F4FB9"/>
    <w:rsid w:val="007F600E"/>
    <w:rsid w:val="007F6A77"/>
    <w:rsid w:val="007F6FEB"/>
    <w:rsid w:val="007F74B6"/>
    <w:rsid w:val="007F78F5"/>
    <w:rsid w:val="007F7CDF"/>
    <w:rsid w:val="0080014C"/>
    <w:rsid w:val="00800389"/>
    <w:rsid w:val="00800C69"/>
    <w:rsid w:val="00801230"/>
    <w:rsid w:val="00801A17"/>
    <w:rsid w:val="008022A9"/>
    <w:rsid w:val="008027E6"/>
    <w:rsid w:val="00802D6C"/>
    <w:rsid w:val="00803FA4"/>
    <w:rsid w:val="008040E0"/>
    <w:rsid w:val="0080424A"/>
    <w:rsid w:val="00804E5E"/>
    <w:rsid w:val="00804F26"/>
    <w:rsid w:val="00805608"/>
    <w:rsid w:val="00806616"/>
    <w:rsid w:val="00806F95"/>
    <w:rsid w:val="00807110"/>
    <w:rsid w:val="008076E8"/>
    <w:rsid w:val="00807E92"/>
    <w:rsid w:val="00807FBB"/>
    <w:rsid w:val="00810017"/>
    <w:rsid w:val="0081014E"/>
    <w:rsid w:val="008103C4"/>
    <w:rsid w:val="00810478"/>
    <w:rsid w:val="00810924"/>
    <w:rsid w:val="00810BB3"/>
    <w:rsid w:val="00811057"/>
    <w:rsid w:val="008118E9"/>
    <w:rsid w:val="00811907"/>
    <w:rsid w:val="008120A5"/>
    <w:rsid w:val="008120AF"/>
    <w:rsid w:val="00812950"/>
    <w:rsid w:val="00813ABA"/>
    <w:rsid w:val="00813CBC"/>
    <w:rsid w:val="00813D87"/>
    <w:rsid w:val="008144C5"/>
    <w:rsid w:val="008146F0"/>
    <w:rsid w:val="00814854"/>
    <w:rsid w:val="008150D3"/>
    <w:rsid w:val="008150FE"/>
    <w:rsid w:val="008154CB"/>
    <w:rsid w:val="0081589C"/>
    <w:rsid w:val="00815B6C"/>
    <w:rsid w:val="00815FDC"/>
    <w:rsid w:val="00816104"/>
    <w:rsid w:val="008162B2"/>
    <w:rsid w:val="00816B03"/>
    <w:rsid w:val="008171EB"/>
    <w:rsid w:val="00817482"/>
    <w:rsid w:val="00817E91"/>
    <w:rsid w:val="008203CD"/>
    <w:rsid w:val="00820464"/>
    <w:rsid w:val="008206A6"/>
    <w:rsid w:val="00820966"/>
    <w:rsid w:val="00820BA4"/>
    <w:rsid w:val="00820F5B"/>
    <w:rsid w:val="0082129B"/>
    <w:rsid w:val="0082132E"/>
    <w:rsid w:val="00821B5D"/>
    <w:rsid w:val="00821FC1"/>
    <w:rsid w:val="00822EE7"/>
    <w:rsid w:val="008232C8"/>
    <w:rsid w:val="008232D1"/>
    <w:rsid w:val="008242B5"/>
    <w:rsid w:val="0082513F"/>
    <w:rsid w:val="00825441"/>
    <w:rsid w:val="00825E31"/>
    <w:rsid w:val="008267CD"/>
    <w:rsid w:val="00826B91"/>
    <w:rsid w:val="00826B98"/>
    <w:rsid w:val="00826BC5"/>
    <w:rsid w:val="00827272"/>
    <w:rsid w:val="00830160"/>
    <w:rsid w:val="0083028F"/>
    <w:rsid w:val="00830530"/>
    <w:rsid w:val="00830653"/>
    <w:rsid w:val="00830EF8"/>
    <w:rsid w:val="008311B9"/>
    <w:rsid w:val="008317BF"/>
    <w:rsid w:val="008318F8"/>
    <w:rsid w:val="008319DF"/>
    <w:rsid w:val="00831B93"/>
    <w:rsid w:val="00832A19"/>
    <w:rsid w:val="00833239"/>
    <w:rsid w:val="00834446"/>
    <w:rsid w:val="008344FD"/>
    <w:rsid w:val="008357A7"/>
    <w:rsid w:val="008362E5"/>
    <w:rsid w:val="008364AF"/>
    <w:rsid w:val="0083671E"/>
    <w:rsid w:val="008369A7"/>
    <w:rsid w:val="00836C39"/>
    <w:rsid w:val="00836E9F"/>
    <w:rsid w:val="00837F84"/>
    <w:rsid w:val="00841293"/>
    <w:rsid w:val="008417BC"/>
    <w:rsid w:val="008417EF"/>
    <w:rsid w:val="00841B21"/>
    <w:rsid w:val="008420C6"/>
    <w:rsid w:val="00842211"/>
    <w:rsid w:val="0084238A"/>
    <w:rsid w:val="008425F4"/>
    <w:rsid w:val="00842A66"/>
    <w:rsid w:val="00842ADE"/>
    <w:rsid w:val="00843DC0"/>
    <w:rsid w:val="00843ED9"/>
    <w:rsid w:val="00843F6A"/>
    <w:rsid w:val="0084410A"/>
    <w:rsid w:val="00844838"/>
    <w:rsid w:val="00844B67"/>
    <w:rsid w:val="00845741"/>
    <w:rsid w:val="00845748"/>
    <w:rsid w:val="008458E7"/>
    <w:rsid w:val="008467E8"/>
    <w:rsid w:val="00846C9B"/>
    <w:rsid w:val="00846E71"/>
    <w:rsid w:val="0084742A"/>
    <w:rsid w:val="008477E5"/>
    <w:rsid w:val="00850B96"/>
    <w:rsid w:val="00850D35"/>
    <w:rsid w:val="0085189A"/>
    <w:rsid w:val="00851A0B"/>
    <w:rsid w:val="00851AFE"/>
    <w:rsid w:val="00852253"/>
    <w:rsid w:val="008524B1"/>
    <w:rsid w:val="008528F7"/>
    <w:rsid w:val="00853361"/>
    <w:rsid w:val="00853568"/>
    <w:rsid w:val="00853A53"/>
    <w:rsid w:val="008549F3"/>
    <w:rsid w:val="00854AD1"/>
    <w:rsid w:val="00854C28"/>
    <w:rsid w:val="00854EB0"/>
    <w:rsid w:val="00854F81"/>
    <w:rsid w:val="0085543F"/>
    <w:rsid w:val="00855814"/>
    <w:rsid w:val="00855A9A"/>
    <w:rsid w:val="00855BA3"/>
    <w:rsid w:val="00856257"/>
    <w:rsid w:val="008568BE"/>
    <w:rsid w:val="00856ADD"/>
    <w:rsid w:val="00856ADE"/>
    <w:rsid w:val="00857740"/>
    <w:rsid w:val="00860011"/>
    <w:rsid w:val="00860241"/>
    <w:rsid w:val="00860C64"/>
    <w:rsid w:val="00860F25"/>
    <w:rsid w:val="00860FE5"/>
    <w:rsid w:val="008610B2"/>
    <w:rsid w:val="0086144B"/>
    <w:rsid w:val="00861505"/>
    <w:rsid w:val="008616EA"/>
    <w:rsid w:val="00861F38"/>
    <w:rsid w:val="00861FFB"/>
    <w:rsid w:val="00862005"/>
    <w:rsid w:val="0086212A"/>
    <w:rsid w:val="00862268"/>
    <w:rsid w:val="008627A0"/>
    <w:rsid w:val="00862843"/>
    <w:rsid w:val="00862901"/>
    <w:rsid w:val="00862D7E"/>
    <w:rsid w:val="0086317D"/>
    <w:rsid w:val="008634A1"/>
    <w:rsid w:val="0086378E"/>
    <w:rsid w:val="00863A5C"/>
    <w:rsid w:val="00863D94"/>
    <w:rsid w:val="00863EAE"/>
    <w:rsid w:val="00863F15"/>
    <w:rsid w:val="00864651"/>
    <w:rsid w:val="00864726"/>
    <w:rsid w:val="00864E35"/>
    <w:rsid w:val="00865639"/>
    <w:rsid w:val="00865D28"/>
    <w:rsid w:val="0086616F"/>
    <w:rsid w:val="00866521"/>
    <w:rsid w:val="00866AB8"/>
    <w:rsid w:val="0086727B"/>
    <w:rsid w:val="00867618"/>
    <w:rsid w:val="0086792A"/>
    <w:rsid w:val="0086797F"/>
    <w:rsid w:val="00867EC5"/>
    <w:rsid w:val="0087032B"/>
    <w:rsid w:val="00870C7F"/>
    <w:rsid w:val="00870DCF"/>
    <w:rsid w:val="0087104F"/>
    <w:rsid w:val="00871445"/>
    <w:rsid w:val="008715E8"/>
    <w:rsid w:val="00872404"/>
    <w:rsid w:val="008726FE"/>
    <w:rsid w:val="00872DA3"/>
    <w:rsid w:val="00872EE9"/>
    <w:rsid w:val="00873106"/>
    <w:rsid w:val="008736F2"/>
    <w:rsid w:val="00873A47"/>
    <w:rsid w:val="00873B75"/>
    <w:rsid w:val="00873FD4"/>
    <w:rsid w:val="00874885"/>
    <w:rsid w:val="008749F1"/>
    <w:rsid w:val="00874A39"/>
    <w:rsid w:val="00874D99"/>
    <w:rsid w:val="00874EB9"/>
    <w:rsid w:val="00875144"/>
    <w:rsid w:val="00875312"/>
    <w:rsid w:val="00875410"/>
    <w:rsid w:val="008758EC"/>
    <w:rsid w:val="0087647A"/>
    <w:rsid w:val="008768CD"/>
    <w:rsid w:val="00876DE8"/>
    <w:rsid w:val="00876EA1"/>
    <w:rsid w:val="0087AC9B"/>
    <w:rsid w:val="008804BA"/>
    <w:rsid w:val="00880CE4"/>
    <w:rsid w:val="00880E30"/>
    <w:rsid w:val="00880EDE"/>
    <w:rsid w:val="008818C5"/>
    <w:rsid w:val="008818CA"/>
    <w:rsid w:val="00881EF6"/>
    <w:rsid w:val="0088237A"/>
    <w:rsid w:val="00882F0A"/>
    <w:rsid w:val="008830AE"/>
    <w:rsid w:val="00883F5C"/>
    <w:rsid w:val="008841DA"/>
    <w:rsid w:val="00884A21"/>
    <w:rsid w:val="00884F6A"/>
    <w:rsid w:val="00885299"/>
    <w:rsid w:val="00885EC2"/>
    <w:rsid w:val="00885F69"/>
    <w:rsid w:val="00886579"/>
    <w:rsid w:val="008872F7"/>
    <w:rsid w:val="0088737B"/>
    <w:rsid w:val="008875D9"/>
    <w:rsid w:val="0089073E"/>
    <w:rsid w:val="00890769"/>
    <w:rsid w:val="00890BE5"/>
    <w:rsid w:val="00890EDA"/>
    <w:rsid w:val="00890FA4"/>
    <w:rsid w:val="0089111F"/>
    <w:rsid w:val="00891387"/>
    <w:rsid w:val="008918D8"/>
    <w:rsid w:val="00891DA1"/>
    <w:rsid w:val="0089259E"/>
    <w:rsid w:val="008926D5"/>
    <w:rsid w:val="00893195"/>
    <w:rsid w:val="00893A21"/>
    <w:rsid w:val="00893E6C"/>
    <w:rsid w:val="00893FA2"/>
    <w:rsid w:val="008940B4"/>
    <w:rsid w:val="008941D4"/>
    <w:rsid w:val="0089547E"/>
    <w:rsid w:val="00895B1A"/>
    <w:rsid w:val="008960A3"/>
    <w:rsid w:val="008964B5"/>
    <w:rsid w:val="00896B5F"/>
    <w:rsid w:val="0089705F"/>
    <w:rsid w:val="00897486"/>
    <w:rsid w:val="008976DE"/>
    <w:rsid w:val="00897F68"/>
    <w:rsid w:val="008A016F"/>
    <w:rsid w:val="008A09C6"/>
    <w:rsid w:val="008A12DB"/>
    <w:rsid w:val="008A139C"/>
    <w:rsid w:val="008A16B8"/>
    <w:rsid w:val="008A1E8A"/>
    <w:rsid w:val="008A234C"/>
    <w:rsid w:val="008A2525"/>
    <w:rsid w:val="008A302C"/>
    <w:rsid w:val="008A35E5"/>
    <w:rsid w:val="008A387D"/>
    <w:rsid w:val="008A3C20"/>
    <w:rsid w:val="008A40C6"/>
    <w:rsid w:val="008A44DA"/>
    <w:rsid w:val="008A496B"/>
    <w:rsid w:val="008A4D0F"/>
    <w:rsid w:val="008A507D"/>
    <w:rsid w:val="008A5501"/>
    <w:rsid w:val="008A5DE7"/>
    <w:rsid w:val="008A68B2"/>
    <w:rsid w:val="008A6B7B"/>
    <w:rsid w:val="008A7D16"/>
    <w:rsid w:val="008B0856"/>
    <w:rsid w:val="008B0DE1"/>
    <w:rsid w:val="008B0FE0"/>
    <w:rsid w:val="008B1589"/>
    <w:rsid w:val="008B28B1"/>
    <w:rsid w:val="008B297A"/>
    <w:rsid w:val="008B29DF"/>
    <w:rsid w:val="008B2FE6"/>
    <w:rsid w:val="008B34C2"/>
    <w:rsid w:val="008B39F2"/>
    <w:rsid w:val="008B3F90"/>
    <w:rsid w:val="008B40EC"/>
    <w:rsid w:val="008B42E7"/>
    <w:rsid w:val="008B46D0"/>
    <w:rsid w:val="008B497C"/>
    <w:rsid w:val="008B4F94"/>
    <w:rsid w:val="008B5541"/>
    <w:rsid w:val="008B5BE2"/>
    <w:rsid w:val="008B6005"/>
    <w:rsid w:val="008B6429"/>
    <w:rsid w:val="008B6656"/>
    <w:rsid w:val="008B6813"/>
    <w:rsid w:val="008B6886"/>
    <w:rsid w:val="008B7094"/>
    <w:rsid w:val="008B7471"/>
    <w:rsid w:val="008B79CD"/>
    <w:rsid w:val="008C0016"/>
    <w:rsid w:val="008C02F1"/>
    <w:rsid w:val="008C0CDF"/>
    <w:rsid w:val="008C1294"/>
    <w:rsid w:val="008C1759"/>
    <w:rsid w:val="008C17BA"/>
    <w:rsid w:val="008C1A53"/>
    <w:rsid w:val="008C2002"/>
    <w:rsid w:val="008C23F1"/>
    <w:rsid w:val="008C2EBE"/>
    <w:rsid w:val="008C3291"/>
    <w:rsid w:val="008C3B6F"/>
    <w:rsid w:val="008C435F"/>
    <w:rsid w:val="008C51E5"/>
    <w:rsid w:val="008C531D"/>
    <w:rsid w:val="008C539D"/>
    <w:rsid w:val="008C53AE"/>
    <w:rsid w:val="008C55F5"/>
    <w:rsid w:val="008C5B35"/>
    <w:rsid w:val="008C5B68"/>
    <w:rsid w:val="008C5B87"/>
    <w:rsid w:val="008C5DFE"/>
    <w:rsid w:val="008C6977"/>
    <w:rsid w:val="008C6BC5"/>
    <w:rsid w:val="008C6D6B"/>
    <w:rsid w:val="008C6E11"/>
    <w:rsid w:val="008C72D0"/>
    <w:rsid w:val="008C787F"/>
    <w:rsid w:val="008C78E2"/>
    <w:rsid w:val="008C79FB"/>
    <w:rsid w:val="008D0292"/>
    <w:rsid w:val="008D03A8"/>
    <w:rsid w:val="008D042D"/>
    <w:rsid w:val="008D06FE"/>
    <w:rsid w:val="008D0C3F"/>
    <w:rsid w:val="008D0CF4"/>
    <w:rsid w:val="008D1475"/>
    <w:rsid w:val="008D1B74"/>
    <w:rsid w:val="008D25A4"/>
    <w:rsid w:val="008D2AD4"/>
    <w:rsid w:val="008D2AD5"/>
    <w:rsid w:val="008D2B98"/>
    <w:rsid w:val="008D2F9D"/>
    <w:rsid w:val="008D2FFA"/>
    <w:rsid w:val="008D362C"/>
    <w:rsid w:val="008D3ED9"/>
    <w:rsid w:val="008D4460"/>
    <w:rsid w:val="008D5B05"/>
    <w:rsid w:val="008D5DB9"/>
    <w:rsid w:val="008D62E7"/>
    <w:rsid w:val="008D6364"/>
    <w:rsid w:val="008D6503"/>
    <w:rsid w:val="008D6D16"/>
    <w:rsid w:val="008D6E6A"/>
    <w:rsid w:val="008D720E"/>
    <w:rsid w:val="008D734F"/>
    <w:rsid w:val="008D7BB3"/>
    <w:rsid w:val="008D7C7E"/>
    <w:rsid w:val="008E003B"/>
    <w:rsid w:val="008E09C2"/>
    <w:rsid w:val="008E1117"/>
    <w:rsid w:val="008E1452"/>
    <w:rsid w:val="008E1A9E"/>
    <w:rsid w:val="008E1BEB"/>
    <w:rsid w:val="008E1C7A"/>
    <w:rsid w:val="008E2058"/>
    <w:rsid w:val="008E20AB"/>
    <w:rsid w:val="008E25E4"/>
    <w:rsid w:val="008E292C"/>
    <w:rsid w:val="008E2AC5"/>
    <w:rsid w:val="008E3123"/>
    <w:rsid w:val="008E31AB"/>
    <w:rsid w:val="008E372C"/>
    <w:rsid w:val="008E3E1C"/>
    <w:rsid w:val="008E426B"/>
    <w:rsid w:val="008E47E5"/>
    <w:rsid w:val="008E48BA"/>
    <w:rsid w:val="008E4C60"/>
    <w:rsid w:val="008E4F6C"/>
    <w:rsid w:val="008E5093"/>
    <w:rsid w:val="008E5153"/>
    <w:rsid w:val="008E532B"/>
    <w:rsid w:val="008E5637"/>
    <w:rsid w:val="008E5962"/>
    <w:rsid w:val="008E5A9F"/>
    <w:rsid w:val="008E5BEF"/>
    <w:rsid w:val="008E5E44"/>
    <w:rsid w:val="008E6D6D"/>
    <w:rsid w:val="008E6FD3"/>
    <w:rsid w:val="008E755B"/>
    <w:rsid w:val="008E78C9"/>
    <w:rsid w:val="008E7CB6"/>
    <w:rsid w:val="008E7D2C"/>
    <w:rsid w:val="008E7E65"/>
    <w:rsid w:val="008F0037"/>
    <w:rsid w:val="008F0B1A"/>
    <w:rsid w:val="008F0C3C"/>
    <w:rsid w:val="008F0D86"/>
    <w:rsid w:val="008F16AC"/>
    <w:rsid w:val="008F2597"/>
    <w:rsid w:val="008F2672"/>
    <w:rsid w:val="008F2946"/>
    <w:rsid w:val="008F29B6"/>
    <w:rsid w:val="008F331C"/>
    <w:rsid w:val="008F35AC"/>
    <w:rsid w:val="008F374F"/>
    <w:rsid w:val="008F3BD2"/>
    <w:rsid w:val="008F3F89"/>
    <w:rsid w:val="008F4562"/>
    <w:rsid w:val="008F5819"/>
    <w:rsid w:val="008F5D7F"/>
    <w:rsid w:val="008F6108"/>
    <w:rsid w:val="008F63CA"/>
    <w:rsid w:val="008F6644"/>
    <w:rsid w:val="008F6686"/>
    <w:rsid w:val="008F6BB4"/>
    <w:rsid w:val="008F6FB2"/>
    <w:rsid w:val="008F70F1"/>
    <w:rsid w:val="008F7304"/>
    <w:rsid w:val="008F74DC"/>
    <w:rsid w:val="008F763E"/>
    <w:rsid w:val="008F7CE8"/>
    <w:rsid w:val="008F7E18"/>
    <w:rsid w:val="00900508"/>
    <w:rsid w:val="0090052E"/>
    <w:rsid w:val="009006A2"/>
    <w:rsid w:val="009007D9"/>
    <w:rsid w:val="00900927"/>
    <w:rsid w:val="00900B1F"/>
    <w:rsid w:val="00901E3C"/>
    <w:rsid w:val="00901E4A"/>
    <w:rsid w:val="00901F14"/>
    <w:rsid w:val="00902CF7"/>
    <w:rsid w:val="009030D1"/>
    <w:rsid w:val="00903C86"/>
    <w:rsid w:val="009047E3"/>
    <w:rsid w:val="009049AE"/>
    <w:rsid w:val="0090522D"/>
    <w:rsid w:val="009053D7"/>
    <w:rsid w:val="00905578"/>
    <w:rsid w:val="00905822"/>
    <w:rsid w:val="00906205"/>
    <w:rsid w:val="009062F7"/>
    <w:rsid w:val="00906464"/>
    <w:rsid w:val="009067BC"/>
    <w:rsid w:val="009067CF"/>
    <w:rsid w:val="009068EC"/>
    <w:rsid w:val="0090691D"/>
    <w:rsid w:val="009071F0"/>
    <w:rsid w:val="009073FF"/>
    <w:rsid w:val="009079C3"/>
    <w:rsid w:val="00907A79"/>
    <w:rsid w:val="00907D22"/>
    <w:rsid w:val="00907E47"/>
    <w:rsid w:val="00910498"/>
    <w:rsid w:val="009115D9"/>
    <w:rsid w:val="00911839"/>
    <w:rsid w:val="00912011"/>
    <w:rsid w:val="00912136"/>
    <w:rsid w:val="00912809"/>
    <w:rsid w:val="00912D4C"/>
    <w:rsid w:val="00912F34"/>
    <w:rsid w:val="00913252"/>
    <w:rsid w:val="0091365A"/>
    <w:rsid w:val="009144C9"/>
    <w:rsid w:val="00914A10"/>
    <w:rsid w:val="009154B4"/>
    <w:rsid w:val="00915AE3"/>
    <w:rsid w:val="00915EAF"/>
    <w:rsid w:val="009163E2"/>
    <w:rsid w:val="00916760"/>
    <w:rsid w:val="00916DA7"/>
    <w:rsid w:val="00917822"/>
    <w:rsid w:val="0092015A"/>
    <w:rsid w:val="00920321"/>
    <w:rsid w:val="009204E4"/>
    <w:rsid w:val="00920508"/>
    <w:rsid w:val="00920C85"/>
    <w:rsid w:val="00920E9D"/>
    <w:rsid w:val="00921058"/>
    <w:rsid w:val="0092106E"/>
    <w:rsid w:val="0092149F"/>
    <w:rsid w:val="0092150A"/>
    <w:rsid w:val="00921E91"/>
    <w:rsid w:val="00921ED9"/>
    <w:rsid w:val="009222D6"/>
    <w:rsid w:val="00922411"/>
    <w:rsid w:val="00922517"/>
    <w:rsid w:val="00922594"/>
    <w:rsid w:val="00922B28"/>
    <w:rsid w:val="00923420"/>
    <w:rsid w:val="00923740"/>
    <w:rsid w:val="009239DE"/>
    <w:rsid w:val="0092490F"/>
    <w:rsid w:val="00924E29"/>
    <w:rsid w:val="0092543C"/>
    <w:rsid w:val="00925705"/>
    <w:rsid w:val="009265BD"/>
    <w:rsid w:val="00926D77"/>
    <w:rsid w:val="009271D3"/>
    <w:rsid w:val="00927315"/>
    <w:rsid w:val="00927458"/>
    <w:rsid w:val="009277ED"/>
    <w:rsid w:val="009278D7"/>
    <w:rsid w:val="00927B46"/>
    <w:rsid w:val="00930105"/>
    <w:rsid w:val="009303FA"/>
    <w:rsid w:val="00930A06"/>
    <w:rsid w:val="009318EB"/>
    <w:rsid w:val="00931AE4"/>
    <w:rsid w:val="00931D15"/>
    <w:rsid w:val="00932594"/>
    <w:rsid w:val="00932DE5"/>
    <w:rsid w:val="00932F46"/>
    <w:rsid w:val="009332BD"/>
    <w:rsid w:val="00933338"/>
    <w:rsid w:val="009333F2"/>
    <w:rsid w:val="009338D4"/>
    <w:rsid w:val="009346FA"/>
    <w:rsid w:val="00934951"/>
    <w:rsid w:val="00934BA5"/>
    <w:rsid w:val="00934C02"/>
    <w:rsid w:val="00934DB1"/>
    <w:rsid w:val="0093501E"/>
    <w:rsid w:val="0093543B"/>
    <w:rsid w:val="009354B3"/>
    <w:rsid w:val="00935B8B"/>
    <w:rsid w:val="00935C7D"/>
    <w:rsid w:val="00935F60"/>
    <w:rsid w:val="00936124"/>
    <w:rsid w:val="0093640F"/>
    <w:rsid w:val="00936AB5"/>
    <w:rsid w:val="00936C78"/>
    <w:rsid w:val="009370C5"/>
    <w:rsid w:val="00937197"/>
    <w:rsid w:val="00937404"/>
    <w:rsid w:val="0093783D"/>
    <w:rsid w:val="00937D77"/>
    <w:rsid w:val="00940089"/>
    <w:rsid w:val="009408C4"/>
    <w:rsid w:val="009409B8"/>
    <w:rsid w:val="00940A3F"/>
    <w:rsid w:val="009411CD"/>
    <w:rsid w:val="009414BA"/>
    <w:rsid w:val="009417CC"/>
    <w:rsid w:val="0094203C"/>
    <w:rsid w:val="00942175"/>
    <w:rsid w:val="00942E0A"/>
    <w:rsid w:val="00942F24"/>
    <w:rsid w:val="00942FDB"/>
    <w:rsid w:val="009430BB"/>
    <w:rsid w:val="009430F3"/>
    <w:rsid w:val="00943F4F"/>
    <w:rsid w:val="00943FFB"/>
    <w:rsid w:val="00944678"/>
    <w:rsid w:val="009449F5"/>
    <w:rsid w:val="00944B03"/>
    <w:rsid w:val="009451F5"/>
    <w:rsid w:val="0094539E"/>
    <w:rsid w:val="00945799"/>
    <w:rsid w:val="00945BEB"/>
    <w:rsid w:val="00945E88"/>
    <w:rsid w:val="009462A2"/>
    <w:rsid w:val="0094633F"/>
    <w:rsid w:val="00946890"/>
    <w:rsid w:val="009468B0"/>
    <w:rsid w:val="009468DA"/>
    <w:rsid w:val="009469DD"/>
    <w:rsid w:val="00946F11"/>
    <w:rsid w:val="00947C57"/>
    <w:rsid w:val="00950288"/>
    <w:rsid w:val="00950597"/>
    <w:rsid w:val="009505E3"/>
    <w:rsid w:val="00950F92"/>
    <w:rsid w:val="0095170F"/>
    <w:rsid w:val="00951735"/>
    <w:rsid w:val="00951F3D"/>
    <w:rsid w:val="009525C1"/>
    <w:rsid w:val="00952A6F"/>
    <w:rsid w:val="00952B75"/>
    <w:rsid w:val="00952F79"/>
    <w:rsid w:val="00953246"/>
    <w:rsid w:val="00953B72"/>
    <w:rsid w:val="009545E2"/>
    <w:rsid w:val="009547D3"/>
    <w:rsid w:val="009556A9"/>
    <w:rsid w:val="009558EF"/>
    <w:rsid w:val="00956399"/>
    <w:rsid w:val="00956AE3"/>
    <w:rsid w:val="00956BF7"/>
    <w:rsid w:val="00956E05"/>
    <w:rsid w:val="00956F09"/>
    <w:rsid w:val="0095727F"/>
    <w:rsid w:val="009572B4"/>
    <w:rsid w:val="009603A8"/>
    <w:rsid w:val="009604E3"/>
    <w:rsid w:val="009608AD"/>
    <w:rsid w:val="00960BB1"/>
    <w:rsid w:val="00960CBB"/>
    <w:rsid w:val="009611A6"/>
    <w:rsid w:val="009623F6"/>
    <w:rsid w:val="009625AF"/>
    <w:rsid w:val="009629FB"/>
    <w:rsid w:val="00962EE9"/>
    <w:rsid w:val="009634DD"/>
    <w:rsid w:val="00964038"/>
    <w:rsid w:val="009645B6"/>
    <w:rsid w:val="00964F37"/>
    <w:rsid w:val="00964FDE"/>
    <w:rsid w:val="00964FF2"/>
    <w:rsid w:val="00965040"/>
    <w:rsid w:val="009650A8"/>
    <w:rsid w:val="0096527B"/>
    <w:rsid w:val="00965B69"/>
    <w:rsid w:val="00966733"/>
    <w:rsid w:val="00966801"/>
    <w:rsid w:val="00966954"/>
    <w:rsid w:val="00966B76"/>
    <w:rsid w:val="00966C24"/>
    <w:rsid w:val="00966CF2"/>
    <w:rsid w:val="009671C6"/>
    <w:rsid w:val="0096727A"/>
    <w:rsid w:val="009672DD"/>
    <w:rsid w:val="00967638"/>
    <w:rsid w:val="0096774C"/>
    <w:rsid w:val="00967B17"/>
    <w:rsid w:val="00967BE0"/>
    <w:rsid w:val="00970306"/>
    <w:rsid w:val="009704CE"/>
    <w:rsid w:val="009714EC"/>
    <w:rsid w:val="00971704"/>
    <w:rsid w:val="009717D0"/>
    <w:rsid w:val="00971B06"/>
    <w:rsid w:val="009723EA"/>
    <w:rsid w:val="0097269D"/>
    <w:rsid w:val="0097305E"/>
    <w:rsid w:val="0097338B"/>
    <w:rsid w:val="00973398"/>
    <w:rsid w:val="009733A5"/>
    <w:rsid w:val="009738E9"/>
    <w:rsid w:val="00973E23"/>
    <w:rsid w:val="0097448E"/>
    <w:rsid w:val="00975646"/>
    <w:rsid w:val="00975BD8"/>
    <w:rsid w:val="00976013"/>
    <w:rsid w:val="0097664D"/>
    <w:rsid w:val="00977856"/>
    <w:rsid w:val="00977E75"/>
    <w:rsid w:val="00977E82"/>
    <w:rsid w:val="00980325"/>
    <w:rsid w:val="009805DB"/>
    <w:rsid w:val="00980B15"/>
    <w:rsid w:val="009814A4"/>
    <w:rsid w:val="009816ED"/>
    <w:rsid w:val="0098173E"/>
    <w:rsid w:val="00981C92"/>
    <w:rsid w:val="00982415"/>
    <w:rsid w:val="009824AF"/>
    <w:rsid w:val="009825E7"/>
    <w:rsid w:val="00982C3C"/>
    <w:rsid w:val="00982F37"/>
    <w:rsid w:val="009835F0"/>
    <w:rsid w:val="00983EAD"/>
    <w:rsid w:val="009840E4"/>
    <w:rsid w:val="00984512"/>
    <w:rsid w:val="009846C3"/>
    <w:rsid w:val="0098481A"/>
    <w:rsid w:val="00984C4D"/>
    <w:rsid w:val="009853AA"/>
    <w:rsid w:val="0098576F"/>
    <w:rsid w:val="00985B16"/>
    <w:rsid w:val="00985CDD"/>
    <w:rsid w:val="0098612C"/>
    <w:rsid w:val="00986572"/>
    <w:rsid w:val="009866A4"/>
    <w:rsid w:val="009868E1"/>
    <w:rsid w:val="00986D10"/>
    <w:rsid w:val="00986F86"/>
    <w:rsid w:val="00986FAB"/>
    <w:rsid w:val="00987212"/>
    <w:rsid w:val="00990CDD"/>
    <w:rsid w:val="00991175"/>
    <w:rsid w:val="00991406"/>
    <w:rsid w:val="00991C31"/>
    <w:rsid w:val="00992AA2"/>
    <w:rsid w:val="00992D6F"/>
    <w:rsid w:val="00994D0E"/>
    <w:rsid w:val="0099546B"/>
    <w:rsid w:val="00995A62"/>
    <w:rsid w:val="00996902"/>
    <w:rsid w:val="00996C57"/>
    <w:rsid w:val="0099741F"/>
    <w:rsid w:val="009977A0"/>
    <w:rsid w:val="00997D57"/>
    <w:rsid w:val="009A00EB"/>
    <w:rsid w:val="009A0463"/>
    <w:rsid w:val="009A0CE3"/>
    <w:rsid w:val="009A14AC"/>
    <w:rsid w:val="009A150F"/>
    <w:rsid w:val="009A1578"/>
    <w:rsid w:val="009A1AA0"/>
    <w:rsid w:val="009A1F18"/>
    <w:rsid w:val="009A1FA4"/>
    <w:rsid w:val="009A25F2"/>
    <w:rsid w:val="009A2842"/>
    <w:rsid w:val="009A3013"/>
    <w:rsid w:val="009A3726"/>
    <w:rsid w:val="009A387A"/>
    <w:rsid w:val="009A3B79"/>
    <w:rsid w:val="009A3B87"/>
    <w:rsid w:val="009A45DB"/>
    <w:rsid w:val="009A46AC"/>
    <w:rsid w:val="009A4A7C"/>
    <w:rsid w:val="009A4B63"/>
    <w:rsid w:val="009A4EFF"/>
    <w:rsid w:val="009A50B8"/>
    <w:rsid w:val="009A5C1F"/>
    <w:rsid w:val="009A6396"/>
    <w:rsid w:val="009A700A"/>
    <w:rsid w:val="009A71F0"/>
    <w:rsid w:val="009A73BD"/>
    <w:rsid w:val="009A76D9"/>
    <w:rsid w:val="009B00FA"/>
    <w:rsid w:val="009B08D1"/>
    <w:rsid w:val="009B0AAA"/>
    <w:rsid w:val="009B1441"/>
    <w:rsid w:val="009B18DC"/>
    <w:rsid w:val="009B1A71"/>
    <w:rsid w:val="009B25B9"/>
    <w:rsid w:val="009B3BF9"/>
    <w:rsid w:val="009B3E52"/>
    <w:rsid w:val="009B466F"/>
    <w:rsid w:val="009B4699"/>
    <w:rsid w:val="009B49CE"/>
    <w:rsid w:val="009B56CF"/>
    <w:rsid w:val="009B5A28"/>
    <w:rsid w:val="009B6040"/>
    <w:rsid w:val="009B6E12"/>
    <w:rsid w:val="009B7280"/>
    <w:rsid w:val="009B72C5"/>
    <w:rsid w:val="009B7429"/>
    <w:rsid w:val="009B77E3"/>
    <w:rsid w:val="009B7D54"/>
    <w:rsid w:val="009C02D5"/>
    <w:rsid w:val="009C04D7"/>
    <w:rsid w:val="009C0579"/>
    <w:rsid w:val="009C09F9"/>
    <w:rsid w:val="009C0B52"/>
    <w:rsid w:val="009C1371"/>
    <w:rsid w:val="009C13E0"/>
    <w:rsid w:val="009C1432"/>
    <w:rsid w:val="009C1F5A"/>
    <w:rsid w:val="009C2029"/>
    <w:rsid w:val="009C271A"/>
    <w:rsid w:val="009C370F"/>
    <w:rsid w:val="009C372B"/>
    <w:rsid w:val="009C38AB"/>
    <w:rsid w:val="009C3D9C"/>
    <w:rsid w:val="009C4208"/>
    <w:rsid w:val="009C45FB"/>
    <w:rsid w:val="009C4DC2"/>
    <w:rsid w:val="009C5198"/>
    <w:rsid w:val="009C524E"/>
    <w:rsid w:val="009C525B"/>
    <w:rsid w:val="009C532F"/>
    <w:rsid w:val="009C5687"/>
    <w:rsid w:val="009C5A31"/>
    <w:rsid w:val="009C699A"/>
    <w:rsid w:val="009C7089"/>
    <w:rsid w:val="009C71FC"/>
    <w:rsid w:val="009C72A1"/>
    <w:rsid w:val="009C798E"/>
    <w:rsid w:val="009D02AD"/>
    <w:rsid w:val="009D0A96"/>
    <w:rsid w:val="009D0DCB"/>
    <w:rsid w:val="009D1A12"/>
    <w:rsid w:val="009D1F0E"/>
    <w:rsid w:val="009D2071"/>
    <w:rsid w:val="009D2687"/>
    <w:rsid w:val="009D303C"/>
    <w:rsid w:val="009D34DC"/>
    <w:rsid w:val="009D38C0"/>
    <w:rsid w:val="009D3DF1"/>
    <w:rsid w:val="009D4680"/>
    <w:rsid w:val="009D4782"/>
    <w:rsid w:val="009D4FBF"/>
    <w:rsid w:val="009D550F"/>
    <w:rsid w:val="009D56DF"/>
    <w:rsid w:val="009D570F"/>
    <w:rsid w:val="009D58A0"/>
    <w:rsid w:val="009D60A0"/>
    <w:rsid w:val="009D62AD"/>
    <w:rsid w:val="009D64B8"/>
    <w:rsid w:val="009D6BAF"/>
    <w:rsid w:val="009D6DA6"/>
    <w:rsid w:val="009D6E4C"/>
    <w:rsid w:val="009D6EB2"/>
    <w:rsid w:val="009D7413"/>
    <w:rsid w:val="009D7933"/>
    <w:rsid w:val="009D7E61"/>
    <w:rsid w:val="009E10FF"/>
    <w:rsid w:val="009E166D"/>
    <w:rsid w:val="009E18DD"/>
    <w:rsid w:val="009E1C65"/>
    <w:rsid w:val="009E1D96"/>
    <w:rsid w:val="009E204F"/>
    <w:rsid w:val="009E260E"/>
    <w:rsid w:val="009E2996"/>
    <w:rsid w:val="009E2FF4"/>
    <w:rsid w:val="009E3075"/>
    <w:rsid w:val="009E31F7"/>
    <w:rsid w:val="009E34C7"/>
    <w:rsid w:val="009E3F4C"/>
    <w:rsid w:val="009E43E2"/>
    <w:rsid w:val="009E5101"/>
    <w:rsid w:val="009E51E7"/>
    <w:rsid w:val="009E602E"/>
    <w:rsid w:val="009E6A02"/>
    <w:rsid w:val="009E6EB6"/>
    <w:rsid w:val="009E6F64"/>
    <w:rsid w:val="009E74E4"/>
    <w:rsid w:val="009E75B0"/>
    <w:rsid w:val="009E7A1F"/>
    <w:rsid w:val="009F00C2"/>
    <w:rsid w:val="009F0A10"/>
    <w:rsid w:val="009F0C8E"/>
    <w:rsid w:val="009F0E85"/>
    <w:rsid w:val="009F1131"/>
    <w:rsid w:val="009F1BA9"/>
    <w:rsid w:val="009F279E"/>
    <w:rsid w:val="009F3C8B"/>
    <w:rsid w:val="009F3D94"/>
    <w:rsid w:val="009F420C"/>
    <w:rsid w:val="009F42A6"/>
    <w:rsid w:val="009F48BD"/>
    <w:rsid w:val="009F4DEA"/>
    <w:rsid w:val="009F5009"/>
    <w:rsid w:val="009F5235"/>
    <w:rsid w:val="009F582C"/>
    <w:rsid w:val="009F59F4"/>
    <w:rsid w:val="009F5B4D"/>
    <w:rsid w:val="009F5D39"/>
    <w:rsid w:val="009F5E01"/>
    <w:rsid w:val="009F60F7"/>
    <w:rsid w:val="009F6259"/>
    <w:rsid w:val="009F6707"/>
    <w:rsid w:val="009F6CF9"/>
    <w:rsid w:val="009F6D2C"/>
    <w:rsid w:val="009F6D45"/>
    <w:rsid w:val="009F6EB4"/>
    <w:rsid w:val="009F7279"/>
    <w:rsid w:val="009F7A67"/>
    <w:rsid w:val="00A002B5"/>
    <w:rsid w:val="00A00524"/>
    <w:rsid w:val="00A00623"/>
    <w:rsid w:val="00A00EFA"/>
    <w:rsid w:val="00A010C7"/>
    <w:rsid w:val="00A01623"/>
    <w:rsid w:val="00A02093"/>
    <w:rsid w:val="00A0214F"/>
    <w:rsid w:val="00A02541"/>
    <w:rsid w:val="00A025D8"/>
    <w:rsid w:val="00A029DF"/>
    <w:rsid w:val="00A02C22"/>
    <w:rsid w:val="00A02C27"/>
    <w:rsid w:val="00A02F10"/>
    <w:rsid w:val="00A03752"/>
    <w:rsid w:val="00A03CA7"/>
    <w:rsid w:val="00A03E8A"/>
    <w:rsid w:val="00A03EB2"/>
    <w:rsid w:val="00A03F6F"/>
    <w:rsid w:val="00A04104"/>
    <w:rsid w:val="00A042C4"/>
    <w:rsid w:val="00A044A9"/>
    <w:rsid w:val="00A047DD"/>
    <w:rsid w:val="00A057BE"/>
    <w:rsid w:val="00A058F2"/>
    <w:rsid w:val="00A05A1D"/>
    <w:rsid w:val="00A05A8D"/>
    <w:rsid w:val="00A05E5E"/>
    <w:rsid w:val="00A063D2"/>
    <w:rsid w:val="00A06EAB"/>
    <w:rsid w:val="00A0719F"/>
    <w:rsid w:val="00A07AA6"/>
    <w:rsid w:val="00A1083A"/>
    <w:rsid w:val="00A109E7"/>
    <w:rsid w:val="00A10C85"/>
    <w:rsid w:val="00A1106B"/>
    <w:rsid w:val="00A11145"/>
    <w:rsid w:val="00A118A2"/>
    <w:rsid w:val="00A11C00"/>
    <w:rsid w:val="00A11E63"/>
    <w:rsid w:val="00A12272"/>
    <w:rsid w:val="00A127FD"/>
    <w:rsid w:val="00A12BED"/>
    <w:rsid w:val="00A12EA5"/>
    <w:rsid w:val="00A13928"/>
    <w:rsid w:val="00A13BF9"/>
    <w:rsid w:val="00A13C4D"/>
    <w:rsid w:val="00A13CDB"/>
    <w:rsid w:val="00A1417D"/>
    <w:rsid w:val="00A14596"/>
    <w:rsid w:val="00A14F7D"/>
    <w:rsid w:val="00A14FED"/>
    <w:rsid w:val="00A155BF"/>
    <w:rsid w:val="00A15E05"/>
    <w:rsid w:val="00A166EB"/>
    <w:rsid w:val="00A1673F"/>
    <w:rsid w:val="00A17025"/>
    <w:rsid w:val="00A1703F"/>
    <w:rsid w:val="00A17059"/>
    <w:rsid w:val="00A178E7"/>
    <w:rsid w:val="00A17BD9"/>
    <w:rsid w:val="00A2042D"/>
    <w:rsid w:val="00A207FF"/>
    <w:rsid w:val="00A20944"/>
    <w:rsid w:val="00A20D09"/>
    <w:rsid w:val="00A21036"/>
    <w:rsid w:val="00A21220"/>
    <w:rsid w:val="00A223E0"/>
    <w:rsid w:val="00A223ED"/>
    <w:rsid w:val="00A22638"/>
    <w:rsid w:val="00A22A45"/>
    <w:rsid w:val="00A23436"/>
    <w:rsid w:val="00A239B1"/>
    <w:rsid w:val="00A23A15"/>
    <w:rsid w:val="00A2409F"/>
    <w:rsid w:val="00A25C7B"/>
    <w:rsid w:val="00A2736B"/>
    <w:rsid w:val="00A27503"/>
    <w:rsid w:val="00A27519"/>
    <w:rsid w:val="00A2780C"/>
    <w:rsid w:val="00A3045F"/>
    <w:rsid w:val="00A305E2"/>
    <w:rsid w:val="00A3135A"/>
    <w:rsid w:val="00A32697"/>
    <w:rsid w:val="00A329F4"/>
    <w:rsid w:val="00A3458F"/>
    <w:rsid w:val="00A346C4"/>
    <w:rsid w:val="00A34D5C"/>
    <w:rsid w:val="00A35039"/>
    <w:rsid w:val="00A350B4"/>
    <w:rsid w:val="00A35C44"/>
    <w:rsid w:val="00A35FDE"/>
    <w:rsid w:val="00A36849"/>
    <w:rsid w:val="00A368A9"/>
    <w:rsid w:val="00A36EE4"/>
    <w:rsid w:val="00A37644"/>
    <w:rsid w:val="00A37BC3"/>
    <w:rsid w:val="00A40038"/>
    <w:rsid w:val="00A4067F"/>
    <w:rsid w:val="00A406B5"/>
    <w:rsid w:val="00A40CEC"/>
    <w:rsid w:val="00A41506"/>
    <w:rsid w:val="00A41807"/>
    <w:rsid w:val="00A41A81"/>
    <w:rsid w:val="00A422CC"/>
    <w:rsid w:val="00A42BAB"/>
    <w:rsid w:val="00A434AD"/>
    <w:rsid w:val="00A436BB"/>
    <w:rsid w:val="00A43A69"/>
    <w:rsid w:val="00A43C14"/>
    <w:rsid w:val="00A43C56"/>
    <w:rsid w:val="00A43E28"/>
    <w:rsid w:val="00A43EDD"/>
    <w:rsid w:val="00A4402A"/>
    <w:rsid w:val="00A4483D"/>
    <w:rsid w:val="00A44A81"/>
    <w:rsid w:val="00A44E64"/>
    <w:rsid w:val="00A45032"/>
    <w:rsid w:val="00A45671"/>
    <w:rsid w:val="00A4583F"/>
    <w:rsid w:val="00A45B5D"/>
    <w:rsid w:val="00A45B64"/>
    <w:rsid w:val="00A45E3B"/>
    <w:rsid w:val="00A45E93"/>
    <w:rsid w:val="00A461E2"/>
    <w:rsid w:val="00A46534"/>
    <w:rsid w:val="00A46E58"/>
    <w:rsid w:val="00A47311"/>
    <w:rsid w:val="00A5035E"/>
    <w:rsid w:val="00A5045F"/>
    <w:rsid w:val="00A50C71"/>
    <w:rsid w:val="00A51152"/>
    <w:rsid w:val="00A51C48"/>
    <w:rsid w:val="00A51F02"/>
    <w:rsid w:val="00A5221A"/>
    <w:rsid w:val="00A52678"/>
    <w:rsid w:val="00A527A8"/>
    <w:rsid w:val="00A53863"/>
    <w:rsid w:val="00A53E09"/>
    <w:rsid w:val="00A5417B"/>
    <w:rsid w:val="00A54ACD"/>
    <w:rsid w:val="00A54E20"/>
    <w:rsid w:val="00A54FBD"/>
    <w:rsid w:val="00A55159"/>
    <w:rsid w:val="00A553BE"/>
    <w:rsid w:val="00A553E2"/>
    <w:rsid w:val="00A554A2"/>
    <w:rsid w:val="00A55D3B"/>
    <w:rsid w:val="00A55D83"/>
    <w:rsid w:val="00A55DD9"/>
    <w:rsid w:val="00A563EF"/>
    <w:rsid w:val="00A56AEA"/>
    <w:rsid w:val="00A57663"/>
    <w:rsid w:val="00A57984"/>
    <w:rsid w:val="00A60018"/>
    <w:rsid w:val="00A60184"/>
    <w:rsid w:val="00A603EF"/>
    <w:rsid w:val="00A60598"/>
    <w:rsid w:val="00A607BE"/>
    <w:rsid w:val="00A6084F"/>
    <w:rsid w:val="00A60D2A"/>
    <w:rsid w:val="00A60D3B"/>
    <w:rsid w:val="00A611A8"/>
    <w:rsid w:val="00A61438"/>
    <w:rsid w:val="00A622DD"/>
    <w:rsid w:val="00A63128"/>
    <w:rsid w:val="00A63771"/>
    <w:rsid w:val="00A63CA9"/>
    <w:rsid w:val="00A63D33"/>
    <w:rsid w:val="00A64043"/>
    <w:rsid w:val="00A64CAC"/>
    <w:rsid w:val="00A65C7D"/>
    <w:rsid w:val="00A663D8"/>
    <w:rsid w:val="00A66B18"/>
    <w:rsid w:val="00A671F4"/>
    <w:rsid w:val="00A674A7"/>
    <w:rsid w:val="00A678B7"/>
    <w:rsid w:val="00A67C61"/>
    <w:rsid w:val="00A700CA"/>
    <w:rsid w:val="00A7019D"/>
    <w:rsid w:val="00A70500"/>
    <w:rsid w:val="00A70A2C"/>
    <w:rsid w:val="00A70AD7"/>
    <w:rsid w:val="00A70C55"/>
    <w:rsid w:val="00A71C5A"/>
    <w:rsid w:val="00A73061"/>
    <w:rsid w:val="00A734A4"/>
    <w:rsid w:val="00A739BA"/>
    <w:rsid w:val="00A73AB4"/>
    <w:rsid w:val="00A74A1D"/>
    <w:rsid w:val="00A74FDF"/>
    <w:rsid w:val="00A7523C"/>
    <w:rsid w:val="00A75350"/>
    <w:rsid w:val="00A754C2"/>
    <w:rsid w:val="00A75B78"/>
    <w:rsid w:val="00A75CE5"/>
    <w:rsid w:val="00A76E2B"/>
    <w:rsid w:val="00A80305"/>
    <w:rsid w:val="00A803E2"/>
    <w:rsid w:val="00A80829"/>
    <w:rsid w:val="00A808F2"/>
    <w:rsid w:val="00A8207A"/>
    <w:rsid w:val="00A820D7"/>
    <w:rsid w:val="00A8227F"/>
    <w:rsid w:val="00A82636"/>
    <w:rsid w:val="00A8273C"/>
    <w:rsid w:val="00A82BA3"/>
    <w:rsid w:val="00A83410"/>
    <w:rsid w:val="00A83820"/>
    <w:rsid w:val="00A841D6"/>
    <w:rsid w:val="00A84253"/>
    <w:rsid w:val="00A8445B"/>
    <w:rsid w:val="00A84792"/>
    <w:rsid w:val="00A84BFC"/>
    <w:rsid w:val="00A84C27"/>
    <w:rsid w:val="00A8515E"/>
    <w:rsid w:val="00A85912"/>
    <w:rsid w:val="00A85B00"/>
    <w:rsid w:val="00A86419"/>
    <w:rsid w:val="00A8712B"/>
    <w:rsid w:val="00A87BDB"/>
    <w:rsid w:val="00A902BB"/>
    <w:rsid w:val="00A903E5"/>
    <w:rsid w:val="00A906E1"/>
    <w:rsid w:val="00A90E84"/>
    <w:rsid w:val="00A91142"/>
    <w:rsid w:val="00A916FD"/>
    <w:rsid w:val="00A91A75"/>
    <w:rsid w:val="00A920BE"/>
    <w:rsid w:val="00A92693"/>
    <w:rsid w:val="00A92B22"/>
    <w:rsid w:val="00A92E37"/>
    <w:rsid w:val="00A930AE"/>
    <w:rsid w:val="00A94214"/>
    <w:rsid w:val="00A94719"/>
    <w:rsid w:val="00A94807"/>
    <w:rsid w:val="00A9513F"/>
    <w:rsid w:val="00A9525B"/>
    <w:rsid w:val="00A955DD"/>
    <w:rsid w:val="00A95A6C"/>
    <w:rsid w:val="00A95C8C"/>
    <w:rsid w:val="00A96013"/>
    <w:rsid w:val="00A9644E"/>
    <w:rsid w:val="00A96671"/>
    <w:rsid w:val="00A97A2F"/>
    <w:rsid w:val="00A97A64"/>
    <w:rsid w:val="00A97B4F"/>
    <w:rsid w:val="00AA05E4"/>
    <w:rsid w:val="00AA07E5"/>
    <w:rsid w:val="00AA0A85"/>
    <w:rsid w:val="00AA1471"/>
    <w:rsid w:val="00AA1753"/>
    <w:rsid w:val="00AA1D0E"/>
    <w:rsid w:val="00AA2459"/>
    <w:rsid w:val="00AA4546"/>
    <w:rsid w:val="00AA5213"/>
    <w:rsid w:val="00AA5716"/>
    <w:rsid w:val="00AA5892"/>
    <w:rsid w:val="00AA5A31"/>
    <w:rsid w:val="00AA5AA1"/>
    <w:rsid w:val="00AA5AFF"/>
    <w:rsid w:val="00AA5C4A"/>
    <w:rsid w:val="00AA5C55"/>
    <w:rsid w:val="00AA5C6D"/>
    <w:rsid w:val="00AA60DD"/>
    <w:rsid w:val="00AA6147"/>
    <w:rsid w:val="00AA72D3"/>
    <w:rsid w:val="00AA7681"/>
    <w:rsid w:val="00AA76E7"/>
    <w:rsid w:val="00AA7E07"/>
    <w:rsid w:val="00AB0CBF"/>
    <w:rsid w:val="00AB15C5"/>
    <w:rsid w:val="00AB1683"/>
    <w:rsid w:val="00AB1B8F"/>
    <w:rsid w:val="00AB2807"/>
    <w:rsid w:val="00AB298C"/>
    <w:rsid w:val="00AB30EB"/>
    <w:rsid w:val="00AB342D"/>
    <w:rsid w:val="00AB36BD"/>
    <w:rsid w:val="00AB4954"/>
    <w:rsid w:val="00AB4A1A"/>
    <w:rsid w:val="00AB4C51"/>
    <w:rsid w:val="00AB4D62"/>
    <w:rsid w:val="00AB4F64"/>
    <w:rsid w:val="00AB601F"/>
    <w:rsid w:val="00AB6798"/>
    <w:rsid w:val="00AB6E4C"/>
    <w:rsid w:val="00AB7401"/>
    <w:rsid w:val="00AB7D3B"/>
    <w:rsid w:val="00AC015E"/>
    <w:rsid w:val="00AC0B37"/>
    <w:rsid w:val="00AC0BA6"/>
    <w:rsid w:val="00AC124D"/>
    <w:rsid w:val="00AC130D"/>
    <w:rsid w:val="00AC142D"/>
    <w:rsid w:val="00AC1609"/>
    <w:rsid w:val="00AC1751"/>
    <w:rsid w:val="00AC18E2"/>
    <w:rsid w:val="00AC22D4"/>
    <w:rsid w:val="00AC2827"/>
    <w:rsid w:val="00AC2A82"/>
    <w:rsid w:val="00AC3348"/>
    <w:rsid w:val="00AC3723"/>
    <w:rsid w:val="00AC3784"/>
    <w:rsid w:val="00AC387B"/>
    <w:rsid w:val="00AC39B6"/>
    <w:rsid w:val="00AC3A75"/>
    <w:rsid w:val="00AC4330"/>
    <w:rsid w:val="00AC459D"/>
    <w:rsid w:val="00AC47C4"/>
    <w:rsid w:val="00AC4BBB"/>
    <w:rsid w:val="00AC4D9D"/>
    <w:rsid w:val="00AC5129"/>
    <w:rsid w:val="00AC56AA"/>
    <w:rsid w:val="00AC59B4"/>
    <w:rsid w:val="00AC5C30"/>
    <w:rsid w:val="00AC699B"/>
    <w:rsid w:val="00AC6C65"/>
    <w:rsid w:val="00AC7027"/>
    <w:rsid w:val="00AC7608"/>
    <w:rsid w:val="00AC7A8E"/>
    <w:rsid w:val="00AC7E3A"/>
    <w:rsid w:val="00AD085D"/>
    <w:rsid w:val="00AD0E86"/>
    <w:rsid w:val="00AD0F69"/>
    <w:rsid w:val="00AD11B6"/>
    <w:rsid w:val="00AD14B4"/>
    <w:rsid w:val="00AD14E6"/>
    <w:rsid w:val="00AD1A38"/>
    <w:rsid w:val="00AD1BF7"/>
    <w:rsid w:val="00AD1DD6"/>
    <w:rsid w:val="00AD200B"/>
    <w:rsid w:val="00AD20C0"/>
    <w:rsid w:val="00AD20FC"/>
    <w:rsid w:val="00AD288F"/>
    <w:rsid w:val="00AD35D7"/>
    <w:rsid w:val="00AD368D"/>
    <w:rsid w:val="00AD3BE1"/>
    <w:rsid w:val="00AD3F9B"/>
    <w:rsid w:val="00AD4492"/>
    <w:rsid w:val="00AD4D63"/>
    <w:rsid w:val="00AD4D87"/>
    <w:rsid w:val="00AD4E36"/>
    <w:rsid w:val="00AD4F7D"/>
    <w:rsid w:val="00AD5CFA"/>
    <w:rsid w:val="00AD5E33"/>
    <w:rsid w:val="00AD6415"/>
    <w:rsid w:val="00AD655C"/>
    <w:rsid w:val="00AD75FF"/>
    <w:rsid w:val="00AD78C5"/>
    <w:rsid w:val="00AE0066"/>
    <w:rsid w:val="00AE0AA9"/>
    <w:rsid w:val="00AE0BC6"/>
    <w:rsid w:val="00AE1B23"/>
    <w:rsid w:val="00AE1C52"/>
    <w:rsid w:val="00AE214C"/>
    <w:rsid w:val="00AE2174"/>
    <w:rsid w:val="00AE288E"/>
    <w:rsid w:val="00AE2B9E"/>
    <w:rsid w:val="00AE311F"/>
    <w:rsid w:val="00AE35D5"/>
    <w:rsid w:val="00AE361A"/>
    <w:rsid w:val="00AE3EA8"/>
    <w:rsid w:val="00AE4391"/>
    <w:rsid w:val="00AE4ACF"/>
    <w:rsid w:val="00AE50FD"/>
    <w:rsid w:val="00AE5292"/>
    <w:rsid w:val="00AE55D6"/>
    <w:rsid w:val="00AE59BD"/>
    <w:rsid w:val="00AE5DD9"/>
    <w:rsid w:val="00AE6204"/>
    <w:rsid w:val="00AE6373"/>
    <w:rsid w:val="00AE64CC"/>
    <w:rsid w:val="00AE66EB"/>
    <w:rsid w:val="00AE7389"/>
    <w:rsid w:val="00AE7836"/>
    <w:rsid w:val="00AE78AD"/>
    <w:rsid w:val="00AE7DE2"/>
    <w:rsid w:val="00AE7E3A"/>
    <w:rsid w:val="00AF06D6"/>
    <w:rsid w:val="00AF1327"/>
    <w:rsid w:val="00AF1ECF"/>
    <w:rsid w:val="00AF26D4"/>
    <w:rsid w:val="00AF29A3"/>
    <w:rsid w:val="00AF315B"/>
    <w:rsid w:val="00AF35FB"/>
    <w:rsid w:val="00AF3ACF"/>
    <w:rsid w:val="00AF3B4C"/>
    <w:rsid w:val="00AF4CCA"/>
    <w:rsid w:val="00AF5244"/>
    <w:rsid w:val="00AF54DF"/>
    <w:rsid w:val="00AF5770"/>
    <w:rsid w:val="00AF5890"/>
    <w:rsid w:val="00AF5AC7"/>
    <w:rsid w:val="00AF627D"/>
    <w:rsid w:val="00AF7006"/>
    <w:rsid w:val="00AF7220"/>
    <w:rsid w:val="00AF76D6"/>
    <w:rsid w:val="00B000E8"/>
    <w:rsid w:val="00B00276"/>
    <w:rsid w:val="00B00644"/>
    <w:rsid w:val="00B00C5F"/>
    <w:rsid w:val="00B00D10"/>
    <w:rsid w:val="00B013A7"/>
    <w:rsid w:val="00B01594"/>
    <w:rsid w:val="00B01A2B"/>
    <w:rsid w:val="00B02ABC"/>
    <w:rsid w:val="00B0346C"/>
    <w:rsid w:val="00B03811"/>
    <w:rsid w:val="00B043BA"/>
    <w:rsid w:val="00B04813"/>
    <w:rsid w:val="00B052BA"/>
    <w:rsid w:val="00B05A34"/>
    <w:rsid w:val="00B05ACF"/>
    <w:rsid w:val="00B05D57"/>
    <w:rsid w:val="00B0631E"/>
    <w:rsid w:val="00B06631"/>
    <w:rsid w:val="00B06B4D"/>
    <w:rsid w:val="00B06C02"/>
    <w:rsid w:val="00B06D83"/>
    <w:rsid w:val="00B06DCC"/>
    <w:rsid w:val="00B078E3"/>
    <w:rsid w:val="00B07A1F"/>
    <w:rsid w:val="00B07DF3"/>
    <w:rsid w:val="00B10D04"/>
    <w:rsid w:val="00B10F18"/>
    <w:rsid w:val="00B113E3"/>
    <w:rsid w:val="00B119B4"/>
    <w:rsid w:val="00B120C2"/>
    <w:rsid w:val="00B1282C"/>
    <w:rsid w:val="00B12864"/>
    <w:rsid w:val="00B12A95"/>
    <w:rsid w:val="00B12B03"/>
    <w:rsid w:val="00B12B30"/>
    <w:rsid w:val="00B131E9"/>
    <w:rsid w:val="00B13A84"/>
    <w:rsid w:val="00B1446E"/>
    <w:rsid w:val="00B147C4"/>
    <w:rsid w:val="00B154B1"/>
    <w:rsid w:val="00B15730"/>
    <w:rsid w:val="00B158BB"/>
    <w:rsid w:val="00B1618D"/>
    <w:rsid w:val="00B165F1"/>
    <w:rsid w:val="00B16676"/>
    <w:rsid w:val="00B166A3"/>
    <w:rsid w:val="00B16722"/>
    <w:rsid w:val="00B16B89"/>
    <w:rsid w:val="00B17745"/>
    <w:rsid w:val="00B17940"/>
    <w:rsid w:val="00B17BD0"/>
    <w:rsid w:val="00B200AF"/>
    <w:rsid w:val="00B205A2"/>
    <w:rsid w:val="00B20914"/>
    <w:rsid w:val="00B209D7"/>
    <w:rsid w:val="00B20B44"/>
    <w:rsid w:val="00B2102F"/>
    <w:rsid w:val="00B213D0"/>
    <w:rsid w:val="00B224DA"/>
    <w:rsid w:val="00B22A8E"/>
    <w:rsid w:val="00B22C4F"/>
    <w:rsid w:val="00B23003"/>
    <w:rsid w:val="00B234B3"/>
    <w:rsid w:val="00B2355B"/>
    <w:rsid w:val="00B23673"/>
    <w:rsid w:val="00B23B9E"/>
    <w:rsid w:val="00B23D35"/>
    <w:rsid w:val="00B24011"/>
    <w:rsid w:val="00B24987"/>
    <w:rsid w:val="00B24A38"/>
    <w:rsid w:val="00B2514B"/>
    <w:rsid w:val="00B251F7"/>
    <w:rsid w:val="00B25698"/>
    <w:rsid w:val="00B261BE"/>
    <w:rsid w:val="00B266D6"/>
    <w:rsid w:val="00B26FC9"/>
    <w:rsid w:val="00B27352"/>
    <w:rsid w:val="00B27434"/>
    <w:rsid w:val="00B27F2D"/>
    <w:rsid w:val="00B30F74"/>
    <w:rsid w:val="00B31C0A"/>
    <w:rsid w:val="00B31FE3"/>
    <w:rsid w:val="00B320DD"/>
    <w:rsid w:val="00B32227"/>
    <w:rsid w:val="00B32244"/>
    <w:rsid w:val="00B32800"/>
    <w:rsid w:val="00B32B4F"/>
    <w:rsid w:val="00B33285"/>
    <w:rsid w:val="00B338EB"/>
    <w:rsid w:val="00B34650"/>
    <w:rsid w:val="00B34727"/>
    <w:rsid w:val="00B3479B"/>
    <w:rsid w:val="00B35071"/>
    <w:rsid w:val="00B35175"/>
    <w:rsid w:val="00B35274"/>
    <w:rsid w:val="00B358AE"/>
    <w:rsid w:val="00B36004"/>
    <w:rsid w:val="00B3662B"/>
    <w:rsid w:val="00B36DFE"/>
    <w:rsid w:val="00B36FCB"/>
    <w:rsid w:val="00B371F9"/>
    <w:rsid w:val="00B377D6"/>
    <w:rsid w:val="00B37D6C"/>
    <w:rsid w:val="00B37E4D"/>
    <w:rsid w:val="00B40765"/>
    <w:rsid w:val="00B40EC9"/>
    <w:rsid w:val="00B40F86"/>
    <w:rsid w:val="00B4203B"/>
    <w:rsid w:val="00B42069"/>
    <w:rsid w:val="00B4249B"/>
    <w:rsid w:val="00B42B63"/>
    <w:rsid w:val="00B42CD7"/>
    <w:rsid w:val="00B43B6F"/>
    <w:rsid w:val="00B440EB"/>
    <w:rsid w:val="00B444C0"/>
    <w:rsid w:val="00B44627"/>
    <w:rsid w:val="00B44674"/>
    <w:rsid w:val="00B44871"/>
    <w:rsid w:val="00B44B12"/>
    <w:rsid w:val="00B45A06"/>
    <w:rsid w:val="00B45A55"/>
    <w:rsid w:val="00B45C89"/>
    <w:rsid w:val="00B46754"/>
    <w:rsid w:val="00B46B35"/>
    <w:rsid w:val="00B47783"/>
    <w:rsid w:val="00B500D7"/>
    <w:rsid w:val="00B502A4"/>
    <w:rsid w:val="00B50407"/>
    <w:rsid w:val="00B505CA"/>
    <w:rsid w:val="00B50BF2"/>
    <w:rsid w:val="00B50C8F"/>
    <w:rsid w:val="00B50CAA"/>
    <w:rsid w:val="00B51394"/>
    <w:rsid w:val="00B51CAF"/>
    <w:rsid w:val="00B51F88"/>
    <w:rsid w:val="00B5222E"/>
    <w:rsid w:val="00B528E1"/>
    <w:rsid w:val="00B52B98"/>
    <w:rsid w:val="00B52CC3"/>
    <w:rsid w:val="00B5328A"/>
    <w:rsid w:val="00B53702"/>
    <w:rsid w:val="00B5386F"/>
    <w:rsid w:val="00B541C5"/>
    <w:rsid w:val="00B54E3C"/>
    <w:rsid w:val="00B54F11"/>
    <w:rsid w:val="00B55094"/>
    <w:rsid w:val="00B551FD"/>
    <w:rsid w:val="00B56056"/>
    <w:rsid w:val="00B5642E"/>
    <w:rsid w:val="00B567DD"/>
    <w:rsid w:val="00B56CDF"/>
    <w:rsid w:val="00B56CF8"/>
    <w:rsid w:val="00B57135"/>
    <w:rsid w:val="00B578BD"/>
    <w:rsid w:val="00B6037C"/>
    <w:rsid w:val="00B60F97"/>
    <w:rsid w:val="00B6107A"/>
    <w:rsid w:val="00B61384"/>
    <w:rsid w:val="00B61785"/>
    <w:rsid w:val="00B62652"/>
    <w:rsid w:val="00B632CD"/>
    <w:rsid w:val="00B635B9"/>
    <w:rsid w:val="00B63C92"/>
    <w:rsid w:val="00B645A3"/>
    <w:rsid w:val="00B6476B"/>
    <w:rsid w:val="00B64A1D"/>
    <w:rsid w:val="00B64A81"/>
    <w:rsid w:val="00B64F0C"/>
    <w:rsid w:val="00B65B60"/>
    <w:rsid w:val="00B65C9D"/>
    <w:rsid w:val="00B65CD7"/>
    <w:rsid w:val="00B65EA6"/>
    <w:rsid w:val="00B65FBA"/>
    <w:rsid w:val="00B66639"/>
    <w:rsid w:val="00B669D7"/>
    <w:rsid w:val="00B66A44"/>
    <w:rsid w:val="00B66A6F"/>
    <w:rsid w:val="00B66DFC"/>
    <w:rsid w:val="00B66EA8"/>
    <w:rsid w:val="00B674EC"/>
    <w:rsid w:val="00B677DF"/>
    <w:rsid w:val="00B67A26"/>
    <w:rsid w:val="00B70BB5"/>
    <w:rsid w:val="00B71426"/>
    <w:rsid w:val="00B71DD8"/>
    <w:rsid w:val="00B71E65"/>
    <w:rsid w:val="00B71F69"/>
    <w:rsid w:val="00B72124"/>
    <w:rsid w:val="00B72239"/>
    <w:rsid w:val="00B728FB"/>
    <w:rsid w:val="00B72AF4"/>
    <w:rsid w:val="00B72BFF"/>
    <w:rsid w:val="00B72D6A"/>
    <w:rsid w:val="00B72F4A"/>
    <w:rsid w:val="00B72F56"/>
    <w:rsid w:val="00B74AD6"/>
    <w:rsid w:val="00B76055"/>
    <w:rsid w:val="00B76148"/>
    <w:rsid w:val="00B76955"/>
    <w:rsid w:val="00B76BC3"/>
    <w:rsid w:val="00B76D4D"/>
    <w:rsid w:val="00B76ED3"/>
    <w:rsid w:val="00B775CC"/>
    <w:rsid w:val="00B77EEF"/>
    <w:rsid w:val="00B800AB"/>
    <w:rsid w:val="00B803FE"/>
    <w:rsid w:val="00B8117B"/>
    <w:rsid w:val="00B81228"/>
    <w:rsid w:val="00B81780"/>
    <w:rsid w:val="00B81AF1"/>
    <w:rsid w:val="00B81C74"/>
    <w:rsid w:val="00B81F3A"/>
    <w:rsid w:val="00B82222"/>
    <w:rsid w:val="00B822D1"/>
    <w:rsid w:val="00B8256F"/>
    <w:rsid w:val="00B827CB"/>
    <w:rsid w:val="00B82C01"/>
    <w:rsid w:val="00B83364"/>
    <w:rsid w:val="00B84663"/>
    <w:rsid w:val="00B84848"/>
    <w:rsid w:val="00B856D4"/>
    <w:rsid w:val="00B85B0C"/>
    <w:rsid w:val="00B86156"/>
    <w:rsid w:val="00B868AF"/>
    <w:rsid w:val="00B869BD"/>
    <w:rsid w:val="00B86F0C"/>
    <w:rsid w:val="00B87018"/>
    <w:rsid w:val="00B8711F"/>
    <w:rsid w:val="00B8731A"/>
    <w:rsid w:val="00B873F7"/>
    <w:rsid w:val="00B8766A"/>
    <w:rsid w:val="00B879D8"/>
    <w:rsid w:val="00B87CA5"/>
    <w:rsid w:val="00B87DDA"/>
    <w:rsid w:val="00B90604"/>
    <w:rsid w:val="00B90651"/>
    <w:rsid w:val="00B9068F"/>
    <w:rsid w:val="00B90755"/>
    <w:rsid w:val="00B90B38"/>
    <w:rsid w:val="00B90DCA"/>
    <w:rsid w:val="00B90E06"/>
    <w:rsid w:val="00B90E65"/>
    <w:rsid w:val="00B90F5E"/>
    <w:rsid w:val="00B912AA"/>
    <w:rsid w:val="00B91E36"/>
    <w:rsid w:val="00B92259"/>
    <w:rsid w:val="00B9317F"/>
    <w:rsid w:val="00B93883"/>
    <w:rsid w:val="00B9396B"/>
    <w:rsid w:val="00B945A2"/>
    <w:rsid w:val="00B9564B"/>
    <w:rsid w:val="00B9577A"/>
    <w:rsid w:val="00B96122"/>
    <w:rsid w:val="00B96595"/>
    <w:rsid w:val="00B96596"/>
    <w:rsid w:val="00B97477"/>
    <w:rsid w:val="00B978CD"/>
    <w:rsid w:val="00B97F83"/>
    <w:rsid w:val="00BA003E"/>
    <w:rsid w:val="00BA0058"/>
    <w:rsid w:val="00BA02F5"/>
    <w:rsid w:val="00BA0790"/>
    <w:rsid w:val="00BA1217"/>
    <w:rsid w:val="00BA15BC"/>
    <w:rsid w:val="00BA1B30"/>
    <w:rsid w:val="00BA253E"/>
    <w:rsid w:val="00BA27A8"/>
    <w:rsid w:val="00BA2CCF"/>
    <w:rsid w:val="00BA2DB3"/>
    <w:rsid w:val="00BA3E47"/>
    <w:rsid w:val="00BA440C"/>
    <w:rsid w:val="00BA47DA"/>
    <w:rsid w:val="00BA4D76"/>
    <w:rsid w:val="00BA4E6D"/>
    <w:rsid w:val="00BA552E"/>
    <w:rsid w:val="00BA564D"/>
    <w:rsid w:val="00BA5A81"/>
    <w:rsid w:val="00BA5BF8"/>
    <w:rsid w:val="00BA5E7F"/>
    <w:rsid w:val="00BA60B4"/>
    <w:rsid w:val="00BA61D6"/>
    <w:rsid w:val="00BA66A8"/>
    <w:rsid w:val="00BA68BF"/>
    <w:rsid w:val="00BA6F9E"/>
    <w:rsid w:val="00BA7168"/>
    <w:rsid w:val="00BA72DA"/>
    <w:rsid w:val="00BA74C3"/>
    <w:rsid w:val="00BA7BDF"/>
    <w:rsid w:val="00BB118E"/>
    <w:rsid w:val="00BB170F"/>
    <w:rsid w:val="00BB18C4"/>
    <w:rsid w:val="00BB1995"/>
    <w:rsid w:val="00BB1CB1"/>
    <w:rsid w:val="00BB1D8B"/>
    <w:rsid w:val="00BB2124"/>
    <w:rsid w:val="00BB2CA2"/>
    <w:rsid w:val="00BB3024"/>
    <w:rsid w:val="00BB309F"/>
    <w:rsid w:val="00BB37E8"/>
    <w:rsid w:val="00BB3960"/>
    <w:rsid w:val="00BB3AD1"/>
    <w:rsid w:val="00BB3BED"/>
    <w:rsid w:val="00BB4305"/>
    <w:rsid w:val="00BB4D63"/>
    <w:rsid w:val="00BB4F58"/>
    <w:rsid w:val="00BB5155"/>
    <w:rsid w:val="00BB546B"/>
    <w:rsid w:val="00BB58AF"/>
    <w:rsid w:val="00BB5A1E"/>
    <w:rsid w:val="00BB5DE9"/>
    <w:rsid w:val="00BB6648"/>
    <w:rsid w:val="00BB6BC6"/>
    <w:rsid w:val="00BB6C65"/>
    <w:rsid w:val="00BB7BB0"/>
    <w:rsid w:val="00BB7CBB"/>
    <w:rsid w:val="00BC0796"/>
    <w:rsid w:val="00BC0875"/>
    <w:rsid w:val="00BC0CFB"/>
    <w:rsid w:val="00BC18BC"/>
    <w:rsid w:val="00BC1C71"/>
    <w:rsid w:val="00BC2759"/>
    <w:rsid w:val="00BC2976"/>
    <w:rsid w:val="00BC2B35"/>
    <w:rsid w:val="00BC2E16"/>
    <w:rsid w:val="00BC3234"/>
    <w:rsid w:val="00BC34FE"/>
    <w:rsid w:val="00BC3875"/>
    <w:rsid w:val="00BC3C73"/>
    <w:rsid w:val="00BC4598"/>
    <w:rsid w:val="00BC45ED"/>
    <w:rsid w:val="00BC4A61"/>
    <w:rsid w:val="00BC4ABF"/>
    <w:rsid w:val="00BC4CA0"/>
    <w:rsid w:val="00BC4ECE"/>
    <w:rsid w:val="00BC524D"/>
    <w:rsid w:val="00BC544C"/>
    <w:rsid w:val="00BC5513"/>
    <w:rsid w:val="00BC5672"/>
    <w:rsid w:val="00BC569B"/>
    <w:rsid w:val="00BC6942"/>
    <w:rsid w:val="00BC77E6"/>
    <w:rsid w:val="00BC7FA1"/>
    <w:rsid w:val="00BD00D3"/>
    <w:rsid w:val="00BD0A70"/>
    <w:rsid w:val="00BD0BD8"/>
    <w:rsid w:val="00BD1C32"/>
    <w:rsid w:val="00BD1F01"/>
    <w:rsid w:val="00BD249A"/>
    <w:rsid w:val="00BD3DE3"/>
    <w:rsid w:val="00BD40B3"/>
    <w:rsid w:val="00BD4189"/>
    <w:rsid w:val="00BD4C37"/>
    <w:rsid w:val="00BD5273"/>
    <w:rsid w:val="00BD54A2"/>
    <w:rsid w:val="00BD54AA"/>
    <w:rsid w:val="00BD5A93"/>
    <w:rsid w:val="00BD5B40"/>
    <w:rsid w:val="00BD5BC5"/>
    <w:rsid w:val="00BD6216"/>
    <w:rsid w:val="00BD634D"/>
    <w:rsid w:val="00BD6442"/>
    <w:rsid w:val="00BD6F1E"/>
    <w:rsid w:val="00BD70C4"/>
    <w:rsid w:val="00BE01C1"/>
    <w:rsid w:val="00BE0B30"/>
    <w:rsid w:val="00BE1421"/>
    <w:rsid w:val="00BE15A1"/>
    <w:rsid w:val="00BE2132"/>
    <w:rsid w:val="00BE2D85"/>
    <w:rsid w:val="00BE2FA4"/>
    <w:rsid w:val="00BE38D5"/>
    <w:rsid w:val="00BE42DB"/>
    <w:rsid w:val="00BE4529"/>
    <w:rsid w:val="00BE49CD"/>
    <w:rsid w:val="00BE4AA2"/>
    <w:rsid w:val="00BE4B0B"/>
    <w:rsid w:val="00BE5004"/>
    <w:rsid w:val="00BE5060"/>
    <w:rsid w:val="00BE570D"/>
    <w:rsid w:val="00BE60FB"/>
    <w:rsid w:val="00BE62F6"/>
    <w:rsid w:val="00BE64DC"/>
    <w:rsid w:val="00BE6AF1"/>
    <w:rsid w:val="00BE6D9A"/>
    <w:rsid w:val="00BE72BB"/>
    <w:rsid w:val="00BE7327"/>
    <w:rsid w:val="00BE776E"/>
    <w:rsid w:val="00BE7908"/>
    <w:rsid w:val="00BE7E94"/>
    <w:rsid w:val="00BE7F75"/>
    <w:rsid w:val="00BF08EF"/>
    <w:rsid w:val="00BF0F42"/>
    <w:rsid w:val="00BF0FC6"/>
    <w:rsid w:val="00BF1051"/>
    <w:rsid w:val="00BF10E8"/>
    <w:rsid w:val="00BF10F4"/>
    <w:rsid w:val="00BF18A6"/>
    <w:rsid w:val="00BF1FA3"/>
    <w:rsid w:val="00BF209B"/>
    <w:rsid w:val="00BF21BE"/>
    <w:rsid w:val="00BF2269"/>
    <w:rsid w:val="00BF2AD0"/>
    <w:rsid w:val="00BF3825"/>
    <w:rsid w:val="00BF3AED"/>
    <w:rsid w:val="00BF3E14"/>
    <w:rsid w:val="00BF3FF8"/>
    <w:rsid w:val="00BF43BF"/>
    <w:rsid w:val="00BF4462"/>
    <w:rsid w:val="00BF507C"/>
    <w:rsid w:val="00BF5827"/>
    <w:rsid w:val="00BF5E4E"/>
    <w:rsid w:val="00BF645C"/>
    <w:rsid w:val="00BF6EDF"/>
    <w:rsid w:val="00BF7292"/>
    <w:rsid w:val="00C00AB9"/>
    <w:rsid w:val="00C00CC1"/>
    <w:rsid w:val="00C00FF1"/>
    <w:rsid w:val="00C0148A"/>
    <w:rsid w:val="00C01A78"/>
    <w:rsid w:val="00C01A85"/>
    <w:rsid w:val="00C01F23"/>
    <w:rsid w:val="00C025B2"/>
    <w:rsid w:val="00C02B91"/>
    <w:rsid w:val="00C03359"/>
    <w:rsid w:val="00C042F8"/>
    <w:rsid w:val="00C04E78"/>
    <w:rsid w:val="00C05216"/>
    <w:rsid w:val="00C06DAC"/>
    <w:rsid w:val="00C07D32"/>
    <w:rsid w:val="00C07DE2"/>
    <w:rsid w:val="00C100CE"/>
    <w:rsid w:val="00C10211"/>
    <w:rsid w:val="00C105A5"/>
    <w:rsid w:val="00C10985"/>
    <w:rsid w:val="00C10A55"/>
    <w:rsid w:val="00C10D57"/>
    <w:rsid w:val="00C1173E"/>
    <w:rsid w:val="00C11833"/>
    <w:rsid w:val="00C1189A"/>
    <w:rsid w:val="00C1321F"/>
    <w:rsid w:val="00C13236"/>
    <w:rsid w:val="00C143C7"/>
    <w:rsid w:val="00C151D1"/>
    <w:rsid w:val="00C152E1"/>
    <w:rsid w:val="00C15DB4"/>
    <w:rsid w:val="00C166E5"/>
    <w:rsid w:val="00C1702E"/>
    <w:rsid w:val="00C1730C"/>
    <w:rsid w:val="00C17F14"/>
    <w:rsid w:val="00C20D9C"/>
    <w:rsid w:val="00C21027"/>
    <w:rsid w:val="00C210F6"/>
    <w:rsid w:val="00C21E0E"/>
    <w:rsid w:val="00C220F3"/>
    <w:rsid w:val="00C228CA"/>
    <w:rsid w:val="00C22DF6"/>
    <w:rsid w:val="00C22F09"/>
    <w:rsid w:val="00C23457"/>
    <w:rsid w:val="00C23CFB"/>
    <w:rsid w:val="00C2457A"/>
    <w:rsid w:val="00C24AD0"/>
    <w:rsid w:val="00C24C11"/>
    <w:rsid w:val="00C24FC3"/>
    <w:rsid w:val="00C2533A"/>
    <w:rsid w:val="00C25437"/>
    <w:rsid w:val="00C2644B"/>
    <w:rsid w:val="00C2652C"/>
    <w:rsid w:val="00C27A7B"/>
    <w:rsid w:val="00C27D1D"/>
    <w:rsid w:val="00C30008"/>
    <w:rsid w:val="00C3074C"/>
    <w:rsid w:val="00C3076A"/>
    <w:rsid w:val="00C307E8"/>
    <w:rsid w:val="00C3094D"/>
    <w:rsid w:val="00C30AB2"/>
    <w:rsid w:val="00C30D0B"/>
    <w:rsid w:val="00C31BA8"/>
    <w:rsid w:val="00C31CB2"/>
    <w:rsid w:val="00C31EBB"/>
    <w:rsid w:val="00C31F0D"/>
    <w:rsid w:val="00C329E2"/>
    <w:rsid w:val="00C32DB9"/>
    <w:rsid w:val="00C33DD7"/>
    <w:rsid w:val="00C340B6"/>
    <w:rsid w:val="00C3464B"/>
    <w:rsid w:val="00C34898"/>
    <w:rsid w:val="00C34A19"/>
    <w:rsid w:val="00C34C07"/>
    <w:rsid w:val="00C35041"/>
    <w:rsid w:val="00C3512C"/>
    <w:rsid w:val="00C3546A"/>
    <w:rsid w:val="00C3571C"/>
    <w:rsid w:val="00C35B52"/>
    <w:rsid w:val="00C360C2"/>
    <w:rsid w:val="00C366FE"/>
    <w:rsid w:val="00C37662"/>
    <w:rsid w:val="00C37862"/>
    <w:rsid w:val="00C378D2"/>
    <w:rsid w:val="00C405CC"/>
    <w:rsid w:val="00C40A56"/>
    <w:rsid w:val="00C40C83"/>
    <w:rsid w:val="00C41276"/>
    <w:rsid w:val="00C419BC"/>
    <w:rsid w:val="00C42392"/>
    <w:rsid w:val="00C42786"/>
    <w:rsid w:val="00C427E8"/>
    <w:rsid w:val="00C42964"/>
    <w:rsid w:val="00C42989"/>
    <w:rsid w:val="00C43968"/>
    <w:rsid w:val="00C4426E"/>
    <w:rsid w:val="00C442A0"/>
    <w:rsid w:val="00C44921"/>
    <w:rsid w:val="00C44956"/>
    <w:rsid w:val="00C44ADE"/>
    <w:rsid w:val="00C451A1"/>
    <w:rsid w:val="00C45397"/>
    <w:rsid w:val="00C4542F"/>
    <w:rsid w:val="00C455E8"/>
    <w:rsid w:val="00C45900"/>
    <w:rsid w:val="00C45B13"/>
    <w:rsid w:val="00C45D9D"/>
    <w:rsid w:val="00C45F9F"/>
    <w:rsid w:val="00C4625D"/>
    <w:rsid w:val="00C4677D"/>
    <w:rsid w:val="00C4761F"/>
    <w:rsid w:val="00C47B5D"/>
    <w:rsid w:val="00C50813"/>
    <w:rsid w:val="00C50A6B"/>
    <w:rsid w:val="00C50BDD"/>
    <w:rsid w:val="00C50FFC"/>
    <w:rsid w:val="00C5100F"/>
    <w:rsid w:val="00C51B02"/>
    <w:rsid w:val="00C51CCC"/>
    <w:rsid w:val="00C5260C"/>
    <w:rsid w:val="00C529A4"/>
    <w:rsid w:val="00C52CD5"/>
    <w:rsid w:val="00C5319B"/>
    <w:rsid w:val="00C53E01"/>
    <w:rsid w:val="00C54104"/>
    <w:rsid w:val="00C54165"/>
    <w:rsid w:val="00C541F1"/>
    <w:rsid w:val="00C54D4F"/>
    <w:rsid w:val="00C55C80"/>
    <w:rsid w:val="00C56156"/>
    <w:rsid w:val="00C564A8"/>
    <w:rsid w:val="00C56582"/>
    <w:rsid w:val="00C56AD4"/>
    <w:rsid w:val="00C5701C"/>
    <w:rsid w:val="00C574B2"/>
    <w:rsid w:val="00C576C4"/>
    <w:rsid w:val="00C5774B"/>
    <w:rsid w:val="00C57774"/>
    <w:rsid w:val="00C57DE3"/>
    <w:rsid w:val="00C57E47"/>
    <w:rsid w:val="00C57F4F"/>
    <w:rsid w:val="00C60031"/>
    <w:rsid w:val="00C607DB"/>
    <w:rsid w:val="00C60E91"/>
    <w:rsid w:val="00C6100A"/>
    <w:rsid w:val="00C6110C"/>
    <w:rsid w:val="00C61A5E"/>
    <w:rsid w:val="00C61C04"/>
    <w:rsid w:val="00C61F34"/>
    <w:rsid w:val="00C62728"/>
    <w:rsid w:val="00C62DA9"/>
    <w:rsid w:val="00C635EC"/>
    <w:rsid w:val="00C640BC"/>
    <w:rsid w:val="00C6413B"/>
    <w:rsid w:val="00C64287"/>
    <w:rsid w:val="00C6443E"/>
    <w:rsid w:val="00C644AF"/>
    <w:rsid w:val="00C64BA4"/>
    <w:rsid w:val="00C64E73"/>
    <w:rsid w:val="00C65E59"/>
    <w:rsid w:val="00C65FD4"/>
    <w:rsid w:val="00C6627C"/>
    <w:rsid w:val="00C6648D"/>
    <w:rsid w:val="00C66C85"/>
    <w:rsid w:val="00C66F88"/>
    <w:rsid w:val="00C67397"/>
    <w:rsid w:val="00C70854"/>
    <w:rsid w:val="00C70956"/>
    <w:rsid w:val="00C709D2"/>
    <w:rsid w:val="00C70C21"/>
    <w:rsid w:val="00C72A26"/>
    <w:rsid w:val="00C730D2"/>
    <w:rsid w:val="00C73AAD"/>
    <w:rsid w:val="00C73E96"/>
    <w:rsid w:val="00C73F5F"/>
    <w:rsid w:val="00C74336"/>
    <w:rsid w:val="00C74570"/>
    <w:rsid w:val="00C74925"/>
    <w:rsid w:val="00C7530C"/>
    <w:rsid w:val="00C7578B"/>
    <w:rsid w:val="00C75B36"/>
    <w:rsid w:val="00C75DDA"/>
    <w:rsid w:val="00C7665F"/>
    <w:rsid w:val="00C76A9E"/>
    <w:rsid w:val="00C76DE4"/>
    <w:rsid w:val="00C7726F"/>
    <w:rsid w:val="00C80808"/>
    <w:rsid w:val="00C808A1"/>
    <w:rsid w:val="00C808B4"/>
    <w:rsid w:val="00C818AB"/>
    <w:rsid w:val="00C81B1D"/>
    <w:rsid w:val="00C81DDF"/>
    <w:rsid w:val="00C821A9"/>
    <w:rsid w:val="00C82250"/>
    <w:rsid w:val="00C822BC"/>
    <w:rsid w:val="00C8280C"/>
    <w:rsid w:val="00C83353"/>
    <w:rsid w:val="00C835D1"/>
    <w:rsid w:val="00C83781"/>
    <w:rsid w:val="00C84DB1"/>
    <w:rsid w:val="00C85756"/>
    <w:rsid w:val="00C857D2"/>
    <w:rsid w:val="00C85C16"/>
    <w:rsid w:val="00C85CF2"/>
    <w:rsid w:val="00C86038"/>
    <w:rsid w:val="00C86047"/>
    <w:rsid w:val="00C8634E"/>
    <w:rsid w:val="00C87A2B"/>
    <w:rsid w:val="00C87A75"/>
    <w:rsid w:val="00C9058B"/>
    <w:rsid w:val="00C90811"/>
    <w:rsid w:val="00C90BEB"/>
    <w:rsid w:val="00C913A0"/>
    <w:rsid w:val="00C91594"/>
    <w:rsid w:val="00C91BCB"/>
    <w:rsid w:val="00C91CDC"/>
    <w:rsid w:val="00C925B4"/>
    <w:rsid w:val="00C92A01"/>
    <w:rsid w:val="00C92FBB"/>
    <w:rsid w:val="00C93269"/>
    <w:rsid w:val="00C93933"/>
    <w:rsid w:val="00C94014"/>
    <w:rsid w:val="00C94259"/>
    <w:rsid w:val="00C942C6"/>
    <w:rsid w:val="00C94C91"/>
    <w:rsid w:val="00C95CDE"/>
    <w:rsid w:val="00C95E0A"/>
    <w:rsid w:val="00C95E78"/>
    <w:rsid w:val="00C95F69"/>
    <w:rsid w:val="00C968D1"/>
    <w:rsid w:val="00C9703B"/>
    <w:rsid w:val="00C972BA"/>
    <w:rsid w:val="00C97677"/>
    <w:rsid w:val="00C9769F"/>
    <w:rsid w:val="00C97D07"/>
    <w:rsid w:val="00CA05E7"/>
    <w:rsid w:val="00CA0686"/>
    <w:rsid w:val="00CA0836"/>
    <w:rsid w:val="00CA1004"/>
    <w:rsid w:val="00CA12DC"/>
    <w:rsid w:val="00CA14A4"/>
    <w:rsid w:val="00CA1A4C"/>
    <w:rsid w:val="00CA1C92"/>
    <w:rsid w:val="00CA1D22"/>
    <w:rsid w:val="00CA23B6"/>
    <w:rsid w:val="00CA240F"/>
    <w:rsid w:val="00CA2612"/>
    <w:rsid w:val="00CA2AE2"/>
    <w:rsid w:val="00CA2E49"/>
    <w:rsid w:val="00CA3931"/>
    <w:rsid w:val="00CA3D8D"/>
    <w:rsid w:val="00CA3DC2"/>
    <w:rsid w:val="00CA3E03"/>
    <w:rsid w:val="00CA46DB"/>
    <w:rsid w:val="00CA571E"/>
    <w:rsid w:val="00CA5764"/>
    <w:rsid w:val="00CA6022"/>
    <w:rsid w:val="00CA63CC"/>
    <w:rsid w:val="00CA6587"/>
    <w:rsid w:val="00CA6706"/>
    <w:rsid w:val="00CA68B0"/>
    <w:rsid w:val="00CA6AF8"/>
    <w:rsid w:val="00CA6C42"/>
    <w:rsid w:val="00CA6DFE"/>
    <w:rsid w:val="00CA6E13"/>
    <w:rsid w:val="00CA71D6"/>
    <w:rsid w:val="00CA725A"/>
    <w:rsid w:val="00CB035D"/>
    <w:rsid w:val="00CB06D6"/>
    <w:rsid w:val="00CB0B92"/>
    <w:rsid w:val="00CB1131"/>
    <w:rsid w:val="00CB1588"/>
    <w:rsid w:val="00CB1AB9"/>
    <w:rsid w:val="00CB2223"/>
    <w:rsid w:val="00CB286B"/>
    <w:rsid w:val="00CB28FD"/>
    <w:rsid w:val="00CB3724"/>
    <w:rsid w:val="00CB3E62"/>
    <w:rsid w:val="00CB43C8"/>
    <w:rsid w:val="00CB4A85"/>
    <w:rsid w:val="00CB4D44"/>
    <w:rsid w:val="00CB5006"/>
    <w:rsid w:val="00CB55EF"/>
    <w:rsid w:val="00CB5C41"/>
    <w:rsid w:val="00CB5E59"/>
    <w:rsid w:val="00CB604C"/>
    <w:rsid w:val="00CB6557"/>
    <w:rsid w:val="00CB6602"/>
    <w:rsid w:val="00CB6E80"/>
    <w:rsid w:val="00CB723E"/>
    <w:rsid w:val="00CB7457"/>
    <w:rsid w:val="00CB7A49"/>
    <w:rsid w:val="00CC00CF"/>
    <w:rsid w:val="00CC0B25"/>
    <w:rsid w:val="00CC12C2"/>
    <w:rsid w:val="00CC14FC"/>
    <w:rsid w:val="00CC17AE"/>
    <w:rsid w:val="00CC1AE8"/>
    <w:rsid w:val="00CC20CB"/>
    <w:rsid w:val="00CC25F7"/>
    <w:rsid w:val="00CC2696"/>
    <w:rsid w:val="00CC2B19"/>
    <w:rsid w:val="00CC2DB7"/>
    <w:rsid w:val="00CC2E32"/>
    <w:rsid w:val="00CC3FFB"/>
    <w:rsid w:val="00CC47F9"/>
    <w:rsid w:val="00CC4FAA"/>
    <w:rsid w:val="00CC56F1"/>
    <w:rsid w:val="00CC6371"/>
    <w:rsid w:val="00CC73F5"/>
    <w:rsid w:val="00CC7CA5"/>
    <w:rsid w:val="00CC7D02"/>
    <w:rsid w:val="00CD00B4"/>
    <w:rsid w:val="00CD0359"/>
    <w:rsid w:val="00CD0820"/>
    <w:rsid w:val="00CD0D8C"/>
    <w:rsid w:val="00CD0EFA"/>
    <w:rsid w:val="00CD112B"/>
    <w:rsid w:val="00CD255A"/>
    <w:rsid w:val="00CD295D"/>
    <w:rsid w:val="00CD29F4"/>
    <w:rsid w:val="00CD2A33"/>
    <w:rsid w:val="00CD2DB8"/>
    <w:rsid w:val="00CD2E6B"/>
    <w:rsid w:val="00CD3578"/>
    <w:rsid w:val="00CD3D89"/>
    <w:rsid w:val="00CD4500"/>
    <w:rsid w:val="00CD4E3A"/>
    <w:rsid w:val="00CD5EAF"/>
    <w:rsid w:val="00CD6495"/>
    <w:rsid w:val="00CD6BB6"/>
    <w:rsid w:val="00CD7143"/>
    <w:rsid w:val="00CD7DE6"/>
    <w:rsid w:val="00CE0043"/>
    <w:rsid w:val="00CE04E2"/>
    <w:rsid w:val="00CE0A58"/>
    <w:rsid w:val="00CE0FEB"/>
    <w:rsid w:val="00CE132D"/>
    <w:rsid w:val="00CE1ECB"/>
    <w:rsid w:val="00CE20FE"/>
    <w:rsid w:val="00CE2399"/>
    <w:rsid w:val="00CE2736"/>
    <w:rsid w:val="00CE2E84"/>
    <w:rsid w:val="00CE3054"/>
    <w:rsid w:val="00CE30E9"/>
    <w:rsid w:val="00CE3291"/>
    <w:rsid w:val="00CE4751"/>
    <w:rsid w:val="00CE5576"/>
    <w:rsid w:val="00CE571F"/>
    <w:rsid w:val="00CE5D26"/>
    <w:rsid w:val="00CE5E47"/>
    <w:rsid w:val="00CE6029"/>
    <w:rsid w:val="00CE605D"/>
    <w:rsid w:val="00CE7265"/>
    <w:rsid w:val="00CE74EB"/>
    <w:rsid w:val="00CE7678"/>
    <w:rsid w:val="00CE79D0"/>
    <w:rsid w:val="00CF0386"/>
    <w:rsid w:val="00CF08E0"/>
    <w:rsid w:val="00CF0A45"/>
    <w:rsid w:val="00CF0ACE"/>
    <w:rsid w:val="00CF0DD6"/>
    <w:rsid w:val="00CF11CC"/>
    <w:rsid w:val="00CF1900"/>
    <w:rsid w:val="00CF1E72"/>
    <w:rsid w:val="00CF2587"/>
    <w:rsid w:val="00CF2ADE"/>
    <w:rsid w:val="00CF396A"/>
    <w:rsid w:val="00CF39F4"/>
    <w:rsid w:val="00CF3E82"/>
    <w:rsid w:val="00CF407B"/>
    <w:rsid w:val="00CF42BE"/>
    <w:rsid w:val="00CF467E"/>
    <w:rsid w:val="00CF4738"/>
    <w:rsid w:val="00CF4807"/>
    <w:rsid w:val="00CF5231"/>
    <w:rsid w:val="00CF53DC"/>
    <w:rsid w:val="00CF56E0"/>
    <w:rsid w:val="00CF58FC"/>
    <w:rsid w:val="00CF5FF1"/>
    <w:rsid w:val="00CF63A2"/>
    <w:rsid w:val="00CF6622"/>
    <w:rsid w:val="00CF6DA1"/>
    <w:rsid w:val="00CF70FF"/>
    <w:rsid w:val="00CF7248"/>
    <w:rsid w:val="00CF7804"/>
    <w:rsid w:val="00CF7D41"/>
    <w:rsid w:val="00CF7DDE"/>
    <w:rsid w:val="00D00577"/>
    <w:rsid w:val="00D00DBD"/>
    <w:rsid w:val="00D011A8"/>
    <w:rsid w:val="00D0123F"/>
    <w:rsid w:val="00D015D3"/>
    <w:rsid w:val="00D01F44"/>
    <w:rsid w:val="00D02379"/>
    <w:rsid w:val="00D02406"/>
    <w:rsid w:val="00D02451"/>
    <w:rsid w:val="00D02503"/>
    <w:rsid w:val="00D02A04"/>
    <w:rsid w:val="00D02CDA"/>
    <w:rsid w:val="00D02FD5"/>
    <w:rsid w:val="00D0350A"/>
    <w:rsid w:val="00D036F0"/>
    <w:rsid w:val="00D03714"/>
    <w:rsid w:val="00D0373E"/>
    <w:rsid w:val="00D03913"/>
    <w:rsid w:val="00D03D48"/>
    <w:rsid w:val="00D04212"/>
    <w:rsid w:val="00D04803"/>
    <w:rsid w:val="00D0490C"/>
    <w:rsid w:val="00D071E9"/>
    <w:rsid w:val="00D07949"/>
    <w:rsid w:val="00D109D0"/>
    <w:rsid w:val="00D1136C"/>
    <w:rsid w:val="00D1170D"/>
    <w:rsid w:val="00D117FA"/>
    <w:rsid w:val="00D12DB7"/>
    <w:rsid w:val="00D12E6C"/>
    <w:rsid w:val="00D12EAC"/>
    <w:rsid w:val="00D13098"/>
    <w:rsid w:val="00D1347F"/>
    <w:rsid w:val="00D1377C"/>
    <w:rsid w:val="00D13EC1"/>
    <w:rsid w:val="00D14AFD"/>
    <w:rsid w:val="00D14B65"/>
    <w:rsid w:val="00D15774"/>
    <w:rsid w:val="00D15A75"/>
    <w:rsid w:val="00D15FE8"/>
    <w:rsid w:val="00D1608C"/>
    <w:rsid w:val="00D162ED"/>
    <w:rsid w:val="00D1633C"/>
    <w:rsid w:val="00D1635B"/>
    <w:rsid w:val="00D16445"/>
    <w:rsid w:val="00D16E07"/>
    <w:rsid w:val="00D172B3"/>
    <w:rsid w:val="00D17637"/>
    <w:rsid w:val="00D17681"/>
    <w:rsid w:val="00D17740"/>
    <w:rsid w:val="00D17827"/>
    <w:rsid w:val="00D20021"/>
    <w:rsid w:val="00D200D9"/>
    <w:rsid w:val="00D201AB"/>
    <w:rsid w:val="00D21A10"/>
    <w:rsid w:val="00D223AA"/>
    <w:rsid w:val="00D22522"/>
    <w:rsid w:val="00D23049"/>
    <w:rsid w:val="00D2310A"/>
    <w:rsid w:val="00D23B37"/>
    <w:rsid w:val="00D23F60"/>
    <w:rsid w:val="00D2406A"/>
    <w:rsid w:val="00D240A7"/>
    <w:rsid w:val="00D24B38"/>
    <w:rsid w:val="00D24D66"/>
    <w:rsid w:val="00D25202"/>
    <w:rsid w:val="00D2541A"/>
    <w:rsid w:val="00D259F3"/>
    <w:rsid w:val="00D25DE3"/>
    <w:rsid w:val="00D25EB8"/>
    <w:rsid w:val="00D26249"/>
    <w:rsid w:val="00D264AC"/>
    <w:rsid w:val="00D26940"/>
    <w:rsid w:val="00D26DEE"/>
    <w:rsid w:val="00D27652"/>
    <w:rsid w:val="00D2783E"/>
    <w:rsid w:val="00D27B2C"/>
    <w:rsid w:val="00D27C33"/>
    <w:rsid w:val="00D27E59"/>
    <w:rsid w:val="00D27EC7"/>
    <w:rsid w:val="00D300E4"/>
    <w:rsid w:val="00D30159"/>
    <w:rsid w:val="00D30BCB"/>
    <w:rsid w:val="00D30CF3"/>
    <w:rsid w:val="00D310FA"/>
    <w:rsid w:val="00D3114C"/>
    <w:rsid w:val="00D313C6"/>
    <w:rsid w:val="00D31D0A"/>
    <w:rsid w:val="00D32B20"/>
    <w:rsid w:val="00D32BFD"/>
    <w:rsid w:val="00D32ED6"/>
    <w:rsid w:val="00D3317F"/>
    <w:rsid w:val="00D333DC"/>
    <w:rsid w:val="00D33653"/>
    <w:rsid w:val="00D3386F"/>
    <w:rsid w:val="00D339DC"/>
    <w:rsid w:val="00D34408"/>
    <w:rsid w:val="00D344F6"/>
    <w:rsid w:val="00D345E2"/>
    <w:rsid w:val="00D3524D"/>
    <w:rsid w:val="00D35DEC"/>
    <w:rsid w:val="00D364FB"/>
    <w:rsid w:val="00D36BB1"/>
    <w:rsid w:val="00D37890"/>
    <w:rsid w:val="00D37A24"/>
    <w:rsid w:val="00D37AC4"/>
    <w:rsid w:val="00D40364"/>
    <w:rsid w:val="00D407F5"/>
    <w:rsid w:val="00D408B8"/>
    <w:rsid w:val="00D408D8"/>
    <w:rsid w:val="00D40CD7"/>
    <w:rsid w:val="00D4125C"/>
    <w:rsid w:val="00D41663"/>
    <w:rsid w:val="00D41A5B"/>
    <w:rsid w:val="00D41B22"/>
    <w:rsid w:val="00D41C0F"/>
    <w:rsid w:val="00D42236"/>
    <w:rsid w:val="00D423ED"/>
    <w:rsid w:val="00D43068"/>
    <w:rsid w:val="00D43174"/>
    <w:rsid w:val="00D432E8"/>
    <w:rsid w:val="00D43336"/>
    <w:rsid w:val="00D434AF"/>
    <w:rsid w:val="00D43C44"/>
    <w:rsid w:val="00D43D99"/>
    <w:rsid w:val="00D44100"/>
    <w:rsid w:val="00D44210"/>
    <w:rsid w:val="00D44D09"/>
    <w:rsid w:val="00D459FC"/>
    <w:rsid w:val="00D45AFE"/>
    <w:rsid w:val="00D4603B"/>
    <w:rsid w:val="00D46312"/>
    <w:rsid w:val="00D463E8"/>
    <w:rsid w:val="00D46A06"/>
    <w:rsid w:val="00D46C79"/>
    <w:rsid w:val="00D46F44"/>
    <w:rsid w:val="00D4715B"/>
    <w:rsid w:val="00D472B2"/>
    <w:rsid w:val="00D473CA"/>
    <w:rsid w:val="00D47546"/>
    <w:rsid w:val="00D477E8"/>
    <w:rsid w:val="00D479ED"/>
    <w:rsid w:val="00D47D86"/>
    <w:rsid w:val="00D509BC"/>
    <w:rsid w:val="00D50FAF"/>
    <w:rsid w:val="00D517D8"/>
    <w:rsid w:val="00D51963"/>
    <w:rsid w:val="00D51CBF"/>
    <w:rsid w:val="00D51D03"/>
    <w:rsid w:val="00D52185"/>
    <w:rsid w:val="00D52382"/>
    <w:rsid w:val="00D52519"/>
    <w:rsid w:val="00D527EE"/>
    <w:rsid w:val="00D52AA9"/>
    <w:rsid w:val="00D52ECC"/>
    <w:rsid w:val="00D53341"/>
    <w:rsid w:val="00D53782"/>
    <w:rsid w:val="00D539E0"/>
    <w:rsid w:val="00D53B47"/>
    <w:rsid w:val="00D53DDE"/>
    <w:rsid w:val="00D54063"/>
    <w:rsid w:val="00D54C4B"/>
    <w:rsid w:val="00D54D90"/>
    <w:rsid w:val="00D55A67"/>
    <w:rsid w:val="00D55FA5"/>
    <w:rsid w:val="00D561B6"/>
    <w:rsid w:val="00D5662A"/>
    <w:rsid w:val="00D56B72"/>
    <w:rsid w:val="00D56E4C"/>
    <w:rsid w:val="00D5756B"/>
    <w:rsid w:val="00D576DA"/>
    <w:rsid w:val="00D57EFD"/>
    <w:rsid w:val="00D607A5"/>
    <w:rsid w:val="00D61100"/>
    <w:rsid w:val="00D614EE"/>
    <w:rsid w:val="00D618D9"/>
    <w:rsid w:val="00D61AA4"/>
    <w:rsid w:val="00D61ECE"/>
    <w:rsid w:val="00D622EB"/>
    <w:rsid w:val="00D6258C"/>
    <w:rsid w:val="00D62DAE"/>
    <w:rsid w:val="00D638E4"/>
    <w:rsid w:val="00D6445B"/>
    <w:rsid w:val="00D64BEE"/>
    <w:rsid w:val="00D64EE3"/>
    <w:rsid w:val="00D66739"/>
    <w:rsid w:val="00D67D68"/>
    <w:rsid w:val="00D700FE"/>
    <w:rsid w:val="00D70A1D"/>
    <w:rsid w:val="00D70B80"/>
    <w:rsid w:val="00D70D39"/>
    <w:rsid w:val="00D713AE"/>
    <w:rsid w:val="00D7185B"/>
    <w:rsid w:val="00D7195D"/>
    <w:rsid w:val="00D71A95"/>
    <w:rsid w:val="00D71BD0"/>
    <w:rsid w:val="00D72440"/>
    <w:rsid w:val="00D7272A"/>
    <w:rsid w:val="00D7293C"/>
    <w:rsid w:val="00D72E25"/>
    <w:rsid w:val="00D73D07"/>
    <w:rsid w:val="00D73D86"/>
    <w:rsid w:val="00D73EEB"/>
    <w:rsid w:val="00D74238"/>
    <w:rsid w:val="00D75524"/>
    <w:rsid w:val="00D75591"/>
    <w:rsid w:val="00D7576D"/>
    <w:rsid w:val="00D75974"/>
    <w:rsid w:val="00D75E19"/>
    <w:rsid w:val="00D7613F"/>
    <w:rsid w:val="00D76409"/>
    <w:rsid w:val="00D76E41"/>
    <w:rsid w:val="00D77142"/>
    <w:rsid w:val="00D7726F"/>
    <w:rsid w:val="00D7797C"/>
    <w:rsid w:val="00D801A8"/>
    <w:rsid w:val="00D80CE9"/>
    <w:rsid w:val="00D80F0E"/>
    <w:rsid w:val="00D80F30"/>
    <w:rsid w:val="00D810D3"/>
    <w:rsid w:val="00D813F0"/>
    <w:rsid w:val="00D813FE"/>
    <w:rsid w:val="00D81D76"/>
    <w:rsid w:val="00D82CE3"/>
    <w:rsid w:val="00D857E6"/>
    <w:rsid w:val="00D8609D"/>
    <w:rsid w:val="00D86190"/>
    <w:rsid w:val="00D864B6"/>
    <w:rsid w:val="00D8675F"/>
    <w:rsid w:val="00D86844"/>
    <w:rsid w:val="00D87226"/>
    <w:rsid w:val="00D87BF2"/>
    <w:rsid w:val="00D904AC"/>
    <w:rsid w:val="00D9082F"/>
    <w:rsid w:val="00D90D8A"/>
    <w:rsid w:val="00D90E8D"/>
    <w:rsid w:val="00D91249"/>
    <w:rsid w:val="00D91798"/>
    <w:rsid w:val="00D919A1"/>
    <w:rsid w:val="00D91C76"/>
    <w:rsid w:val="00D92721"/>
    <w:rsid w:val="00D9490F"/>
    <w:rsid w:val="00D94AE7"/>
    <w:rsid w:val="00D95914"/>
    <w:rsid w:val="00D959DD"/>
    <w:rsid w:val="00D95CBF"/>
    <w:rsid w:val="00D95E0E"/>
    <w:rsid w:val="00D95E6F"/>
    <w:rsid w:val="00D96712"/>
    <w:rsid w:val="00D9694D"/>
    <w:rsid w:val="00D96B55"/>
    <w:rsid w:val="00D97656"/>
    <w:rsid w:val="00DA00ED"/>
    <w:rsid w:val="00DA0265"/>
    <w:rsid w:val="00DA0505"/>
    <w:rsid w:val="00DA0536"/>
    <w:rsid w:val="00DA16BA"/>
    <w:rsid w:val="00DA18C6"/>
    <w:rsid w:val="00DA18DD"/>
    <w:rsid w:val="00DA1A17"/>
    <w:rsid w:val="00DA1F24"/>
    <w:rsid w:val="00DA2104"/>
    <w:rsid w:val="00DA21E3"/>
    <w:rsid w:val="00DA2254"/>
    <w:rsid w:val="00DA2C10"/>
    <w:rsid w:val="00DA2FE0"/>
    <w:rsid w:val="00DA33E0"/>
    <w:rsid w:val="00DA351E"/>
    <w:rsid w:val="00DA4287"/>
    <w:rsid w:val="00DA45C0"/>
    <w:rsid w:val="00DA4F8A"/>
    <w:rsid w:val="00DA53F0"/>
    <w:rsid w:val="00DA5823"/>
    <w:rsid w:val="00DA5C18"/>
    <w:rsid w:val="00DA616B"/>
    <w:rsid w:val="00DA675E"/>
    <w:rsid w:val="00DA6FA1"/>
    <w:rsid w:val="00DA7392"/>
    <w:rsid w:val="00DA7DE2"/>
    <w:rsid w:val="00DB0092"/>
    <w:rsid w:val="00DB0A52"/>
    <w:rsid w:val="00DB0B98"/>
    <w:rsid w:val="00DB0DAA"/>
    <w:rsid w:val="00DB0E20"/>
    <w:rsid w:val="00DB1AC9"/>
    <w:rsid w:val="00DB1DCA"/>
    <w:rsid w:val="00DB21B4"/>
    <w:rsid w:val="00DB256C"/>
    <w:rsid w:val="00DB2609"/>
    <w:rsid w:val="00DB2798"/>
    <w:rsid w:val="00DB2BDB"/>
    <w:rsid w:val="00DB2F46"/>
    <w:rsid w:val="00DB2FBE"/>
    <w:rsid w:val="00DB30A2"/>
    <w:rsid w:val="00DB336B"/>
    <w:rsid w:val="00DB35D5"/>
    <w:rsid w:val="00DB4562"/>
    <w:rsid w:val="00DB4896"/>
    <w:rsid w:val="00DB4947"/>
    <w:rsid w:val="00DB4E29"/>
    <w:rsid w:val="00DB4EEA"/>
    <w:rsid w:val="00DB5451"/>
    <w:rsid w:val="00DB56D1"/>
    <w:rsid w:val="00DB571C"/>
    <w:rsid w:val="00DB6417"/>
    <w:rsid w:val="00DB6782"/>
    <w:rsid w:val="00DB70FE"/>
    <w:rsid w:val="00DC0076"/>
    <w:rsid w:val="00DC01E0"/>
    <w:rsid w:val="00DC0353"/>
    <w:rsid w:val="00DC077F"/>
    <w:rsid w:val="00DC0D3B"/>
    <w:rsid w:val="00DC10A8"/>
    <w:rsid w:val="00DC16CA"/>
    <w:rsid w:val="00DC1EBD"/>
    <w:rsid w:val="00DC20A3"/>
    <w:rsid w:val="00DC227A"/>
    <w:rsid w:val="00DC25FE"/>
    <w:rsid w:val="00DC3174"/>
    <w:rsid w:val="00DC36C7"/>
    <w:rsid w:val="00DC3B8B"/>
    <w:rsid w:val="00DC4250"/>
    <w:rsid w:val="00DC4289"/>
    <w:rsid w:val="00DC4BF5"/>
    <w:rsid w:val="00DC5196"/>
    <w:rsid w:val="00DC5347"/>
    <w:rsid w:val="00DC551D"/>
    <w:rsid w:val="00DC55BF"/>
    <w:rsid w:val="00DC5A0B"/>
    <w:rsid w:val="00DC63A2"/>
    <w:rsid w:val="00DC641D"/>
    <w:rsid w:val="00DC6C29"/>
    <w:rsid w:val="00DC7350"/>
    <w:rsid w:val="00DC74CC"/>
    <w:rsid w:val="00DC7670"/>
    <w:rsid w:val="00DC7EA9"/>
    <w:rsid w:val="00DC7F12"/>
    <w:rsid w:val="00DC7F30"/>
    <w:rsid w:val="00DD0400"/>
    <w:rsid w:val="00DD0FA7"/>
    <w:rsid w:val="00DD1437"/>
    <w:rsid w:val="00DD1F76"/>
    <w:rsid w:val="00DD224C"/>
    <w:rsid w:val="00DD22F2"/>
    <w:rsid w:val="00DD241C"/>
    <w:rsid w:val="00DD25F7"/>
    <w:rsid w:val="00DD2680"/>
    <w:rsid w:val="00DD2FAA"/>
    <w:rsid w:val="00DD333F"/>
    <w:rsid w:val="00DD3416"/>
    <w:rsid w:val="00DD35C7"/>
    <w:rsid w:val="00DD37DB"/>
    <w:rsid w:val="00DD44C2"/>
    <w:rsid w:val="00DD4D4F"/>
    <w:rsid w:val="00DD4E1B"/>
    <w:rsid w:val="00DD4EBF"/>
    <w:rsid w:val="00DD5658"/>
    <w:rsid w:val="00DD6077"/>
    <w:rsid w:val="00DD6084"/>
    <w:rsid w:val="00DD632D"/>
    <w:rsid w:val="00DD65A9"/>
    <w:rsid w:val="00DD7181"/>
    <w:rsid w:val="00DD7CA6"/>
    <w:rsid w:val="00DE0034"/>
    <w:rsid w:val="00DE0138"/>
    <w:rsid w:val="00DE0190"/>
    <w:rsid w:val="00DE1277"/>
    <w:rsid w:val="00DE128F"/>
    <w:rsid w:val="00DE140A"/>
    <w:rsid w:val="00DE163A"/>
    <w:rsid w:val="00DE1AF3"/>
    <w:rsid w:val="00DE1DC4"/>
    <w:rsid w:val="00DE1F9D"/>
    <w:rsid w:val="00DE2758"/>
    <w:rsid w:val="00DE2829"/>
    <w:rsid w:val="00DE2B3D"/>
    <w:rsid w:val="00DE2B79"/>
    <w:rsid w:val="00DE2BBC"/>
    <w:rsid w:val="00DE4396"/>
    <w:rsid w:val="00DE4A89"/>
    <w:rsid w:val="00DE4AD4"/>
    <w:rsid w:val="00DE4DF1"/>
    <w:rsid w:val="00DE5067"/>
    <w:rsid w:val="00DE5479"/>
    <w:rsid w:val="00DE5BC7"/>
    <w:rsid w:val="00DE5CF1"/>
    <w:rsid w:val="00DE5F9B"/>
    <w:rsid w:val="00DE6305"/>
    <w:rsid w:val="00DE6C6E"/>
    <w:rsid w:val="00DE7190"/>
    <w:rsid w:val="00DE727F"/>
    <w:rsid w:val="00DE7467"/>
    <w:rsid w:val="00DE7500"/>
    <w:rsid w:val="00DE75F9"/>
    <w:rsid w:val="00DE7BC3"/>
    <w:rsid w:val="00DE7D9B"/>
    <w:rsid w:val="00DE7F2C"/>
    <w:rsid w:val="00DF02D2"/>
    <w:rsid w:val="00DF02E2"/>
    <w:rsid w:val="00DF0A46"/>
    <w:rsid w:val="00DF0A69"/>
    <w:rsid w:val="00DF0B61"/>
    <w:rsid w:val="00DF0BE4"/>
    <w:rsid w:val="00DF0EE2"/>
    <w:rsid w:val="00DF1A74"/>
    <w:rsid w:val="00DF1FB0"/>
    <w:rsid w:val="00DF2631"/>
    <w:rsid w:val="00DF331D"/>
    <w:rsid w:val="00DF34B1"/>
    <w:rsid w:val="00DF35F4"/>
    <w:rsid w:val="00DF3751"/>
    <w:rsid w:val="00DF391C"/>
    <w:rsid w:val="00DF3CAC"/>
    <w:rsid w:val="00DF406A"/>
    <w:rsid w:val="00DF410D"/>
    <w:rsid w:val="00DF4BDF"/>
    <w:rsid w:val="00DF5CB8"/>
    <w:rsid w:val="00DF5FE7"/>
    <w:rsid w:val="00DF61F9"/>
    <w:rsid w:val="00DF6339"/>
    <w:rsid w:val="00DF6D44"/>
    <w:rsid w:val="00DF6F71"/>
    <w:rsid w:val="00DF70C5"/>
    <w:rsid w:val="00DF755A"/>
    <w:rsid w:val="00DF760D"/>
    <w:rsid w:val="00E00868"/>
    <w:rsid w:val="00E01037"/>
    <w:rsid w:val="00E01062"/>
    <w:rsid w:val="00E011FD"/>
    <w:rsid w:val="00E01748"/>
    <w:rsid w:val="00E018A7"/>
    <w:rsid w:val="00E02138"/>
    <w:rsid w:val="00E02517"/>
    <w:rsid w:val="00E028C4"/>
    <w:rsid w:val="00E034B2"/>
    <w:rsid w:val="00E037BC"/>
    <w:rsid w:val="00E03960"/>
    <w:rsid w:val="00E03BF7"/>
    <w:rsid w:val="00E03D7D"/>
    <w:rsid w:val="00E04EAC"/>
    <w:rsid w:val="00E04F86"/>
    <w:rsid w:val="00E052C7"/>
    <w:rsid w:val="00E054A9"/>
    <w:rsid w:val="00E058AD"/>
    <w:rsid w:val="00E05B26"/>
    <w:rsid w:val="00E05BCC"/>
    <w:rsid w:val="00E062E2"/>
    <w:rsid w:val="00E065E4"/>
    <w:rsid w:val="00E07483"/>
    <w:rsid w:val="00E07751"/>
    <w:rsid w:val="00E103C1"/>
    <w:rsid w:val="00E10854"/>
    <w:rsid w:val="00E10A21"/>
    <w:rsid w:val="00E10DD4"/>
    <w:rsid w:val="00E11137"/>
    <w:rsid w:val="00E111DF"/>
    <w:rsid w:val="00E11276"/>
    <w:rsid w:val="00E11AE1"/>
    <w:rsid w:val="00E11B73"/>
    <w:rsid w:val="00E11DBF"/>
    <w:rsid w:val="00E11F68"/>
    <w:rsid w:val="00E1204B"/>
    <w:rsid w:val="00E121C1"/>
    <w:rsid w:val="00E1266E"/>
    <w:rsid w:val="00E12B43"/>
    <w:rsid w:val="00E12C71"/>
    <w:rsid w:val="00E12E83"/>
    <w:rsid w:val="00E13031"/>
    <w:rsid w:val="00E13EE2"/>
    <w:rsid w:val="00E14597"/>
    <w:rsid w:val="00E14759"/>
    <w:rsid w:val="00E149EC"/>
    <w:rsid w:val="00E14C2C"/>
    <w:rsid w:val="00E14FD3"/>
    <w:rsid w:val="00E15491"/>
    <w:rsid w:val="00E158B7"/>
    <w:rsid w:val="00E1650F"/>
    <w:rsid w:val="00E1655D"/>
    <w:rsid w:val="00E16B7B"/>
    <w:rsid w:val="00E16F0C"/>
    <w:rsid w:val="00E16F9E"/>
    <w:rsid w:val="00E1710B"/>
    <w:rsid w:val="00E17140"/>
    <w:rsid w:val="00E172AA"/>
    <w:rsid w:val="00E17988"/>
    <w:rsid w:val="00E17994"/>
    <w:rsid w:val="00E200FD"/>
    <w:rsid w:val="00E207A1"/>
    <w:rsid w:val="00E20A6B"/>
    <w:rsid w:val="00E20B97"/>
    <w:rsid w:val="00E20DC6"/>
    <w:rsid w:val="00E213CA"/>
    <w:rsid w:val="00E2185F"/>
    <w:rsid w:val="00E21DF3"/>
    <w:rsid w:val="00E21F21"/>
    <w:rsid w:val="00E2200A"/>
    <w:rsid w:val="00E220E1"/>
    <w:rsid w:val="00E2228C"/>
    <w:rsid w:val="00E222A8"/>
    <w:rsid w:val="00E22473"/>
    <w:rsid w:val="00E2296C"/>
    <w:rsid w:val="00E22E73"/>
    <w:rsid w:val="00E22FD5"/>
    <w:rsid w:val="00E23459"/>
    <w:rsid w:val="00E23605"/>
    <w:rsid w:val="00E24342"/>
    <w:rsid w:val="00E24888"/>
    <w:rsid w:val="00E24A38"/>
    <w:rsid w:val="00E24A72"/>
    <w:rsid w:val="00E2538C"/>
    <w:rsid w:val="00E255F5"/>
    <w:rsid w:val="00E2573F"/>
    <w:rsid w:val="00E26021"/>
    <w:rsid w:val="00E260E4"/>
    <w:rsid w:val="00E261F2"/>
    <w:rsid w:val="00E26710"/>
    <w:rsid w:val="00E26933"/>
    <w:rsid w:val="00E26E2E"/>
    <w:rsid w:val="00E2781A"/>
    <w:rsid w:val="00E302CB"/>
    <w:rsid w:val="00E30435"/>
    <w:rsid w:val="00E30589"/>
    <w:rsid w:val="00E30B0B"/>
    <w:rsid w:val="00E30E7E"/>
    <w:rsid w:val="00E31108"/>
    <w:rsid w:val="00E3124B"/>
    <w:rsid w:val="00E3126C"/>
    <w:rsid w:val="00E31271"/>
    <w:rsid w:val="00E31280"/>
    <w:rsid w:val="00E3159A"/>
    <w:rsid w:val="00E320E8"/>
    <w:rsid w:val="00E3228F"/>
    <w:rsid w:val="00E324C4"/>
    <w:rsid w:val="00E33086"/>
    <w:rsid w:val="00E33353"/>
    <w:rsid w:val="00E33669"/>
    <w:rsid w:val="00E3369C"/>
    <w:rsid w:val="00E33B65"/>
    <w:rsid w:val="00E33C1C"/>
    <w:rsid w:val="00E34E0E"/>
    <w:rsid w:val="00E34EBA"/>
    <w:rsid w:val="00E3508F"/>
    <w:rsid w:val="00E3515F"/>
    <w:rsid w:val="00E358B6"/>
    <w:rsid w:val="00E359BA"/>
    <w:rsid w:val="00E366C5"/>
    <w:rsid w:val="00E367AC"/>
    <w:rsid w:val="00E37D51"/>
    <w:rsid w:val="00E37F05"/>
    <w:rsid w:val="00E40069"/>
    <w:rsid w:val="00E4035D"/>
    <w:rsid w:val="00E40426"/>
    <w:rsid w:val="00E408D3"/>
    <w:rsid w:val="00E415EB"/>
    <w:rsid w:val="00E41781"/>
    <w:rsid w:val="00E41DE8"/>
    <w:rsid w:val="00E41F3A"/>
    <w:rsid w:val="00E41FE4"/>
    <w:rsid w:val="00E4218D"/>
    <w:rsid w:val="00E423E1"/>
    <w:rsid w:val="00E42520"/>
    <w:rsid w:val="00E4272E"/>
    <w:rsid w:val="00E45FB5"/>
    <w:rsid w:val="00E460CB"/>
    <w:rsid w:val="00E46237"/>
    <w:rsid w:val="00E46516"/>
    <w:rsid w:val="00E46FC5"/>
    <w:rsid w:val="00E471A5"/>
    <w:rsid w:val="00E4747C"/>
    <w:rsid w:val="00E47A0E"/>
    <w:rsid w:val="00E47A48"/>
    <w:rsid w:val="00E47F0C"/>
    <w:rsid w:val="00E50159"/>
    <w:rsid w:val="00E50853"/>
    <w:rsid w:val="00E50A48"/>
    <w:rsid w:val="00E50D48"/>
    <w:rsid w:val="00E51468"/>
    <w:rsid w:val="00E51725"/>
    <w:rsid w:val="00E51958"/>
    <w:rsid w:val="00E51A50"/>
    <w:rsid w:val="00E52077"/>
    <w:rsid w:val="00E5244D"/>
    <w:rsid w:val="00E525CE"/>
    <w:rsid w:val="00E52A8E"/>
    <w:rsid w:val="00E5321E"/>
    <w:rsid w:val="00E536DD"/>
    <w:rsid w:val="00E54516"/>
    <w:rsid w:val="00E547BC"/>
    <w:rsid w:val="00E550DB"/>
    <w:rsid w:val="00E55491"/>
    <w:rsid w:val="00E554EC"/>
    <w:rsid w:val="00E558A3"/>
    <w:rsid w:val="00E558F4"/>
    <w:rsid w:val="00E55CB2"/>
    <w:rsid w:val="00E55F2D"/>
    <w:rsid w:val="00E55FD1"/>
    <w:rsid w:val="00E568BD"/>
    <w:rsid w:val="00E57561"/>
    <w:rsid w:val="00E5783B"/>
    <w:rsid w:val="00E57B3F"/>
    <w:rsid w:val="00E57DA1"/>
    <w:rsid w:val="00E61029"/>
    <w:rsid w:val="00E6116E"/>
    <w:rsid w:val="00E61A2D"/>
    <w:rsid w:val="00E61D6F"/>
    <w:rsid w:val="00E6229C"/>
    <w:rsid w:val="00E622D1"/>
    <w:rsid w:val="00E6231E"/>
    <w:rsid w:val="00E63F02"/>
    <w:rsid w:val="00E63FDD"/>
    <w:rsid w:val="00E6480C"/>
    <w:rsid w:val="00E64A2F"/>
    <w:rsid w:val="00E64C7C"/>
    <w:rsid w:val="00E64EFA"/>
    <w:rsid w:val="00E65893"/>
    <w:rsid w:val="00E66279"/>
    <w:rsid w:val="00E66407"/>
    <w:rsid w:val="00E66AA7"/>
    <w:rsid w:val="00E66B0D"/>
    <w:rsid w:val="00E66F66"/>
    <w:rsid w:val="00E67053"/>
    <w:rsid w:val="00E679E5"/>
    <w:rsid w:val="00E67F97"/>
    <w:rsid w:val="00E70071"/>
    <w:rsid w:val="00E701AA"/>
    <w:rsid w:val="00E7056B"/>
    <w:rsid w:val="00E70585"/>
    <w:rsid w:val="00E706EC"/>
    <w:rsid w:val="00E7092E"/>
    <w:rsid w:val="00E71076"/>
    <w:rsid w:val="00E711B1"/>
    <w:rsid w:val="00E71207"/>
    <w:rsid w:val="00E71854"/>
    <w:rsid w:val="00E72138"/>
    <w:rsid w:val="00E722F9"/>
    <w:rsid w:val="00E729A9"/>
    <w:rsid w:val="00E72F74"/>
    <w:rsid w:val="00E73901"/>
    <w:rsid w:val="00E7395E"/>
    <w:rsid w:val="00E73A22"/>
    <w:rsid w:val="00E74B8F"/>
    <w:rsid w:val="00E74C7C"/>
    <w:rsid w:val="00E74D57"/>
    <w:rsid w:val="00E74E31"/>
    <w:rsid w:val="00E74E92"/>
    <w:rsid w:val="00E76056"/>
    <w:rsid w:val="00E7620A"/>
    <w:rsid w:val="00E76E4D"/>
    <w:rsid w:val="00E76E86"/>
    <w:rsid w:val="00E76F20"/>
    <w:rsid w:val="00E76F25"/>
    <w:rsid w:val="00E77DEC"/>
    <w:rsid w:val="00E77E60"/>
    <w:rsid w:val="00E80384"/>
    <w:rsid w:val="00E8054B"/>
    <w:rsid w:val="00E805AA"/>
    <w:rsid w:val="00E806B3"/>
    <w:rsid w:val="00E80804"/>
    <w:rsid w:val="00E80855"/>
    <w:rsid w:val="00E80B48"/>
    <w:rsid w:val="00E81463"/>
    <w:rsid w:val="00E81D36"/>
    <w:rsid w:val="00E81E72"/>
    <w:rsid w:val="00E8274B"/>
    <w:rsid w:val="00E8298B"/>
    <w:rsid w:val="00E83016"/>
    <w:rsid w:val="00E83159"/>
    <w:rsid w:val="00E83BB9"/>
    <w:rsid w:val="00E83C8F"/>
    <w:rsid w:val="00E83DF2"/>
    <w:rsid w:val="00E84A85"/>
    <w:rsid w:val="00E84FB0"/>
    <w:rsid w:val="00E851F6"/>
    <w:rsid w:val="00E8538C"/>
    <w:rsid w:val="00E85486"/>
    <w:rsid w:val="00E8549F"/>
    <w:rsid w:val="00E859AC"/>
    <w:rsid w:val="00E85B9C"/>
    <w:rsid w:val="00E8601D"/>
    <w:rsid w:val="00E864CA"/>
    <w:rsid w:val="00E86BAD"/>
    <w:rsid w:val="00E86CB3"/>
    <w:rsid w:val="00E871DE"/>
    <w:rsid w:val="00E87393"/>
    <w:rsid w:val="00E8783C"/>
    <w:rsid w:val="00E87BFE"/>
    <w:rsid w:val="00E90134"/>
    <w:rsid w:val="00E90464"/>
    <w:rsid w:val="00E905F1"/>
    <w:rsid w:val="00E90784"/>
    <w:rsid w:val="00E907CF"/>
    <w:rsid w:val="00E9098D"/>
    <w:rsid w:val="00E90A61"/>
    <w:rsid w:val="00E90B51"/>
    <w:rsid w:val="00E91124"/>
    <w:rsid w:val="00E9149C"/>
    <w:rsid w:val="00E91570"/>
    <w:rsid w:val="00E91A85"/>
    <w:rsid w:val="00E91D5B"/>
    <w:rsid w:val="00E92363"/>
    <w:rsid w:val="00E925AE"/>
    <w:rsid w:val="00E92E3A"/>
    <w:rsid w:val="00E93225"/>
    <w:rsid w:val="00E934A0"/>
    <w:rsid w:val="00E93941"/>
    <w:rsid w:val="00E939C9"/>
    <w:rsid w:val="00E93AD2"/>
    <w:rsid w:val="00E93CB5"/>
    <w:rsid w:val="00E93CEB"/>
    <w:rsid w:val="00E9437F"/>
    <w:rsid w:val="00E94724"/>
    <w:rsid w:val="00E94A55"/>
    <w:rsid w:val="00E95333"/>
    <w:rsid w:val="00E95379"/>
    <w:rsid w:val="00E95B8A"/>
    <w:rsid w:val="00E95C33"/>
    <w:rsid w:val="00E95ED6"/>
    <w:rsid w:val="00E96227"/>
    <w:rsid w:val="00E968D3"/>
    <w:rsid w:val="00E96B86"/>
    <w:rsid w:val="00E9719F"/>
    <w:rsid w:val="00E97524"/>
    <w:rsid w:val="00E978EA"/>
    <w:rsid w:val="00E97A4D"/>
    <w:rsid w:val="00E97ECE"/>
    <w:rsid w:val="00EA01AC"/>
    <w:rsid w:val="00EA03ED"/>
    <w:rsid w:val="00EA0B6C"/>
    <w:rsid w:val="00EA132F"/>
    <w:rsid w:val="00EA14D1"/>
    <w:rsid w:val="00EA2A8D"/>
    <w:rsid w:val="00EA2CA4"/>
    <w:rsid w:val="00EA2FB5"/>
    <w:rsid w:val="00EA33AD"/>
    <w:rsid w:val="00EA3ACA"/>
    <w:rsid w:val="00EA3B0C"/>
    <w:rsid w:val="00EA4E85"/>
    <w:rsid w:val="00EA4E88"/>
    <w:rsid w:val="00EA5283"/>
    <w:rsid w:val="00EA5D10"/>
    <w:rsid w:val="00EA5E14"/>
    <w:rsid w:val="00EA5EDE"/>
    <w:rsid w:val="00EA66F5"/>
    <w:rsid w:val="00EA7472"/>
    <w:rsid w:val="00EA7629"/>
    <w:rsid w:val="00EA79A0"/>
    <w:rsid w:val="00EA7F05"/>
    <w:rsid w:val="00EB0F5C"/>
    <w:rsid w:val="00EB1429"/>
    <w:rsid w:val="00EB1997"/>
    <w:rsid w:val="00EB1A1A"/>
    <w:rsid w:val="00EB1D4C"/>
    <w:rsid w:val="00EB20BF"/>
    <w:rsid w:val="00EB21C2"/>
    <w:rsid w:val="00EB244C"/>
    <w:rsid w:val="00EB2733"/>
    <w:rsid w:val="00EB2D96"/>
    <w:rsid w:val="00EB3287"/>
    <w:rsid w:val="00EB3448"/>
    <w:rsid w:val="00EB3A9D"/>
    <w:rsid w:val="00EB4552"/>
    <w:rsid w:val="00EB478B"/>
    <w:rsid w:val="00EB4A27"/>
    <w:rsid w:val="00EB4DE4"/>
    <w:rsid w:val="00EB5B0D"/>
    <w:rsid w:val="00EB5EC6"/>
    <w:rsid w:val="00EB61F8"/>
    <w:rsid w:val="00EB6591"/>
    <w:rsid w:val="00EB6B57"/>
    <w:rsid w:val="00EB6DC9"/>
    <w:rsid w:val="00EB757D"/>
    <w:rsid w:val="00EB7967"/>
    <w:rsid w:val="00EB7EB0"/>
    <w:rsid w:val="00EB7F84"/>
    <w:rsid w:val="00EC04AB"/>
    <w:rsid w:val="00EC0945"/>
    <w:rsid w:val="00EC0C07"/>
    <w:rsid w:val="00EC100E"/>
    <w:rsid w:val="00EC16C2"/>
    <w:rsid w:val="00EC2621"/>
    <w:rsid w:val="00EC2E1F"/>
    <w:rsid w:val="00EC384F"/>
    <w:rsid w:val="00EC3C4D"/>
    <w:rsid w:val="00EC3D83"/>
    <w:rsid w:val="00EC5200"/>
    <w:rsid w:val="00EC53B0"/>
    <w:rsid w:val="00EC591F"/>
    <w:rsid w:val="00EC5BDC"/>
    <w:rsid w:val="00EC5D40"/>
    <w:rsid w:val="00EC607F"/>
    <w:rsid w:val="00EC60A8"/>
    <w:rsid w:val="00EC6658"/>
    <w:rsid w:val="00EC6F2E"/>
    <w:rsid w:val="00EC701D"/>
    <w:rsid w:val="00EC7117"/>
    <w:rsid w:val="00EC75C1"/>
    <w:rsid w:val="00EC7685"/>
    <w:rsid w:val="00EC7EBF"/>
    <w:rsid w:val="00ED024C"/>
    <w:rsid w:val="00ED07DC"/>
    <w:rsid w:val="00ED08E7"/>
    <w:rsid w:val="00ED0E8B"/>
    <w:rsid w:val="00ED13CD"/>
    <w:rsid w:val="00ED14EC"/>
    <w:rsid w:val="00ED2010"/>
    <w:rsid w:val="00ED2166"/>
    <w:rsid w:val="00ED2195"/>
    <w:rsid w:val="00ED2AA8"/>
    <w:rsid w:val="00ED3119"/>
    <w:rsid w:val="00ED3173"/>
    <w:rsid w:val="00ED33B7"/>
    <w:rsid w:val="00ED3572"/>
    <w:rsid w:val="00ED3B9E"/>
    <w:rsid w:val="00ED3E0B"/>
    <w:rsid w:val="00ED4971"/>
    <w:rsid w:val="00ED4D51"/>
    <w:rsid w:val="00ED4FDA"/>
    <w:rsid w:val="00ED5150"/>
    <w:rsid w:val="00ED5260"/>
    <w:rsid w:val="00ED5722"/>
    <w:rsid w:val="00ED574B"/>
    <w:rsid w:val="00ED61D0"/>
    <w:rsid w:val="00ED6310"/>
    <w:rsid w:val="00ED6D84"/>
    <w:rsid w:val="00ED6F06"/>
    <w:rsid w:val="00ED71B0"/>
    <w:rsid w:val="00ED74B3"/>
    <w:rsid w:val="00ED787F"/>
    <w:rsid w:val="00ED7915"/>
    <w:rsid w:val="00ED7B68"/>
    <w:rsid w:val="00EE0065"/>
    <w:rsid w:val="00EE03DA"/>
    <w:rsid w:val="00EE0511"/>
    <w:rsid w:val="00EE0D0F"/>
    <w:rsid w:val="00EE0E07"/>
    <w:rsid w:val="00EE0ECC"/>
    <w:rsid w:val="00EE1801"/>
    <w:rsid w:val="00EE1BF1"/>
    <w:rsid w:val="00EE29BA"/>
    <w:rsid w:val="00EE2E1A"/>
    <w:rsid w:val="00EE2FF6"/>
    <w:rsid w:val="00EE3076"/>
    <w:rsid w:val="00EE3087"/>
    <w:rsid w:val="00EE37BF"/>
    <w:rsid w:val="00EE3A08"/>
    <w:rsid w:val="00EE3BDA"/>
    <w:rsid w:val="00EE4014"/>
    <w:rsid w:val="00EE40C4"/>
    <w:rsid w:val="00EE4274"/>
    <w:rsid w:val="00EE4500"/>
    <w:rsid w:val="00EE48BB"/>
    <w:rsid w:val="00EE4AF3"/>
    <w:rsid w:val="00EE4E9C"/>
    <w:rsid w:val="00EE511A"/>
    <w:rsid w:val="00EE5995"/>
    <w:rsid w:val="00EE5A94"/>
    <w:rsid w:val="00EE5F93"/>
    <w:rsid w:val="00EE6297"/>
    <w:rsid w:val="00EE67E4"/>
    <w:rsid w:val="00EE6A97"/>
    <w:rsid w:val="00EE6F4E"/>
    <w:rsid w:val="00EE72C5"/>
    <w:rsid w:val="00EE769E"/>
    <w:rsid w:val="00EE7925"/>
    <w:rsid w:val="00EE79F5"/>
    <w:rsid w:val="00EE7AAA"/>
    <w:rsid w:val="00EE7B00"/>
    <w:rsid w:val="00EF0156"/>
    <w:rsid w:val="00EF0EE2"/>
    <w:rsid w:val="00EF1165"/>
    <w:rsid w:val="00EF16A4"/>
    <w:rsid w:val="00EF1785"/>
    <w:rsid w:val="00EF196B"/>
    <w:rsid w:val="00EF1A80"/>
    <w:rsid w:val="00EF1F0C"/>
    <w:rsid w:val="00EF25F7"/>
    <w:rsid w:val="00EF263E"/>
    <w:rsid w:val="00EF2BA3"/>
    <w:rsid w:val="00EF310B"/>
    <w:rsid w:val="00EF3E57"/>
    <w:rsid w:val="00EF450B"/>
    <w:rsid w:val="00EF47BD"/>
    <w:rsid w:val="00EF51BD"/>
    <w:rsid w:val="00EF5201"/>
    <w:rsid w:val="00EF55FC"/>
    <w:rsid w:val="00EF5786"/>
    <w:rsid w:val="00EF5D11"/>
    <w:rsid w:val="00EF63A6"/>
    <w:rsid w:val="00EF70B8"/>
    <w:rsid w:val="00EF77E3"/>
    <w:rsid w:val="00F007E8"/>
    <w:rsid w:val="00F0084C"/>
    <w:rsid w:val="00F018D0"/>
    <w:rsid w:val="00F01C60"/>
    <w:rsid w:val="00F01EAB"/>
    <w:rsid w:val="00F01F28"/>
    <w:rsid w:val="00F020BE"/>
    <w:rsid w:val="00F02827"/>
    <w:rsid w:val="00F0287A"/>
    <w:rsid w:val="00F03415"/>
    <w:rsid w:val="00F03DA9"/>
    <w:rsid w:val="00F04894"/>
    <w:rsid w:val="00F04D07"/>
    <w:rsid w:val="00F04EAA"/>
    <w:rsid w:val="00F05155"/>
    <w:rsid w:val="00F06300"/>
    <w:rsid w:val="00F065AD"/>
    <w:rsid w:val="00F06759"/>
    <w:rsid w:val="00F06CA3"/>
    <w:rsid w:val="00F072AD"/>
    <w:rsid w:val="00F07723"/>
    <w:rsid w:val="00F0794A"/>
    <w:rsid w:val="00F07990"/>
    <w:rsid w:val="00F07CE8"/>
    <w:rsid w:val="00F103D0"/>
    <w:rsid w:val="00F10662"/>
    <w:rsid w:val="00F10C3B"/>
    <w:rsid w:val="00F10D62"/>
    <w:rsid w:val="00F11080"/>
    <w:rsid w:val="00F11254"/>
    <w:rsid w:val="00F1130A"/>
    <w:rsid w:val="00F11471"/>
    <w:rsid w:val="00F11780"/>
    <w:rsid w:val="00F11A5B"/>
    <w:rsid w:val="00F11EF5"/>
    <w:rsid w:val="00F12CA2"/>
    <w:rsid w:val="00F12D33"/>
    <w:rsid w:val="00F13282"/>
    <w:rsid w:val="00F13C8E"/>
    <w:rsid w:val="00F14478"/>
    <w:rsid w:val="00F1486E"/>
    <w:rsid w:val="00F151AE"/>
    <w:rsid w:val="00F15671"/>
    <w:rsid w:val="00F15757"/>
    <w:rsid w:val="00F15AA0"/>
    <w:rsid w:val="00F16727"/>
    <w:rsid w:val="00F16807"/>
    <w:rsid w:val="00F16A5D"/>
    <w:rsid w:val="00F178B9"/>
    <w:rsid w:val="00F201FA"/>
    <w:rsid w:val="00F202DC"/>
    <w:rsid w:val="00F2087A"/>
    <w:rsid w:val="00F209CB"/>
    <w:rsid w:val="00F20A1A"/>
    <w:rsid w:val="00F214F7"/>
    <w:rsid w:val="00F215EE"/>
    <w:rsid w:val="00F2181E"/>
    <w:rsid w:val="00F229BB"/>
    <w:rsid w:val="00F22A6C"/>
    <w:rsid w:val="00F22CE1"/>
    <w:rsid w:val="00F2357D"/>
    <w:rsid w:val="00F23C93"/>
    <w:rsid w:val="00F23D1E"/>
    <w:rsid w:val="00F23E86"/>
    <w:rsid w:val="00F24CFC"/>
    <w:rsid w:val="00F25264"/>
    <w:rsid w:val="00F254DB"/>
    <w:rsid w:val="00F2552C"/>
    <w:rsid w:val="00F25C1F"/>
    <w:rsid w:val="00F25E77"/>
    <w:rsid w:val="00F2651C"/>
    <w:rsid w:val="00F26B0B"/>
    <w:rsid w:val="00F2728B"/>
    <w:rsid w:val="00F27588"/>
    <w:rsid w:val="00F275D1"/>
    <w:rsid w:val="00F27633"/>
    <w:rsid w:val="00F277C1"/>
    <w:rsid w:val="00F2793A"/>
    <w:rsid w:val="00F304D9"/>
    <w:rsid w:val="00F30F3B"/>
    <w:rsid w:val="00F32745"/>
    <w:rsid w:val="00F32A98"/>
    <w:rsid w:val="00F32DBF"/>
    <w:rsid w:val="00F33339"/>
    <w:rsid w:val="00F33E01"/>
    <w:rsid w:val="00F34443"/>
    <w:rsid w:val="00F35205"/>
    <w:rsid w:val="00F35367"/>
    <w:rsid w:val="00F356E0"/>
    <w:rsid w:val="00F35F51"/>
    <w:rsid w:val="00F36DC5"/>
    <w:rsid w:val="00F3724D"/>
    <w:rsid w:val="00F378D5"/>
    <w:rsid w:val="00F37AB5"/>
    <w:rsid w:val="00F37C8A"/>
    <w:rsid w:val="00F40C31"/>
    <w:rsid w:val="00F410C3"/>
    <w:rsid w:val="00F41253"/>
    <w:rsid w:val="00F414D9"/>
    <w:rsid w:val="00F41717"/>
    <w:rsid w:val="00F41EFE"/>
    <w:rsid w:val="00F429D5"/>
    <w:rsid w:val="00F42DE9"/>
    <w:rsid w:val="00F43025"/>
    <w:rsid w:val="00F4314D"/>
    <w:rsid w:val="00F43DCC"/>
    <w:rsid w:val="00F44A29"/>
    <w:rsid w:val="00F44B66"/>
    <w:rsid w:val="00F46082"/>
    <w:rsid w:val="00F46804"/>
    <w:rsid w:val="00F46BCA"/>
    <w:rsid w:val="00F47A8F"/>
    <w:rsid w:val="00F47DBF"/>
    <w:rsid w:val="00F47F84"/>
    <w:rsid w:val="00F5000F"/>
    <w:rsid w:val="00F50C79"/>
    <w:rsid w:val="00F50CC6"/>
    <w:rsid w:val="00F5149E"/>
    <w:rsid w:val="00F51549"/>
    <w:rsid w:val="00F516CE"/>
    <w:rsid w:val="00F519D5"/>
    <w:rsid w:val="00F51A40"/>
    <w:rsid w:val="00F51DCE"/>
    <w:rsid w:val="00F52537"/>
    <w:rsid w:val="00F528BF"/>
    <w:rsid w:val="00F52B64"/>
    <w:rsid w:val="00F52CD5"/>
    <w:rsid w:val="00F52D0B"/>
    <w:rsid w:val="00F5317C"/>
    <w:rsid w:val="00F53CC1"/>
    <w:rsid w:val="00F54243"/>
    <w:rsid w:val="00F54705"/>
    <w:rsid w:val="00F5498E"/>
    <w:rsid w:val="00F54C75"/>
    <w:rsid w:val="00F54F66"/>
    <w:rsid w:val="00F54F7F"/>
    <w:rsid w:val="00F55120"/>
    <w:rsid w:val="00F5530E"/>
    <w:rsid w:val="00F55831"/>
    <w:rsid w:val="00F55C05"/>
    <w:rsid w:val="00F560B0"/>
    <w:rsid w:val="00F56348"/>
    <w:rsid w:val="00F566B6"/>
    <w:rsid w:val="00F56A98"/>
    <w:rsid w:val="00F56BE4"/>
    <w:rsid w:val="00F57977"/>
    <w:rsid w:val="00F57997"/>
    <w:rsid w:val="00F603EA"/>
    <w:rsid w:val="00F6080F"/>
    <w:rsid w:val="00F60971"/>
    <w:rsid w:val="00F6167B"/>
    <w:rsid w:val="00F6229C"/>
    <w:rsid w:val="00F625EF"/>
    <w:rsid w:val="00F62C75"/>
    <w:rsid w:val="00F62C7E"/>
    <w:rsid w:val="00F62FDB"/>
    <w:rsid w:val="00F63493"/>
    <w:rsid w:val="00F634E1"/>
    <w:rsid w:val="00F63853"/>
    <w:rsid w:val="00F63DCF"/>
    <w:rsid w:val="00F6417B"/>
    <w:rsid w:val="00F64981"/>
    <w:rsid w:val="00F64EA6"/>
    <w:rsid w:val="00F65455"/>
    <w:rsid w:val="00F655CF"/>
    <w:rsid w:val="00F65694"/>
    <w:rsid w:val="00F65AB2"/>
    <w:rsid w:val="00F65DDB"/>
    <w:rsid w:val="00F66839"/>
    <w:rsid w:val="00F672F5"/>
    <w:rsid w:val="00F6780D"/>
    <w:rsid w:val="00F67984"/>
    <w:rsid w:val="00F67B59"/>
    <w:rsid w:val="00F70B84"/>
    <w:rsid w:val="00F711E6"/>
    <w:rsid w:val="00F71695"/>
    <w:rsid w:val="00F718DC"/>
    <w:rsid w:val="00F71A3C"/>
    <w:rsid w:val="00F71E44"/>
    <w:rsid w:val="00F720D0"/>
    <w:rsid w:val="00F72267"/>
    <w:rsid w:val="00F7273B"/>
    <w:rsid w:val="00F7295B"/>
    <w:rsid w:val="00F72D23"/>
    <w:rsid w:val="00F73051"/>
    <w:rsid w:val="00F739CC"/>
    <w:rsid w:val="00F73A26"/>
    <w:rsid w:val="00F73C68"/>
    <w:rsid w:val="00F74091"/>
    <w:rsid w:val="00F7414C"/>
    <w:rsid w:val="00F742C0"/>
    <w:rsid w:val="00F7447B"/>
    <w:rsid w:val="00F74694"/>
    <w:rsid w:val="00F74882"/>
    <w:rsid w:val="00F7492F"/>
    <w:rsid w:val="00F75B72"/>
    <w:rsid w:val="00F75C2E"/>
    <w:rsid w:val="00F75D09"/>
    <w:rsid w:val="00F75F54"/>
    <w:rsid w:val="00F76D7D"/>
    <w:rsid w:val="00F7713E"/>
    <w:rsid w:val="00F77E4A"/>
    <w:rsid w:val="00F80AE6"/>
    <w:rsid w:val="00F80DFE"/>
    <w:rsid w:val="00F816A2"/>
    <w:rsid w:val="00F816E6"/>
    <w:rsid w:val="00F81BBA"/>
    <w:rsid w:val="00F8234D"/>
    <w:rsid w:val="00F82554"/>
    <w:rsid w:val="00F828C7"/>
    <w:rsid w:val="00F82C12"/>
    <w:rsid w:val="00F82DAB"/>
    <w:rsid w:val="00F83318"/>
    <w:rsid w:val="00F8336D"/>
    <w:rsid w:val="00F83824"/>
    <w:rsid w:val="00F83CCA"/>
    <w:rsid w:val="00F83E12"/>
    <w:rsid w:val="00F842FD"/>
    <w:rsid w:val="00F8471E"/>
    <w:rsid w:val="00F84B3D"/>
    <w:rsid w:val="00F84F6D"/>
    <w:rsid w:val="00F85667"/>
    <w:rsid w:val="00F85E6F"/>
    <w:rsid w:val="00F85F35"/>
    <w:rsid w:val="00F87897"/>
    <w:rsid w:val="00F902C9"/>
    <w:rsid w:val="00F90AF1"/>
    <w:rsid w:val="00F91811"/>
    <w:rsid w:val="00F91BFF"/>
    <w:rsid w:val="00F91CAF"/>
    <w:rsid w:val="00F9259C"/>
    <w:rsid w:val="00F925F4"/>
    <w:rsid w:val="00F927DC"/>
    <w:rsid w:val="00F92943"/>
    <w:rsid w:val="00F9310A"/>
    <w:rsid w:val="00F937CD"/>
    <w:rsid w:val="00F939BA"/>
    <w:rsid w:val="00F93B56"/>
    <w:rsid w:val="00F93BCE"/>
    <w:rsid w:val="00F9433E"/>
    <w:rsid w:val="00F9485C"/>
    <w:rsid w:val="00F94B8B"/>
    <w:rsid w:val="00F950CB"/>
    <w:rsid w:val="00F95205"/>
    <w:rsid w:val="00F957D4"/>
    <w:rsid w:val="00F95978"/>
    <w:rsid w:val="00F95AB5"/>
    <w:rsid w:val="00F95EC9"/>
    <w:rsid w:val="00F96259"/>
    <w:rsid w:val="00F96574"/>
    <w:rsid w:val="00F96662"/>
    <w:rsid w:val="00F967D0"/>
    <w:rsid w:val="00F968E7"/>
    <w:rsid w:val="00F96985"/>
    <w:rsid w:val="00F96C19"/>
    <w:rsid w:val="00F970F2"/>
    <w:rsid w:val="00F97594"/>
    <w:rsid w:val="00F97648"/>
    <w:rsid w:val="00F97747"/>
    <w:rsid w:val="00FA0A38"/>
    <w:rsid w:val="00FA0B93"/>
    <w:rsid w:val="00FA0C3C"/>
    <w:rsid w:val="00FA112F"/>
    <w:rsid w:val="00FA1312"/>
    <w:rsid w:val="00FA136D"/>
    <w:rsid w:val="00FA1545"/>
    <w:rsid w:val="00FA17EE"/>
    <w:rsid w:val="00FA18DC"/>
    <w:rsid w:val="00FA1B83"/>
    <w:rsid w:val="00FA2088"/>
    <w:rsid w:val="00FA284F"/>
    <w:rsid w:val="00FA2BB8"/>
    <w:rsid w:val="00FA2D7A"/>
    <w:rsid w:val="00FA2E40"/>
    <w:rsid w:val="00FA2F37"/>
    <w:rsid w:val="00FA31B9"/>
    <w:rsid w:val="00FA3410"/>
    <w:rsid w:val="00FA34E4"/>
    <w:rsid w:val="00FA3F60"/>
    <w:rsid w:val="00FA4159"/>
    <w:rsid w:val="00FA41CC"/>
    <w:rsid w:val="00FA434F"/>
    <w:rsid w:val="00FA48B8"/>
    <w:rsid w:val="00FA4F7A"/>
    <w:rsid w:val="00FA4FE3"/>
    <w:rsid w:val="00FA50C7"/>
    <w:rsid w:val="00FA52B1"/>
    <w:rsid w:val="00FA5C13"/>
    <w:rsid w:val="00FA5E05"/>
    <w:rsid w:val="00FA6387"/>
    <w:rsid w:val="00FA6B7F"/>
    <w:rsid w:val="00FA6D9D"/>
    <w:rsid w:val="00FA6E47"/>
    <w:rsid w:val="00FA7DEB"/>
    <w:rsid w:val="00FA7F40"/>
    <w:rsid w:val="00FB022C"/>
    <w:rsid w:val="00FB09C8"/>
    <w:rsid w:val="00FB0CD3"/>
    <w:rsid w:val="00FB11EA"/>
    <w:rsid w:val="00FB1327"/>
    <w:rsid w:val="00FB148C"/>
    <w:rsid w:val="00FB1491"/>
    <w:rsid w:val="00FB225A"/>
    <w:rsid w:val="00FB22FD"/>
    <w:rsid w:val="00FB28E1"/>
    <w:rsid w:val="00FB29CF"/>
    <w:rsid w:val="00FB2B03"/>
    <w:rsid w:val="00FB2E34"/>
    <w:rsid w:val="00FB3443"/>
    <w:rsid w:val="00FB3591"/>
    <w:rsid w:val="00FB3860"/>
    <w:rsid w:val="00FB3D6D"/>
    <w:rsid w:val="00FB40F7"/>
    <w:rsid w:val="00FB429F"/>
    <w:rsid w:val="00FB4451"/>
    <w:rsid w:val="00FB5B82"/>
    <w:rsid w:val="00FB6191"/>
    <w:rsid w:val="00FB61F3"/>
    <w:rsid w:val="00FB6A8A"/>
    <w:rsid w:val="00FB6EFB"/>
    <w:rsid w:val="00FB7603"/>
    <w:rsid w:val="00FB7CE3"/>
    <w:rsid w:val="00FB7F8E"/>
    <w:rsid w:val="00FC002A"/>
    <w:rsid w:val="00FC0257"/>
    <w:rsid w:val="00FC05C4"/>
    <w:rsid w:val="00FC08D8"/>
    <w:rsid w:val="00FC104C"/>
    <w:rsid w:val="00FC1308"/>
    <w:rsid w:val="00FC130C"/>
    <w:rsid w:val="00FC1FB8"/>
    <w:rsid w:val="00FC201C"/>
    <w:rsid w:val="00FC21E7"/>
    <w:rsid w:val="00FC2A95"/>
    <w:rsid w:val="00FC2B97"/>
    <w:rsid w:val="00FC2D8B"/>
    <w:rsid w:val="00FC317D"/>
    <w:rsid w:val="00FC3A12"/>
    <w:rsid w:val="00FC3AE2"/>
    <w:rsid w:val="00FC3EC2"/>
    <w:rsid w:val="00FC4498"/>
    <w:rsid w:val="00FC4697"/>
    <w:rsid w:val="00FC4B63"/>
    <w:rsid w:val="00FC4D3A"/>
    <w:rsid w:val="00FC4DDA"/>
    <w:rsid w:val="00FC53B4"/>
    <w:rsid w:val="00FC581E"/>
    <w:rsid w:val="00FC5A4E"/>
    <w:rsid w:val="00FC5AD6"/>
    <w:rsid w:val="00FC61FF"/>
    <w:rsid w:val="00FC6972"/>
    <w:rsid w:val="00FC6DA2"/>
    <w:rsid w:val="00FC7015"/>
    <w:rsid w:val="00FC73A1"/>
    <w:rsid w:val="00FC742B"/>
    <w:rsid w:val="00FC7666"/>
    <w:rsid w:val="00FC77FD"/>
    <w:rsid w:val="00FD005F"/>
    <w:rsid w:val="00FD0225"/>
    <w:rsid w:val="00FD025A"/>
    <w:rsid w:val="00FD0ADB"/>
    <w:rsid w:val="00FD1149"/>
    <w:rsid w:val="00FD1188"/>
    <w:rsid w:val="00FD1C0C"/>
    <w:rsid w:val="00FD285C"/>
    <w:rsid w:val="00FD2A2A"/>
    <w:rsid w:val="00FD3DED"/>
    <w:rsid w:val="00FD40AB"/>
    <w:rsid w:val="00FD4B8E"/>
    <w:rsid w:val="00FD5143"/>
    <w:rsid w:val="00FD54D2"/>
    <w:rsid w:val="00FD60AB"/>
    <w:rsid w:val="00FD6476"/>
    <w:rsid w:val="00FD6593"/>
    <w:rsid w:val="00FD6B11"/>
    <w:rsid w:val="00FD7601"/>
    <w:rsid w:val="00FD7DE1"/>
    <w:rsid w:val="00FE0176"/>
    <w:rsid w:val="00FE0421"/>
    <w:rsid w:val="00FE0785"/>
    <w:rsid w:val="00FE07FE"/>
    <w:rsid w:val="00FE0F38"/>
    <w:rsid w:val="00FE0FA9"/>
    <w:rsid w:val="00FE14ED"/>
    <w:rsid w:val="00FE19A8"/>
    <w:rsid w:val="00FE2082"/>
    <w:rsid w:val="00FE22BE"/>
    <w:rsid w:val="00FE2551"/>
    <w:rsid w:val="00FE2A13"/>
    <w:rsid w:val="00FE2BD1"/>
    <w:rsid w:val="00FE2D77"/>
    <w:rsid w:val="00FE3262"/>
    <w:rsid w:val="00FE364B"/>
    <w:rsid w:val="00FE4150"/>
    <w:rsid w:val="00FE4967"/>
    <w:rsid w:val="00FE4A60"/>
    <w:rsid w:val="00FE4BB4"/>
    <w:rsid w:val="00FE4F05"/>
    <w:rsid w:val="00FE52DA"/>
    <w:rsid w:val="00FE5514"/>
    <w:rsid w:val="00FE55F4"/>
    <w:rsid w:val="00FE5BCE"/>
    <w:rsid w:val="00FE64F9"/>
    <w:rsid w:val="00FE6697"/>
    <w:rsid w:val="00FE6998"/>
    <w:rsid w:val="00FE6A34"/>
    <w:rsid w:val="00FE7250"/>
    <w:rsid w:val="00FE75A5"/>
    <w:rsid w:val="00FE75E1"/>
    <w:rsid w:val="00FE7D42"/>
    <w:rsid w:val="00FF0753"/>
    <w:rsid w:val="00FF0D5E"/>
    <w:rsid w:val="00FF126C"/>
    <w:rsid w:val="00FF18C2"/>
    <w:rsid w:val="00FF22C7"/>
    <w:rsid w:val="00FF258D"/>
    <w:rsid w:val="00FF25FA"/>
    <w:rsid w:val="00FF2AAB"/>
    <w:rsid w:val="00FF2E78"/>
    <w:rsid w:val="00FF3257"/>
    <w:rsid w:val="00FF326F"/>
    <w:rsid w:val="00FF39A3"/>
    <w:rsid w:val="00FF41F3"/>
    <w:rsid w:val="00FF4698"/>
    <w:rsid w:val="00FF49B9"/>
    <w:rsid w:val="00FF4A7B"/>
    <w:rsid w:val="00FF4B4D"/>
    <w:rsid w:val="00FF4E5E"/>
    <w:rsid w:val="00FF50D2"/>
    <w:rsid w:val="00FF5554"/>
    <w:rsid w:val="00FF58AB"/>
    <w:rsid w:val="00FF58B7"/>
    <w:rsid w:val="00FF59D3"/>
    <w:rsid w:val="00FF5AFF"/>
    <w:rsid w:val="00FF7726"/>
    <w:rsid w:val="00FF7CF8"/>
    <w:rsid w:val="00FF7E01"/>
    <w:rsid w:val="01E0704D"/>
    <w:rsid w:val="01F41661"/>
    <w:rsid w:val="0207196F"/>
    <w:rsid w:val="021BB781"/>
    <w:rsid w:val="0233B5C2"/>
    <w:rsid w:val="04322BC4"/>
    <w:rsid w:val="04A9A8DB"/>
    <w:rsid w:val="05393DBE"/>
    <w:rsid w:val="0598C7FA"/>
    <w:rsid w:val="0692E6FF"/>
    <w:rsid w:val="0745D230"/>
    <w:rsid w:val="079F6657"/>
    <w:rsid w:val="08387D1C"/>
    <w:rsid w:val="085C631A"/>
    <w:rsid w:val="09159211"/>
    <w:rsid w:val="09FA4ABD"/>
    <w:rsid w:val="0B2CDF19"/>
    <w:rsid w:val="0B9C1DC8"/>
    <w:rsid w:val="0BF3C8C3"/>
    <w:rsid w:val="0CC0C502"/>
    <w:rsid w:val="0D63E7A3"/>
    <w:rsid w:val="0DB6DCE1"/>
    <w:rsid w:val="0E09E9DC"/>
    <w:rsid w:val="10EE8E49"/>
    <w:rsid w:val="11EFE778"/>
    <w:rsid w:val="120A0AB4"/>
    <w:rsid w:val="124CC765"/>
    <w:rsid w:val="1292DC9A"/>
    <w:rsid w:val="13A59387"/>
    <w:rsid w:val="14A6B67A"/>
    <w:rsid w:val="155D631E"/>
    <w:rsid w:val="1583182A"/>
    <w:rsid w:val="18650148"/>
    <w:rsid w:val="18666C59"/>
    <w:rsid w:val="19745D42"/>
    <w:rsid w:val="19B74C2D"/>
    <w:rsid w:val="1A538B15"/>
    <w:rsid w:val="1B288E0E"/>
    <w:rsid w:val="1C7237A9"/>
    <w:rsid w:val="1D48AB86"/>
    <w:rsid w:val="2006E609"/>
    <w:rsid w:val="21041BB6"/>
    <w:rsid w:val="211BCDF0"/>
    <w:rsid w:val="2190FD98"/>
    <w:rsid w:val="231839D9"/>
    <w:rsid w:val="2380144B"/>
    <w:rsid w:val="23A2CEE0"/>
    <w:rsid w:val="2599C2CF"/>
    <w:rsid w:val="25DFAD12"/>
    <w:rsid w:val="26CDC856"/>
    <w:rsid w:val="274829FB"/>
    <w:rsid w:val="29508C8A"/>
    <w:rsid w:val="2A6EDF1F"/>
    <w:rsid w:val="2A901D0D"/>
    <w:rsid w:val="2BE4F515"/>
    <w:rsid w:val="2DB87A3A"/>
    <w:rsid w:val="2EBE4433"/>
    <w:rsid w:val="2EC8B915"/>
    <w:rsid w:val="2F78DE4D"/>
    <w:rsid w:val="300C4E38"/>
    <w:rsid w:val="31F7304B"/>
    <w:rsid w:val="31F7D866"/>
    <w:rsid w:val="33535158"/>
    <w:rsid w:val="33C5F3ED"/>
    <w:rsid w:val="33FEAB10"/>
    <w:rsid w:val="3401BAFC"/>
    <w:rsid w:val="36F1B1E3"/>
    <w:rsid w:val="38114AEE"/>
    <w:rsid w:val="3859D6A4"/>
    <w:rsid w:val="3876607F"/>
    <w:rsid w:val="389D4B5B"/>
    <w:rsid w:val="38EB86A0"/>
    <w:rsid w:val="3A6C1D2E"/>
    <w:rsid w:val="3B56D42C"/>
    <w:rsid w:val="3D9BC417"/>
    <w:rsid w:val="3F312661"/>
    <w:rsid w:val="40A70851"/>
    <w:rsid w:val="41180A35"/>
    <w:rsid w:val="4192E54F"/>
    <w:rsid w:val="41B1CA1D"/>
    <w:rsid w:val="42BEC168"/>
    <w:rsid w:val="4300E8BA"/>
    <w:rsid w:val="45680A33"/>
    <w:rsid w:val="47D0C3EB"/>
    <w:rsid w:val="4A332102"/>
    <w:rsid w:val="4A7501F8"/>
    <w:rsid w:val="4FB72807"/>
    <w:rsid w:val="5106EFE8"/>
    <w:rsid w:val="52CDFD5D"/>
    <w:rsid w:val="5318452C"/>
    <w:rsid w:val="54456FAF"/>
    <w:rsid w:val="54D30860"/>
    <w:rsid w:val="5500F137"/>
    <w:rsid w:val="55CCDFF9"/>
    <w:rsid w:val="5690B6A5"/>
    <w:rsid w:val="5740FCB5"/>
    <w:rsid w:val="575AA1D5"/>
    <w:rsid w:val="577C6C13"/>
    <w:rsid w:val="57A8697C"/>
    <w:rsid w:val="57DC0F1E"/>
    <w:rsid w:val="58BCB887"/>
    <w:rsid w:val="58D73452"/>
    <w:rsid w:val="59E0238A"/>
    <w:rsid w:val="59EA5A29"/>
    <w:rsid w:val="5CD9C147"/>
    <w:rsid w:val="5DC00AD5"/>
    <w:rsid w:val="5DF5C284"/>
    <w:rsid w:val="5F4C99AD"/>
    <w:rsid w:val="605D5821"/>
    <w:rsid w:val="6066B772"/>
    <w:rsid w:val="60AB23A0"/>
    <w:rsid w:val="61856342"/>
    <w:rsid w:val="619ABB21"/>
    <w:rsid w:val="619B27CE"/>
    <w:rsid w:val="635556A4"/>
    <w:rsid w:val="638DEC5B"/>
    <w:rsid w:val="668F6A57"/>
    <w:rsid w:val="67F39567"/>
    <w:rsid w:val="67F3C416"/>
    <w:rsid w:val="683816BB"/>
    <w:rsid w:val="68E94BC2"/>
    <w:rsid w:val="6BD76D50"/>
    <w:rsid w:val="6D03AA19"/>
    <w:rsid w:val="6D03CD06"/>
    <w:rsid w:val="6D54C7CA"/>
    <w:rsid w:val="6F20AC70"/>
    <w:rsid w:val="7084B747"/>
    <w:rsid w:val="7344890A"/>
    <w:rsid w:val="739A4F08"/>
    <w:rsid w:val="768BA020"/>
    <w:rsid w:val="77B7636D"/>
    <w:rsid w:val="790B0448"/>
    <w:rsid w:val="7933A256"/>
    <w:rsid w:val="794E9B98"/>
    <w:rsid w:val="7954EE11"/>
    <w:rsid w:val="79AE79CD"/>
    <w:rsid w:val="7ADA7F11"/>
    <w:rsid w:val="7C5A9C67"/>
    <w:rsid w:val="7DD56CF7"/>
    <w:rsid w:val="7DD9667F"/>
    <w:rsid w:val="7EBA29E0"/>
    <w:rsid w:val="7F0180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5C3B"/>
  <w15:chartTrackingRefBased/>
  <w15:docId w15:val="{EBEDCC3E-3E98-49E3-A6A8-A2B5687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7A"/>
    <w:rPr>
      <w:rFonts w:ascii="Arial" w:hAnsi="Arial"/>
      <w:sz w:val="22"/>
      <w:szCs w:val="22"/>
    </w:rPr>
  </w:style>
  <w:style w:type="paragraph" w:styleId="Heading1">
    <w:name w:val="heading 1"/>
    <w:basedOn w:val="Normal"/>
    <w:next w:val="Normal"/>
    <w:link w:val="Heading1Char"/>
    <w:uiPriority w:val="9"/>
    <w:qFormat/>
    <w:rsid w:val="00DA2C10"/>
    <w:pPr>
      <w:keepNext/>
      <w:keepLines/>
      <w:numPr>
        <w:numId w:val="1"/>
      </w:numPr>
      <w:spacing w:before="360" w:line="276" w:lineRule="auto"/>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FE75E1"/>
    <w:pPr>
      <w:keepNext/>
      <w:keepLines/>
      <w:spacing w:before="160" w:line="240" w:lineRule="auto"/>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67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10"/>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FE75E1"/>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67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A"/>
    <w:rPr>
      <w:rFonts w:eastAsiaTheme="majorEastAsia" w:cstheme="majorBidi"/>
      <w:color w:val="272727" w:themeColor="text1" w:themeTint="D8"/>
    </w:rPr>
  </w:style>
  <w:style w:type="paragraph" w:styleId="Title">
    <w:name w:val="Title"/>
    <w:basedOn w:val="Normal"/>
    <w:next w:val="Normal"/>
    <w:link w:val="TitleChar"/>
    <w:uiPriority w:val="10"/>
    <w:qFormat/>
    <w:rsid w:val="0067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A"/>
    <w:rPr>
      <w:i/>
      <w:iCs/>
      <w:color w:val="404040" w:themeColor="text1" w:themeTint="BF"/>
    </w:rPr>
  </w:style>
  <w:style w:type="paragraph" w:styleId="ListParagraph">
    <w:name w:val="List Paragraph"/>
    <w:basedOn w:val="Normal"/>
    <w:uiPriority w:val="34"/>
    <w:qFormat/>
    <w:rsid w:val="00605FEE"/>
    <w:pPr>
      <w:numPr>
        <w:numId w:val="7"/>
      </w:numPr>
      <w:spacing w:line="276" w:lineRule="auto"/>
      <w:ind w:left="567" w:hanging="567"/>
    </w:pPr>
    <w:rPr>
      <w:rFonts w:cs="Arial"/>
    </w:rPr>
  </w:style>
  <w:style w:type="character" w:styleId="IntenseEmphasis">
    <w:name w:val="Intense Emphasis"/>
    <w:basedOn w:val="DefaultParagraphFont"/>
    <w:uiPriority w:val="21"/>
    <w:qFormat/>
    <w:rsid w:val="006747EA"/>
    <w:rPr>
      <w:i/>
      <w:iCs/>
      <w:color w:val="0F4761" w:themeColor="accent1" w:themeShade="BF"/>
    </w:rPr>
  </w:style>
  <w:style w:type="paragraph" w:styleId="IntenseQuote">
    <w:name w:val="Intense Quote"/>
    <w:basedOn w:val="Normal"/>
    <w:next w:val="Normal"/>
    <w:link w:val="IntenseQuoteChar"/>
    <w:uiPriority w:val="30"/>
    <w:qFormat/>
    <w:rsid w:val="0067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A"/>
    <w:rPr>
      <w:i/>
      <w:iCs/>
      <w:color w:val="0F4761" w:themeColor="accent1" w:themeShade="BF"/>
    </w:rPr>
  </w:style>
  <w:style w:type="character" w:styleId="IntenseReference">
    <w:name w:val="Intense Reference"/>
    <w:basedOn w:val="DefaultParagraphFont"/>
    <w:uiPriority w:val="32"/>
    <w:qFormat/>
    <w:rsid w:val="006747EA"/>
    <w:rPr>
      <w:b/>
      <w:bCs/>
      <w:smallCaps/>
      <w:color w:val="0F4761" w:themeColor="accent1" w:themeShade="BF"/>
      <w:spacing w:val="5"/>
    </w:rPr>
  </w:style>
  <w:style w:type="paragraph" w:styleId="TOCHeading">
    <w:name w:val="TOC Heading"/>
    <w:basedOn w:val="Heading1"/>
    <w:next w:val="Normal"/>
    <w:uiPriority w:val="39"/>
    <w:unhideWhenUsed/>
    <w:qFormat/>
    <w:rsid w:val="005B530D"/>
    <w:pPr>
      <w:spacing w:before="240" w:after="0"/>
      <w:outlineLvl w:val="9"/>
    </w:pPr>
    <w:rPr>
      <w:kern w:val="0"/>
      <w:sz w:val="32"/>
      <w:szCs w:val="32"/>
      <w:lang w:eastAsia="en-GB"/>
      <w14:ligatures w14:val="none"/>
    </w:rPr>
  </w:style>
  <w:style w:type="paragraph" w:styleId="FootnoteText">
    <w:name w:val="footnote text"/>
    <w:basedOn w:val="Normal"/>
    <w:link w:val="FootnoteTextChar"/>
    <w:uiPriority w:val="99"/>
    <w:unhideWhenUsed/>
    <w:rsid w:val="00D479ED"/>
    <w:pPr>
      <w:spacing w:after="0" w:line="240" w:lineRule="auto"/>
    </w:pPr>
    <w:rPr>
      <w:sz w:val="20"/>
      <w:szCs w:val="20"/>
    </w:rPr>
  </w:style>
  <w:style w:type="character" w:customStyle="1" w:styleId="FootnoteTextChar">
    <w:name w:val="Footnote Text Char"/>
    <w:basedOn w:val="DefaultParagraphFont"/>
    <w:link w:val="FootnoteText"/>
    <w:uiPriority w:val="99"/>
    <w:rsid w:val="00D479ED"/>
    <w:rPr>
      <w:rFonts w:ascii="Arial" w:hAnsi="Arial"/>
      <w:sz w:val="20"/>
      <w:szCs w:val="20"/>
    </w:rPr>
  </w:style>
  <w:style w:type="character" w:styleId="FootnoteReference">
    <w:name w:val="footnote reference"/>
    <w:basedOn w:val="DefaultParagraphFont"/>
    <w:uiPriority w:val="99"/>
    <w:semiHidden/>
    <w:unhideWhenUsed/>
    <w:rsid w:val="00D479ED"/>
    <w:rPr>
      <w:vertAlign w:val="superscript"/>
    </w:rPr>
  </w:style>
  <w:style w:type="paragraph" w:styleId="TOC1">
    <w:name w:val="toc 1"/>
    <w:basedOn w:val="Normal"/>
    <w:next w:val="Normal"/>
    <w:autoRedefine/>
    <w:uiPriority w:val="39"/>
    <w:unhideWhenUsed/>
    <w:rsid w:val="00E722F9"/>
    <w:pPr>
      <w:spacing w:after="100"/>
    </w:pPr>
  </w:style>
  <w:style w:type="character" w:styleId="Hyperlink">
    <w:name w:val="Hyperlink"/>
    <w:basedOn w:val="DefaultParagraphFont"/>
    <w:uiPriority w:val="99"/>
    <w:unhideWhenUsed/>
    <w:rsid w:val="00E722F9"/>
    <w:rPr>
      <w:color w:val="467886" w:themeColor="hyperlink"/>
      <w:u w:val="single"/>
    </w:rPr>
  </w:style>
  <w:style w:type="paragraph" w:styleId="TOC2">
    <w:name w:val="toc 2"/>
    <w:basedOn w:val="Normal"/>
    <w:next w:val="Normal"/>
    <w:autoRedefine/>
    <w:uiPriority w:val="39"/>
    <w:unhideWhenUsed/>
    <w:rsid w:val="00385685"/>
    <w:pPr>
      <w:spacing w:after="100"/>
      <w:ind w:left="220"/>
    </w:pPr>
  </w:style>
  <w:style w:type="character" w:styleId="UnresolvedMention">
    <w:name w:val="Unresolved Mention"/>
    <w:basedOn w:val="DefaultParagraphFont"/>
    <w:uiPriority w:val="99"/>
    <w:semiHidden/>
    <w:unhideWhenUsed/>
    <w:rsid w:val="00F37C8A"/>
    <w:rPr>
      <w:color w:val="605E5C"/>
      <w:shd w:val="clear" w:color="auto" w:fill="E1DFDD"/>
    </w:rPr>
  </w:style>
  <w:style w:type="character" w:styleId="CommentReference">
    <w:name w:val="annotation reference"/>
    <w:basedOn w:val="DefaultParagraphFont"/>
    <w:uiPriority w:val="99"/>
    <w:semiHidden/>
    <w:unhideWhenUsed/>
    <w:rsid w:val="006B6CA2"/>
    <w:rPr>
      <w:sz w:val="16"/>
      <w:szCs w:val="16"/>
    </w:rPr>
  </w:style>
  <w:style w:type="paragraph" w:styleId="CommentText">
    <w:name w:val="annotation text"/>
    <w:basedOn w:val="Normal"/>
    <w:link w:val="CommentTextChar"/>
    <w:uiPriority w:val="99"/>
    <w:unhideWhenUsed/>
    <w:rsid w:val="006B6CA2"/>
    <w:pPr>
      <w:spacing w:line="240" w:lineRule="auto"/>
    </w:pPr>
    <w:rPr>
      <w:sz w:val="20"/>
      <w:szCs w:val="20"/>
    </w:rPr>
  </w:style>
  <w:style w:type="character" w:customStyle="1" w:styleId="CommentTextChar">
    <w:name w:val="Comment Text Char"/>
    <w:basedOn w:val="DefaultParagraphFont"/>
    <w:link w:val="CommentText"/>
    <w:uiPriority w:val="99"/>
    <w:rsid w:val="006B6CA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6CA2"/>
    <w:rPr>
      <w:b/>
      <w:bCs/>
    </w:rPr>
  </w:style>
  <w:style w:type="character" w:customStyle="1" w:styleId="CommentSubjectChar">
    <w:name w:val="Comment Subject Char"/>
    <w:basedOn w:val="CommentTextChar"/>
    <w:link w:val="CommentSubject"/>
    <w:uiPriority w:val="99"/>
    <w:semiHidden/>
    <w:rsid w:val="006B6CA2"/>
    <w:rPr>
      <w:rFonts w:ascii="Arial" w:hAnsi="Arial"/>
      <w:b/>
      <w:bCs/>
      <w:sz w:val="20"/>
      <w:szCs w:val="20"/>
    </w:rPr>
  </w:style>
  <w:style w:type="table" w:styleId="TableGrid">
    <w:name w:val="Table Grid"/>
    <w:basedOn w:val="TableNormal"/>
    <w:uiPriority w:val="39"/>
    <w:rsid w:val="0085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FD6"/>
    <w:rPr>
      <w:rFonts w:ascii="Arial" w:hAnsi="Arial"/>
      <w:sz w:val="22"/>
      <w:szCs w:val="22"/>
    </w:rPr>
  </w:style>
  <w:style w:type="paragraph" w:styleId="Footer">
    <w:name w:val="footer"/>
    <w:basedOn w:val="Normal"/>
    <w:link w:val="FooterChar"/>
    <w:uiPriority w:val="99"/>
    <w:unhideWhenUsed/>
    <w:rsid w:val="005E6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FD6"/>
    <w:rPr>
      <w:rFonts w:ascii="Arial" w:hAnsi="Arial"/>
      <w:sz w:val="22"/>
      <w:szCs w:val="22"/>
    </w:rPr>
  </w:style>
  <w:style w:type="paragraph" w:styleId="NormalWeb">
    <w:name w:val="Normal (Web)"/>
    <w:basedOn w:val="Normal"/>
    <w:uiPriority w:val="99"/>
    <w:semiHidden/>
    <w:unhideWhenUsed/>
    <w:rsid w:val="008616EA"/>
    <w:rPr>
      <w:rFonts w:ascii="Times New Roman" w:hAnsi="Times New Roman" w:cs="Times New Roman"/>
      <w:sz w:val="24"/>
      <w:szCs w:val="24"/>
    </w:rPr>
  </w:style>
  <w:style w:type="paragraph" w:styleId="Revision">
    <w:name w:val="Revision"/>
    <w:hidden/>
    <w:uiPriority w:val="99"/>
    <w:semiHidden/>
    <w:rsid w:val="00884F6A"/>
    <w:pPr>
      <w:spacing w:after="0" w:line="240" w:lineRule="auto"/>
    </w:pPr>
    <w:rPr>
      <w:rFonts w:ascii="Arial" w:hAnsi="Arial"/>
      <w:sz w:val="22"/>
      <w:szCs w:val="22"/>
    </w:rPr>
  </w:style>
  <w:style w:type="character" w:styleId="Mention">
    <w:name w:val="Mention"/>
    <w:basedOn w:val="DefaultParagraphFont"/>
    <w:uiPriority w:val="99"/>
    <w:unhideWhenUsed/>
    <w:rsid w:val="00B8117B"/>
    <w:rPr>
      <w:color w:val="2B579A"/>
      <w:shd w:val="clear" w:color="auto" w:fill="E1DFDD"/>
    </w:rPr>
  </w:style>
  <w:style w:type="character" w:styleId="FollowedHyperlink">
    <w:name w:val="FollowedHyperlink"/>
    <w:basedOn w:val="DefaultParagraphFont"/>
    <w:uiPriority w:val="99"/>
    <w:semiHidden/>
    <w:unhideWhenUsed/>
    <w:rsid w:val="006A26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ind-tender.service.gov.uk/Notice/060224-2025" TargetMode="External"/><Relationship Id="rId13" Type="http://schemas.openxmlformats.org/officeDocument/2006/relationships/hyperlink" Target="https://www.find-tender.service.gov.uk/Notice/086331-2025"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12" Type="http://schemas.openxmlformats.org/officeDocument/2006/relationships/hyperlink" Target="https://www.find-tender.service.gov.uk/Notice/060224-2025" TargetMode="External"/><Relationship Id="rId2" Type="http://schemas.openxmlformats.org/officeDocument/2006/relationships/hyperlink" Target="https://www.hampshirehospitals.nhs.uk/" TargetMode="External"/><Relationship Id="rId1" Type="http://schemas.openxmlformats.org/officeDocument/2006/relationships/hyperlink" Target="https://www.nhuc.co.uk/" TargetMode="External"/><Relationship Id="rId6" Type="http://schemas.openxmlformats.org/officeDocument/2006/relationships/hyperlink" Target="https://www.legislation.gov.uk/uksi/2023/1348/contents/made" TargetMode="External"/><Relationship Id="rId11" Type="http://schemas.openxmlformats.org/officeDocument/2006/relationships/hyperlink" Target="https://www.find-tender.service.gov.uk/Notice/086331-2025"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atrumedhealthcare.com/"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www.find-tender.service.gov.uk/Notice/086331-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98A47-3B4F-4865-8239-54A54D5BFC6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47bd0a4b-cdef-49e3-b4c2-dc603af9f461"/>
    <ds:schemaRef ds:uri="96410c0b-a514-402d-9462-ba76dadfba38"/>
    <ds:schemaRef ds:uri="http://schemas.microsoft.com/sharepoint/v3"/>
  </ds:schemaRefs>
</ds:datastoreItem>
</file>

<file path=customXml/itemProps2.xml><?xml version="1.0" encoding="utf-8"?>
<ds:datastoreItem xmlns:ds="http://schemas.openxmlformats.org/officeDocument/2006/customXml" ds:itemID="{41E8864B-EEB0-43C4-9DD4-F7038FA4B36C}">
  <ds:schemaRefs>
    <ds:schemaRef ds:uri="http://schemas.openxmlformats.org/officeDocument/2006/bibliography"/>
  </ds:schemaRefs>
</ds:datastoreItem>
</file>

<file path=customXml/itemProps3.xml><?xml version="1.0" encoding="utf-8"?>
<ds:datastoreItem xmlns:ds="http://schemas.openxmlformats.org/officeDocument/2006/customXml" ds:itemID="{8B9E0192-F7EE-425A-AABE-FB02ED5FD697}">
  <ds:schemaRefs>
    <ds:schemaRef ds:uri="http://schemas.microsoft.com/sharepoint/v3/contenttype/forms"/>
  </ds:schemaRefs>
</ds:datastoreItem>
</file>

<file path=customXml/itemProps4.xml><?xml version="1.0" encoding="utf-8"?>
<ds:datastoreItem xmlns:ds="http://schemas.openxmlformats.org/officeDocument/2006/customXml" ds:itemID="{0E8AE3D6-5AAC-42BD-A5E9-D5F3A7AE8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530</TotalTime>
  <Pages>33</Pages>
  <Words>13664</Words>
  <Characters>77888</Characters>
  <Application>Microsoft Office Word</Application>
  <DocSecurity>8</DocSecurity>
  <Lines>649</Lines>
  <Paragraphs>182</Paragraphs>
  <ScaleCrop>false</ScaleCrop>
  <Company>NHS South, Central and West</Company>
  <LinksUpToDate>false</LinksUpToDate>
  <CharactersWithSpaces>91370</CharactersWithSpaces>
  <SharedDoc>false</SharedDoc>
  <HLinks>
    <vt:vector size="144" baseType="variant">
      <vt:variant>
        <vt:i4>1769520</vt:i4>
      </vt:variant>
      <vt:variant>
        <vt:i4>68</vt:i4>
      </vt:variant>
      <vt:variant>
        <vt:i4>0</vt:i4>
      </vt:variant>
      <vt:variant>
        <vt:i4>5</vt:i4>
      </vt:variant>
      <vt:variant>
        <vt:lpwstr/>
      </vt:variant>
      <vt:variant>
        <vt:lpwstr>_Toc224841270</vt:lpwstr>
      </vt:variant>
      <vt:variant>
        <vt:i4>1703984</vt:i4>
      </vt:variant>
      <vt:variant>
        <vt:i4>62</vt:i4>
      </vt:variant>
      <vt:variant>
        <vt:i4>0</vt:i4>
      </vt:variant>
      <vt:variant>
        <vt:i4>5</vt:i4>
      </vt:variant>
      <vt:variant>
        <vt:lpwstr/>
      </vt:variant>
      <vt:variant>
        <vt:lpwstr>_Toc224841269</vt:lpwstr>
      </vt:variant>
      <vt:variant>
        <vt:i4>1703984</vt:i4>
      </vt:variant>
      <vt:variant>
        <vt:i4>56</vt:i4>
      </vt:variant>
      <vt:variant>
        <vt:i4>0</vt:i4>
      </vt:variant>
      <vt:variant>
        <vt:i4>5</vt:i4>
      </vt:variant>
      <vt:variant>
        <vt:lpwstr/>
      </vt:variant>
      <vt:variant>
        <vt:lpwstr>_Toc224841268</vt:lpwstr>
      </vt:variant>
      <vt:variant>
        <vt:i4>1703984</vt:i4>
      </vt:variant>
      <vt:variant>
        <vt:i4>50</vt:i4>
      </vt:variant>
      <vt:variant>
        <vt:i4>0</vt:i4>
      </vt:variant>
      <vt:variant>
        <vt:i4>5</vt:i4>
      </vt:variant>
      <vt:variant>
        <vt:lpwstr/>
      </vt:variant>
      <vt:variant>
        <vt:lpwstr>_Toc224841267</vt:lpwstr>
      </vt:variant>
      <vt:variant>
        <vt:i4>1703984</vt:i4>
      </vt:variant>
      <vt:variant>
        <vt:i4>44</vt:i4>
      </vt:variant>
      <vt:variant>
        <vt:i4>0</vt:i4>
      </vt:variant>
      <vt:variant>
        <vt:i4>5</vt:i4>
      </vt:variant>
      <vt:variant>
        <vt:lpwstr/>
      </vt:variant>
      <vt:variant>
        <vt:lpwstr>_Toc224841266</vt:lpwstr>
      </vt:variant>
      <vt:variant>
        <vt:i4>1703984</vt:i4>
      </vt:variant>
      <vt:variant>
        <vt:i4>38</vt:i4>
      </vt:variant>
      <vt:variant>
        <vt:i4>0</vt:i4>
      </vt:variant>
      <vt:variant>
        <vt:i4>5</vt:i4>
      </vt:variant>
      <vt:variant>
        <vt:lpwstr/>
      </vt:variant>
      <vt:variant>
        <vt:lpwstr>_Toc224841265</vt:lpwstr>
      </vt:variant>
      <vt:variant>
        <vt:i4>1703984</vt:i4>
      </vt:variant>
      <vt:variant>
        <vt:i4>32</vt:i4>
      </vt:variant>
      <vt:variant>
        <vt:i4>0</vt:i4>
      </vt:variant>
      <vt:variant>
        <vt:i4>5</vt:i4>
      </vt:variant>
      <vt:variant>
        <vt:lpwstr/>
      </vt:variant>
      <vt:variant>
        <vt:lpwstr>_Toc224841264</vt:lpwstr>
      </vt:variant>
      <vt:variant>
        <vt:i4>1703984</vt:i4>
      </vt:variant>
      <vt:variant>
        <vt:i4>26</vt:i4>
      </vt:variant>
      <vt:variant>
        <vt:i4>0</vt:i4>
      </vt:variant>
      <vt:variant>
        <vt:i4>5</vt:i4>
      </vt:variant>
      <vt:variant>
        <vt:lpwstr/>
      </vt:variant>
      <vt:variant>
        <vt:lpwstr>_Toc224841263</vt:lpwstr>
      </vt:variant>
      <vt:variant>
        <vt:i4>1703984</vt:i4>
      </vt:variant>
      <vt:variant>
        <vt:i4>20</vt:i4>
      </vt:variant>
      <vt:variant>
        <vt:i4>0</vt:i4>
      </vt:variant>
      <vt:variant>
        <vt:i4>5</vt:i4>
      </vt:variant>
      <vt:variant>
        <vt:lpwstr/>
      </vt:variant>
      <vt:variant>
        <vt:lpwstr>_Toc224841262</vt:lpwstr>
      </vt:variant>
      <vt:variant>
        <vt:i4>1703984</vt:i4>
      </vt:variant>
      <vt:variant>
        <vt:i4>14</vt:i4>
      </vt:variant>
      <vt:variant>
        <vt:i4>0</vt:i4>
      </vt:variant>
      <vt:variant>
        <vt:i4>5</vt:i4>
      </vt:variant>
      <vt:variant>
        <vt:lpwstr/>
      </vt:variant>
      <vt:variant>
        <vt:lpwstr>_Toc224841261</vt:lpwstr>
      </vt:variant>
      <vt:variant>
        <vt:i4>1703984</vt:i4>
      </vt:variant>
      <vt:variant>
        <vt:i4>8</vt:i4>
      </vt:variant>
      <vt:variant>
        <vt:i4>0</vt:i4>
      </vt:variant>
      <vt:variant>
        <vt:i4>5</vt:i4>
      </vt:variant>
      <vt:variant>
        <vt:lpwstr/>
      </vt:variant>
      <vt:variant>
        <vt:lpwstr>_Toc224841260</vt:lpwstr>
      </vt:variant>
      <vt:variant>
        <vt:i4>1638448</vt:i4>
      </vt:variant>
      <vt:variant>
        <vt:i4>2</vt:i4>
      </vt:variant>
      <vt:variant>
        <vt:i4>0</vt:i4>
      </vt:variant>
      <vt:variant>
        <vt:i4>5</vt:i4>
      </vt:variant>
      <vt:variant>
        <vt:lpwstr/>
      </vt:variant>
      <vt:variant>
        <vt:lpwstr>_Toc224841259</vt:lpwstr>
      </vt:variant>
      <vt:variant>
        <vt:i4>786459</vt:i4>
      </vt:variant>
      <vt:variant>
        <vt:i4>36</vt:i4>
      </vt:variant>
      <vt:variant>
        <vt:i4>0</vt:i4>
      </vt:variant>
      <vt:variant>
        <vt:i4>5</vt:i4>
      </vt:variant>
      <vt:variant>
        <vt:lpwstr>https://www.find-tender.service.gov.uk/Notice/086331-2025</vt:lpwstr>
      </vt:variant>
      <vt:variant>
        <vt:lpwstr/>
      </vt:variant>
      <vt:variant>
        <vt:i4>393244</vt:i4>
      </vt:variant>
      <vt:variant>
        <vt:i4>33</vt:i4>
      </vt:variant>
      <vt:variant>
        <vt:i4>0</vt:i4>
      </vt:variant>
      <vt:variant>
        <vt:i4>5</vt:i4>
      </vt:variant>
      <vt:variant>
        <vt:lpwstr>https://www.find-tender.service.gov.uk/Notice/060224-2025</vt:lpwstr>
      </vt:variant>
      <vt:variant>
        <vt:lpwstr/>
      </vt:variant>
      <vt:variant>
        <vt:i4>7798833</vt:i4>
      </vt:variant>
      <vt:variant>
        <vt:i4>27</vt:i4>
      </vt:variant>
      <vt:variant>
        <vt:i4>0</vt:i4>
      </vt:variant>
      <vt:variant>
        <vt:i4>5</vt:i4>
      </vt:variant>
      <vt:variant>
        <vt:lpwstr>https://atrumedhealthcare.com/</vt:lpwstr>
      </vt:variant>
      <vt:variant>
        <vt:lpwstr/>
      </vt:variant>
      <vt:variant>
        <vt:i4>786459</vt:i4>
      </vt:variant>
      <vt:variant>
        <vt:i4>24</vt:i4>
      </vt:variant>
      <vt:variant>
        <vt:i4>0</vt:i4>
      </vt:variant>
      <vt:variant>
        <vt:i4>5</vt:i4>
      </vt:variant>
      <vt:variant>
        <vt:lpwstr>https://www.find-tender.service.gov.uk/Notice/086331-2025</vt:lpwstr>
      </vt:variant>
      <vt:variant>
        <vt:lpwstr/>
      </vt:variant>
      <vt:variant>
        <vt:i4>393244</vt:i4>
      </vt:variant>
      <vt:variant>
        <vt:i4>21</vt:i4>
      </vt:variant>
      <vt:variant>
        <vt:i4>0</vt:i4>
      </vt:variant>
      <vt:variant>
        <vt:i4>5</vt:i4>
      </vt:variant>
      <vt:variant>
        <vt:lpwstr>https://www.find-tender.service.gov.uk/Notice/060224-2025</vt:lpwstr>
      </vt:variant>
      <vt:variant>
        <vt:lpwstr/>
      </vt:variant>
      <vt:variant>
        <vt:i4>2818172</vt:i4>
      </vt:variant>
      <vt:variant>
        <vt:i4>18</vt:i4>
      </vt:variant>
      <vt:variant>
        <vt:i4>0</vt:i4>
      </vt:variant>
      <vt:variant>
        <vt:i4>5</vt:i4>
      </vt:variant>
      <vt:variant>
        <vt:lpwstr>https://www.england.nhs.uk/long-read/the-provider-selection-regime-statutory-guidance/</vt:lpwstr>
      </vt:variant>
      <vt:variant>
        <vt:lpwstr/>
      </vt:variant>
      <vt:variant>
        <vt:i4>3670113</vt:i4>
      </vt:variant>
      <vt:variant>
        <vt:i4>15</vt:i4>
      </vt:variant>
      <vt:variant>
        <vt:i4>0</vt:i4>
      </vt:variant>
      <vt:variant>
        <vt:i4>5</vt:i4>
      </vt:variant>
      <vt:variant>
        <vt:lpwstr>https://www.legislation.gov.uk/uksi/2023/1348/contents/made</vt:lpwstr>
      </vt:variant>
      <vt:variant>
        <vt:lpwstr/>
      </vt:variant>
      <vt:variant>
        <vt:i4>7864419</vt:i4>
      </vt:variant>
      <vt:variant>
        <vt:i4>12</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720903</vt:i4>
      </vt:variant>
      <vt:variant>
        <vt:i4>9</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6</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6553662</vt:i4>
      </vt:variant>
      <vt:variant>
        <vt:i4>3</vt:i4>
      </vt:variant>
      <vt:variant>
        <vt:i4>0</vt:i4>
      </vt:variant>
      <vt:variant>
        <vt:i4>5</vt:i4>
      </vt:variant>
      <vt:variant>
        <vt:lpwstr>https://www.hampshirehospitals.nhs.uk/</vt:lpwstr>
      </vt:variant>
      <vt:variant>
        <vt:lpwstr/>
      </vt:variant>
      <vt:variant>
        <vt:i4>6619247</vt:i4>
      </vt:variant>
      <vt:variant>
        <vt:i4>0</vt:i4>
      </vt:variant>
      <vt:variant>
        <vt:i4>0</vt:i4>
      </vt:variant>
      <vt:variant>
        <vt:i4>5</vt:i4>
      </vt:variant>
      <vt:variant>
        <vt:lpwstr>https://www.nhuc.co.uk/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WALTERS, Bianca (NHS SOUTH, CENTRAL AND WEST COMMISSIONING SUPPORT UNIT)</cp:lastModifiedBy>
  <cp:revision>397</cp:revision>
  <cp:lastPrinted>2026-04-01T09:56:00Z</cp:lastPrinted>
  <dcterms:created xsi:type="dcterms:W3CDTF">2026-03-19T09:03:00Z</dcterms:created>
  <dcterms:modified xsi:type="dcterms:W3CDTF">2026-04-01T09:59:00Z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ies>
</file>