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D040" w14:textId="77777777" w:rsidR="006747EA" w:rsidRPr="006747EA" w:rsidRDefault="006747EA" w:rsidP="006747EA">
      <w:pPr>
        <w:pStyle w:val="Title"/>
        <w:spacing w:before="2600" w:after="480"/>
        <w:rPr>
          <w:rFonts w:ascii="Arial" w:hAnsi="Arial" w:cs="Arial"/>
          <w:b/>
          <w:bCs/>
          <w:color w:val="0070C0"/>
          <w:sz w:val="40"/>
          <w:szCs w:val="40"/>
        </w:rPr>
      </w:pPr>
      <w:r w:rsidRPr="006747EA">
        <w:rPr>
          <w:rFonts w:ascii="Arial" w:hAnsi="Arial" w:cs="Arial"/>
          <w:b/>
          <w:bCs/>
          <w:color w:val="0070C0"/>
          <w:sz w:val="40"/>
          <w:szCs w:val="40"/>
        </w:rPr>
        <w:t>Independent Patient Choice and Procurement Panel</w:t>
      </w:r>
    </w:p>
    <w:p w14:paraId="0C412498" w14:textId="2C5C2B18" w:rsidR="006747EA" w:rsidRPr="006747EA" w:rsidRDefault="006747EA" w:rsidP="006747EA">
      <w:pPr>
        <w:pStyle w:val="Subtitle"/>
        <w:spacing w:after="600"/>
        <w:rPr>
          <w:rFonts w:cs="Arial"/>
          <w:b/>
          <w:bCs/>
          <w:color w:val="0070C0"/>
          <w:sz w:val="32"/>
          <w:szCs w:val="32"/>
        </w:rPr>
      </w:pPr>
      <w:r w:rsidRPr="006747EA">
        <w:rPr>
          <w:rFonts w:cs="Arial"/>
          <w:b/>
          <w:bCs/>
          <w:color w:val="0070C0"/>
          <w:sz w:val="32"/>
          <w:szCs w:val="32"/>
        </w:rPr>
        <w:t>Review of a proposed contract award</w:t>
      </w:r>
    </w:p>
    <w:p w14:paraId="3A25A300" w14:textId="1D11540C" w:rsidR="006747EA" w:rsidRPr="006747EA" w:rsidRDefault="00E21EFC" w:rsidP="006747EA">
      <w:pPr>
        <w:pStyle w:val="Subtitle"/>
        <w:spacing w:after="1680"/>
        <w:rPr>
          <w:rFonts w:cs="Arial"/>
          <w:b/>
          <w:bCs/>
          <w:color w:val="0070C0"/>
          <w:sz w:val="32"/>
          <w:szCs w:val="32"/>
        </w:rPr>
      </w:pPr>
      <w:r>
        <w:rPr>
          <w:rFonts w:cs="Arial"/>
          <w:b/>
          <w:bCs/>
          <w:color w:val="0070C0"/>
          <w:sz w:val="32"/>
          <w:szCs w:val="32"/>
        </w:rPr>
        <w:t xml:space="preserve">Digestive Diseases </w:t>
      </w:r>
      <w:r w:rsidR="009A2F6C">
        <w:rPr>
          <w:rFonts w:cs="Arial"/>
          <w:b/>
          <w:bCs/>
          <w:color w:val="0070C0"/>
          <w:sz w:val="32"/>
          <w:szCs w:val="32"/>
        </w:rPr>
        <w:t>Insourced Services for the Northern Care Alliance</w:t>
      </w:r>
    </w:p>
    <w:p w14:paraId="1A289B71" w14:textId="47EE0670" w:rsidR="006747EA" w:rsidRPr="006747EA" w:rsidRDefault="006747EA" w:rsidP="006747EA">
      <w:pPr>
        <w:pStyle w:val="Subtitle"/>
        <w:rPr>
          <w:rFonts w:cs="Arial"/>
          <w:b/>
          <w:bCs/>
          <w:color w:val="0070C0"/>
          <w:szCs w:val="24"/>
        </w:rPr>
      </w:pPr>
      <w:r w:rsidRPr="006747EA">
        <w:rPr>
          <w:rFonts w:cs="Arial"/>
          <w:b/>
          <w:bCs/>
          <w:color w:val="0070C0"/>
          <w:szCs w:val="24"/>
        </w:rPr>
        <w:t xml:space="preserve">Case Reference: </w:t>
      </w:r>
      <w:r w:rsidRPr="009A2F6C">
        <w:rPr>
          <w:rFonts w:cs="Arial"/>
          <w:b/>
          <w:bCs/>
          <w:color w:val="0070C0"/>
          <w:szCs w:val="24"/>
        </w:rPr>
        <w:t>CR00</w:t>
      </w:r>
      <w:r w:rsidR="009A2F6C" w:rsidRPr="009A2F6C">
        <w:rPr>
          <w:rFonts w:cs="Arial"/>
          <w:b/>
          <w:bCs/>
          <w:color w:val="0070C0"/>
          <w:szCs w:val="24"/>
        </w:rPr>
        <w:t>49</w:t>
      </w:r>
      <w:r w:rsidRPr="009A2F6C">
        <w:rPr>
          <w:rFonts w:cs="Arial"/>
          <w:b/>
          <w:bCs/>
          <w:color w:val="0070C0"/>
          <w:szCs w:val="24"/>
        </w:rPr>
        <w:t>-</w:t>
      </w:r>
      <w:r w:rsidR="009A2F6C" w:rsidRPr="009A2F6C">
        <w:rPr>
          <w:rFonts w:cs="Arial"/>
          <w:b/>
          <w:bCs/>
          <w:color w:val="0070C0"/>
          <w:szCs w:val="24"/>
        </w:rPr>
        <w:t>26</w:t>
      </w:r>
    </w:p>
    <w:p w14:paraId="22E0017D" w14:textId="527F70E4" w:rsidR="006747EA" w:rsidRPr="007B7413" w:rsidRDefault="007B7413" w:rsidP="006747EA">
      <w:pPr>
        <w:pStyle w:val="Subtitle"/>
        <w:rPr>
          <w:rFonts w:cs="Arial"/>
          <w:b/>
          <w:bCs/>
          <w:color w:val="0070C0"/>
          <w:szCs w:val="24"/>
        </w:rPr>
      </w:pPr>
      <w:r w:rsidRPr="007B7413">
        <w:rPr>
          <w:rFonts w:cs="Arial"/>
          <w:b/>
          <w:bCs/>
          <w:color w:val="0070C0"/>
          <w:szCs w:val="24"/>
        </w:rPr>
        <w:t>2</w:t>
      </w:r>
      <w:r w:rsidR="00035BAE">
        <w:rPr>
          <w:rFonts w:cs="Arial"/>
          <w:b/>
          <w:bCs/>
          <w:color w:val="0070C0"/>
          <w:szCs w:val="24"/>
        </w:rPr>
        <w:t>7</w:t>
      </w:r>
      <w:r w:rsidR="006747EA" w:rsidRPr="007B7413">
        <w:rPr>
          <w:rFonts w:cs="Arial"/>
          <w:b/>
          <w:bCs/>
          <w:color w:val="0070C0"/>
          <w:szCs w:val="24"/>
        </w:rPr>
        <w:t xml:space="preserve"> </w:t>
      </w:r>
      <w:r w:rsidR="0068535D" w:rsidRPr="007B7413">
        <w:rPr>
          <w:rFonts w:cs="Arial"/>
          <w:b/>
          <w:bCs/>
          <w:color w:val="0070C0"/>
          <w:szCs w:val="24"/>
        </w:rPr>
        <w:t>May</w:t>
      </w:r>
      <w:r w:rsidR="006747EA" w:rsidRPr="007B7413">
        <w:rPr>
          <w:rFonts w:cs="Arial"/>
          <w:b/>
          <w:bCs/>
          <w:color w:val="0070C0"/>
          <w:szCs w:val="24"/>
        </w:rPr>
        <w:t xml:space="preserve"> </w:t>
      </w:r>
      <w:r w:rsidR="0068535D" w:rsidRPr="007B7413">
        <w:rPr>
          <w:rFonts w:cs="Arial"/>
          <w:b/>
          <w:bCs/>
          <w:color w:val="0070C0"/>
          <w:szCs w:val="24"/>
        </w:rPr>
        <w:t>2026</w:t>
      </w:r>
    </w:p>
    <w:p w14:paraId="3F741E4E" w14:textId="77777777" w:rsidR="006747EA" w:rsidRDefault="006747EA">
      <w:pPr>
        <w:rPr>
          <w:rFonts w:eastAsiaTheme="majorEastAsia" w:cs="Arial"/>
          <w:b/>
          <w:bCs/>
          <w:color w:val="0070C0"/>
          <w:spacing w:val="15"/>
          <w:sz w:val="28"/>
          <w:szCs w:val="24"/>
          <w:highlight w:val="yellow"/>
        </w:rPr>
      </w:pPr>
      <w:r>
        <w:rPr>
          <w:rFonts w:cs="Arial"/>
          <w:b/>
          <w:bCs/>
          <w:color w:val="0070C0"/>
          <w:szCs w:val="24"/>
          <w:highlight w:val="yellow"/>
        </w:rPr>
        <w:br w:type="page"/>
      </w:r>
    </w:p>
    <w:sdt>
      <w:sdtPr>
        <w:rPr>
          <w:rFonts w:eastAsiaTheme="minorEastAsia"/>
          <w:b/>
          <w:sz w:val="28"/>
          <w:szCs w:val="28"/>
        </w:rPr>
        <w:id w:val="-601573918"/>
        <w:docPartObj>
          <w:docPartGallery w:val="Table of Contents"/>
          <w:docPartUnique/>
        </w:docPartObj>
      </w:sdtPr>
      <w:sdtEndPr>
        <w:rPr>
          <w:b w:val="0"/>
          <w:sz w:val="22"/>
          <w:szCs w:val="22"/>
        </w:rPr>
      </w:sdtEndPr>
      <w:sdtContent>
        <w:p w14:paraId="377A6F20" w14:textId="6691450B" w:rsidR="005B530D" w:rsidRPr="00152435" w:rsidRDefault="005B530D" w:rsidP="00152435">
          <w:pPr>
            <w:rPr>
              <w:b/>
              <w:sz w:val="28"/>
              <w:szCs w:val="28"/>
            </w:rPr>
          </w:pPr>
          <w:r w:rsidRPr="00152435">
            <w:rPr>
              <w:b/>
              <w:sz w:val="28"/>
              <w:szCs w:val="28"/>
            </w:rPr>
            <w:t>Contents</w:t>
          </w:r>
        </w:p>
        <w:p w14:paraId="6E3963DD" w14:textId="1501CEEA" w:rsidR="001F69F0" w:rsidRDefault="005B530D">
          <w:pPr>
            <w:pStyle w:val="TOC1"/>
            <w:tabs>
              <w:tab w:val="left" w:pos="480"/>
              <w:tab w:val="right" w:leader="dot" w:pos="9016"/>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230780604" w:history="1">
            <w:r w:rsidR="001F69F0" w:rsidRPr="003D679C">
              <w:rPr>
                <w:rStyle w:val="Hyperlink"/>
                <w:noProof/>
              </w:rPr>
              <w:t>1.</w:t>
            </w:r>
            <w:r w:rsidR="001F69F0">
              <w:rPr>
                <w:rFonts w:asciiTheme="minorHAnsi" w:eastAsiaTheme="minorEastAsia" w:hAnsiTheme="minorHAnsi"/>
                <w:noProof/>
                <w:sz w:val="24"/>
                <w:szCs w:val="24"/>
                <w:lang w:eastAsia="en-GB"/>
              </w:rPr>
              <w:tab/>
            </w:r>
            <w:r w:rsidR="001F69F0" w:rsidRPr="003D679C">
              <w:rPr>
                <w:rStyle w:val="Hyperlink"/>
                <w:noProof/>
              </w:rPr>
              <w:t>Executive Summary</w:t>
            </w:r>
            <w:r w:rsidR="001F69F0">
              <w:rPr>
                <w:noProof/>
                <w:webHidden/>
              </w:rPr>
              <w:tab/>
            </w:r>
            <w:r w:rsidR="001F69F0">
              <w:rPr>
                <w:noProof/>
                <w:webHidden/>
              </w:rPr>
              <w:fldChar w:fldCharType="begin"/>
            </w:r>
            <w:r w:rsidR="001F69F0">
              <w:rPr>
                <w:noProof/>
                <w:webHidden/>
              </w:rPr>
              <w:instrText xml:space="preserve"> PAGEREF _Toc230780604 \h </w:instrText>
            </w:r>
            <w:r w:rsidR="001F69F0">
              <w:rPr>
                <w:noProof/>
                <w:webHidden/>
              </w:rPr>
            </w:r>
            <w:r w:rsidR="001F69F0">
              <w:rPr>
                <w:noProof/>
                <w:webHidden/>
              </w:rPr>
              <w:fldChar w:fldCharType="separate"/>
            </w:r>
            <w:r w:rsidR="001F69F0">
              <w:rPr>
                <w:noProof/>
                <w:webHidden/>
              </w:rPr>
              <w:t>3</w:t>
            </w:r>
            <w:r w:rsidR="001F69F0">
              <w:rPr>
                <w:noProof/>
                <w:webHidden/>
              </w:rPr>
              <w:fldChar w:fldCharType="end"/>
            </w:r>
          </w:hyperlink>
        </w:p>
        <w:p w14:paraId="2AB91A5C" w14:textId="18BED0F6" w:rsidR="001F69F0" w:rsidRDefault="001F69F0">
          <w:pPr>
            <w:pStyle w:val="TOC1"/>
            <w:tabs>
              <w:tab w:val="left" w:pos="480"/>
              <w:tab w:val="right" w:leader="dot" w:pos="9016"/>
            </w:tabs>
            <w:rPr>
              <w:rFonts w:asciiTheme="minorHAnsi" w:eastAsiaTheme="minorEastAsia" w:hAnsiTheme="minorHAnsi"/>
              <w:noProof/>
              <w:sz w:val="24"/>
              <w:szCs w:val="24"/>
              <w:lang w:eastAsia="en-GB"/>
            </w:rPr>
          </w:pPr>
          <w:hyperlink w:anchor="_Toc230780605" w:history="1">
            <w:r w:rsidRPr="003D679C">
              <w:rPr>
                <w:rStyle w:val="Hyperlink"/>
                <w:noProof/>
              </w:rPr>
              <w:t>2.</w:t>
            </w:r>
            <w:r>
              <w:rPr>
                <w:rFonts w:asciiTheme="minorHAnsi" w:eastAsiaTheme="minorEastAsia" w:hAnsiTheme="minorHAnsi"/>
                <w:noProof/>
                <w:sz w:val="24"/>
                <w:szCs w:val="24"/>
                <w:lang w:eastAsia="en-GB"/>
              </w:rPr>
              <w:tab/>
            </w:r>
            <w:r w:rsidRPr="003D679C">
              <w:rPr>
                <w:rStyle w:val="Hyperlink"/>
                <w:noProof/>
              </w:rPr>
              <w:t>Introduction</w:t>
            </w:r>
            <w:r>
              <w:rPr>
                <w:noProof/>
                <w:webHidden/>
              </w:rPr>
              <w:tab/>
            </w:r>
            <w:r>
              <w:rPr>
                <w:noProof/>
                <w:webHidden/>
              </w:rPr>
              <w:fldChar w:fldCharType="begin"/>
            </w:r>
            <w:r>
              <w:rPr>
                <w:noProof/>
                <w:webHidden/>
              </w:rPr>
              <w:instrText xml:space="preserve"> PAGEREF _Toc230780605 \h </w:instrText>
            </w:r>
            <w:r>
              <w:rPr>
                <w:noProof/>
                <w:webHidden/>
              </w:rPr>
            </w:r>
            <w:r>
              <w:rPr>
                <w:noProof/>
                <w:webHidden/>
              </w:rPr>
              <w:fldChar w:fldCharType="separate"/>
            </w:r>
            <w:r>
              <w:rPr>
                <w:noProof/>
                <w:webHidden/>
              </w:rPr>
              <w:t>5</w:t>
            </w:r>
            <w:r>
              <w:rPr>
                <w:noProof/>
                <w:webHidden/>
              </w:rPr>
              <w:fldChar w:fldCharType="end"/>
            </w:r>
          </w:hyperlink>
        </w:p>
        <w:p w14:paraId="1A3505AE" w14:textId="580EF7B0" w:rsidR="001F69F0" w:rsidRDefault="001F69F0">
          <w:pPr>
            <w:pStyle w:val="TOC1"/>
            <w:tabs>
              <w:tab w:val="left" w:pos="480"/>
              <w:tab w:val="right" w:leader="dot" w:pos="9016"/>
            </w:tabs>
            <w:rPr>
              <w:rFonts w:asciiTheme="minorHAnsi" w:eastAsiaTheme="minorEastAsia" w:hAnsiTheme="minorHAnsi"/>
              <w:noProof/>
              <w:sz w:val="24"/>
              <w:szCs w:val="24"/>
              <w:lang w:eastAsia="en-GB"/>
            </w:rPr>
          </w:pPr>
          <w:hyperlink w:anchor="_Toc230780606" w:history="1">
            <w:r w:rsidRPr="003D679C">
              <w:rPr>
                <w:rStyle w:val="Hyperlink"/>
                <w:noProof/>
              </w:rPr>
              <w:t>3.</w:t>
            </w:r>
            <w:r>
              <w:rPr>
                <w:rFonts w:asciiTheme="minorHAnsi" w:eastAsiaTheme="minorEastAsia" w:hAnsiTheme="minorHAnsi"/>
                <w:noProof/>
                <w:sz w:val="24"/>
                <w:szCs w:val="24"/>
                <w:lang w:eastAsia="en-GB"/>
              </w:rPr>
              <w:tab/>
            </w:r>
            <w:r w:rsidRPr="003D679C">
              <w:rPr>
                <w:rStyle w:val="Hyperlink"/>
                <w:noProof/>
              </w:rPr>
              <w:t>Role of the Panel</w:t>
            </w:r>
            <w:r>
              <w:rPr>
                <w:noProof/>
                <w:webHidden/>
              </w:rPr>
              <w:tab/>
            </w:r>
            <w:r>
              <w:rPr>
                <w:noProof/>
                <w:webHidden/>
              </w:rPr>
              <w:fldChar w:fldCharType="begin"/>
            </w:r>
            <w:r>
              <w:rPr>
                <w:noProof/>
                <w:webHidden/>
              </w:rPr>
              <w:instrText xml:space="preserve"> PAGEREF _Toc230780606 \h </w:instrText>
            </w:r>
            <w:r>
              <w:rPr>
                <w:noProof/>
                <w:webHidden/>
              </w:rPr>
            </w:r>
            <w:r>
              <w:rPr>
                <w:noProof/>
                <w:webHidden/>
              </w:rPr>
              <w:fldChar w:fldCharType="separate"/>
            </w:r>
            <w:r>
              <w:rPr>
                <w:noProof/>
                <w:webHidden/>
              </w:rPr>
              <w:t>6</w:t>
            </w:r>
            <w:r>
              <w:rPr>
                <w:noProof/>
                <w:webHidden/>
              </w:rPr>
              <w:fldChar w:fldCharType="end"/>
            </w:r>
          </w:hyperlink>
        </w:p>
        <w:p w14:paraId="7F2797E8" w14:textId="46E6A657" w:rsidR="001F69F0" w:rsidRDefault="001F69F0">
          <w:pPr>
            <w:pStyle w:val="TOC1"/>
            <w:tabs>
              <w:tab w:val="left" w:pos="480"/>
              <w:tab w:val="right" w:leader="dot" w:pos="9016"/>
            </w:tabs>
            <w:rPr>
              <w:rFonts w:asciiTheme="minorHAnsi" w:eastAsiaTheme="minorEastAsia" w:hAnsiTheme="minorHAnsi"/>
              <w:noProof/>
              <w:sz w:val="24"/>
              <w:szCs w:val="24"/>
              <w:lang w:eastAsia="en-GB"/>
            </w:rPr>
          </w:pPr>
          <w:hyperlink w:anchor="_Toc230780607" w:history="1">
            <w:r w:rsidRPr="003D679C">
              <w:rPr>
                <w:rStyle w:val="Hyperlink"/>
                <w:noProof/>
              </w:rPr>
              <w:t>4.</w:t>
            </w:r>
            <w:r>
              <w:rPr>
                <w:rFonts w:asciiTheme="minorHAnsi" w:eastAsiaTheme="minorEastAsia" w:hAnsiTheme="minorHAnsi"/>
                <w:noProof/>
                <w:sz w:val="24"/>
                <w:szCs w:val="24"/>
                <w:lang w:eastAsia="en-GB"/>
              </w:rPr>
              <w:tab/>
            </w:r>
            <w:r w:rsidRPr="003D679C">
              <w:rPr>
                <w:rStyle w:val="Hyperlink"/>
                <w:noProof/>
              </w:rPr>
              <w:t>Background to this review</w:t>
            </w:r>
            <w:r>
              <w:rPr>
                <w:noProof/>
                <w:webHidden/>
              </w:rPr>
              <w:tab/>
            </w:r>
            <w:r>
              <w:rPr>
                <w:noProof/>
                <w:webHidden/>
              </w:rPr>
              <w:fldChar w:fldCharType="begin"/>
            </w:r>
            <w:r>
              <w:rPr>
                <w:noProof/>
                <w:webHidden/>
              </w:rPr>
              <w:instrText xml:space="preserve"> PAGEREF _Toc230780607 \h </w:instrText>
            </w:r>
            <w:r>
              <w:rPr>
                <w:noProof/>
                <w:webHidden/>
              </w:rPr>
            </w:r>
            <w:r>
              <w:rPr>
                <w:noProof/>
                <w:webHidden/>
              </w:rPr>
              <w:fldChar w:fldCharType="separate"/>
            </w:r>
            <w:r>
              <w:rPr>
                <w:noProof/>
                <w:webHidden/>
              </w:rPr>
              <w:t>6</w:t>
            </w:r>
            <w:r>
              <w:rPr>
                <w:noProof/>
                <w:webHidden/>
              </w:rPr>
              <w:fldChar w:fldCharType="end"/>
            </w:r>
          </w:hyperlink>
        </w:p>
        <w:p w14:paraId="2CFBAC39" w14:textId="1933F035" w:rsidR="001F69F0" w:rsidRDefault="001F69F0">
          <w:pPr>
            <w:pStyle w:val="TOC1"/>
            <w:tabs>
              <w:tab w:val="left" w:pos="480"/>
              <w:tab w:val="right" w:leader="dot" w:pos="9016"/>
            </w:tabs>
            <w:rPr>
              <w:rFonts w:asciiTheme="minorHAnsi" w:eastAsiaTheme="minorEastAsia" w:hAnsiTheme="minorHAnsi"/>
              <w:noProof/>
              <w:sz w:val="24"/>
              <w:szCs w:val="24"/>
              <w:lang w:eastAsia="en-GB"/>
            </w:rPr>
          </w:pPr>
          <w:hyperlink w:anchor="_Toc230780608" w:history="1">
            <w:r w:rsidRPr="003D679C">
              <w:rPr>
                <w:rStyle w:val="Hyperlink"/>
                <w:noProof/>
              </w:rPr>
              <w:t>5.</w:t>
            </w:r>
            <w:r>
              <w:rPr>
                <w:rFonts w:asciiTheme="minorHAnsi" w:eastAsiaTheme="minorEastAsia" w:hAnsiTheme="minorHAnsi"/>
                <w:noProof/>
                <w:sz w:val="24"/>
                <w:szCs w:val="24"/>
                <w:lang w:eastAsia="en-GB"/>
              </w:rPr>
              <w:tab/>
            </w:r>
            <w:r w:rsidRPr="003D679C">
              <w:rPr>
                <w:rStyle w:val="Hyperlink"/>
                <w:noProof/>
              </w:rPr>
              <w:t>Representations by Endocare</w:t>
            </w:r>
            <w:r>
              <w:rPr>
                <w:noProof/>
                <w:webHidden/>
              </w:rPr>
              <w:tab/>
            </w:r>
            <w:r>
              <w:rPr>
                <w:noProof/>
                <w:webHidden/>
              </w:rPr>
              <w:fldChar w:fldCharType="begin"/>
            </w:r>
            <w:r>
              <w:rPr>
                <w:noProof/>
                <w:webHidden/>
              </w:rPr>
              <w:instrText xml:space="preserve"> PAGEREF _Toc230780608 \h </w:instrText>
            </w:r>
            <w:r>
              <w:rPr>
                <w:noProof/>
                <w:webHidden/>
              </w:rPr>
            </w:r>
            <w:r>
              <w:rPr>
                <w:noProof/>
                <w:webHidden/>
              </w:rPr>
              <w:fldChar w:fldCharType="separate"/>
            </w:r>
            <w:r>
              <w:rPr>
                <w:noProof/>
                <w:webHidden/>
              </w:rPr>
              <w:t>7</w:t>
            </w:r>
            <w:r>
              <w:rPr>
                <w:noProof/>
                <w:webHidden/>
              </w:rPr>
              <w:fldChar w:fldCharType="end"/>
            </w:r>
          </w:hyperlink>
        </w:p>
        <w:p w14:paraId="4E0AD3CF" w14:textId="385EA8E9" w:rsidR="001F69F0" w:rsidRDefault="001F69F0">
          <w:pPr>
            <w:pStyle w:val="TOC1"/>
            <w:tabs>
              <w:tab w:val="left" w:pos="480"/>
              <w:tab w:val="right" w:leader="dot" w:pos="9016"/>
            </w:tabs>
            <w:rPr>
              <w:rFonts w:asciiTheme="minorHAnsi" w:eastAsiaTheme="minorEastAsia" w:hAnsiTheme="minorHAnsi"/>
              <w:noProof/>
              <w:sz w:val="24"/>
              <w:szCs w:val="24"/>
              <w:lang w:eastAsia="en-GB"/>
            </w:rPr>
          </w:pPr>
          <w:hyperlink w:anchor="_Toc230780609" w:history="1">
            <w:r w:rsidRPr="003D679C">
              <w:rPr>
                <w:rStyle w:val="Hyperlink"/>
                <w:noProof/>
              </w:rPr>
              <w:t>6.</w:t>
            </w:r>
            <w:r>
              <w:rPr>
                <w:rFonts w:asciiTheme="minorHAnsi" w:eastAsiaTheme="minorEastAsia" w:hAnsiTheme="minorHAnsi"/>
                <w:noProof/>
                <w:sz w:val="24"/>
                <w:szCs w:val="24"/>
                <w:lang w:eastAsia="en-GB"/>
              </w:rPr>
              <w:tab/>
            </w:r>
            <w:r w:rsidRPr="003D679C">
              <w:rPr>
                <w:rStyle w:val="Hyperlink"/>
                <w:noProof/>
              </w:rPr>
              <w:t>PSR regulations relevant to this review</w:t>
            </w:r>
            <w:r>
              <w:rPr>
                <w:noProof/>
                <w:webHidden/>
              </w:rPr>
              <w:tab/>
            </w:r>
            <w:r>
              <w:rPr>
                <w:noProof/>
                <w:webHidden/>
              </w:rPr>
              <w:fldChar w:fldCharType="begin"/>
            </w:r>
            <w:r>
              <w:rPr>
                <w:noProof/>
                <w:webHidden/>
              </w:rPr>
              <w:instrText xml:space="preserve"> PAGEREF _Toc230780609 \h </w:instrText>
            </w:r>
            <w:r>
              <w:rPr>
                <w:noProof/>
                <w:webHidden/>
              </w:rPr>
            </w:r>
            <w:r>
              <w:rPr>
                <w:noProof/>
                <w:webHidden/>
              </w:rPr>
              <w:fldChar w:fldCharType="separate"/>
            </w:r>
            <w:r>
              <w:rPr>
                <w:noProof/>
                <w:webHidden/>
              </w:rPr>
              <w:t>8</w:t>
            </w:r>
            <w:r>
              <w:rPr>
                <w:noProof/>
                <w:webHidden/>
              </w:rPr>
              <w:fldChar w:fldCharType="end"/>
            </w:r>
          </w:hyperlink>
        </w:p>
        <w:p w14:paraId="106C8285" w14:textId="0E3F0A7B" w:rsidR="001F69F0" w:rsidRDefault="001F69F0">
          <w:pPr>
            <w:pStyle w:val="TOC1"/>
            <w:tabs>
              <w:tab w:val="left" w:pos="480"/>
              <w:tab w:val="right" w:leader="dot" w:pos="9016"/>
            </w:tabs>
            <w:rPr>
              <w:rFonts w:asciiTheme="minorHAnsi" w:eastAsiaTheme="minorEastAsia" w:hAnsiTheme="minorHAnsi"/>
              <w:noProof/>
              <w:sz w:val="24"/>
              <w:szCs w:val="24"/>
              <w:lang w:eastAsia="en-GB"/>
            </w:rPr>
          </w:pPr>
          <w:hyperlink w:anchor="_Toc230780610" w:history="1">
            <w:r w:rsidRPr="003D679C">
              <w:rPr>
                <w:rStyle w:val="Hyperlink"/>
                <w:noProof/>
              </w:rPr>
              <w:t>7.</w:t>
            </w:r>
            <w:r>
              <w:rPr>
                <w:rFonts w:asciiTheme="minorHAnsi" w:eastAsiaTheme="minorEastAsia" w:hAnsiTheme="minorHAnsi"/>
                <w:noProof/>
                <w:sz w:val="24"/>
                <w:szCs w:val="24"/>
                <w:lang w:eastAsia="en-GB"/>
              </w:rPr>
              <w:tab/>
            </w:r>
            <w:r w:rsidRPr="003D679C">
              <w:rPr>
                <w:rStyle w:val="Hyperlink"/>
                <w:noProof/>
              </w:rPr>
              <w:t>Panel Assessment</w:t>
            </w:r>
            <w:r>
              <w:rPr>
                <w:noProof/>
                <w:webHidden/>
              </w:rPr>
              <w:tab/>
            </w:r>
            <w:r>
              <w:rPr>
                <w:noProof/>
                <w:webHidden/>
              </w:rPr>
              <w:fldChar w:fldCharType="begin"/>
            </w:r>
            <w:r>
              <w:rPr>
                <w:noProof/>
                <w:webHidden/>
              </w:rPr>
              <w:instrText xml:space="preserve"> PAGEREF _Toc230780610 \h </w:instrText>
            </w:r>
            <w:r>
              <w:rPr>
                <w:noProof/>
                <w:webHidden/>
              </w:rPr>
            </w:r>
            <w:r>
              <w:rPr>
                <w:noProof/>
                <w:webHidden/>
              </w:rPr>
              <w:fldChar w:fldCharType="separate"/>
            </w:r>
            <w:r>
              <w:rPr>
                <w:noProof/>
                <w:webHidden/>
              </w:rPr>
              <w:t>9</w:t>
            </w:r>
            <w:r>
              <w:rPr>
                <w:noProof/>
                <w:webHidden/>
              </w:rPr>
              <w:fldChar w:fldCharType="end"/>
            </w:r>
          </w:hyperlink>
        </w:p>
        <w:p w14:paraId="2DD7E562" w14:textId="46CD4DDB" w:rsidR="001F69F0" w:rsidRDefault="001F69F0">
          <w:pPr>
            <w:pStyle w:val="TOC2"/>
            <w:tabs>
              <w:tab w:val="left" w:pos="960"/>
              <w:tab w:val="right" w:leader="dot" w:pos="9016"/>
            </w:tabs>
            <w:rPr>
              <w:rFonts w:asciiTheme="minorHAnsi" w:eastAsiaTheme="minorEastAsia" w:hAnsiTheme="minorHAnsi"/>
              <w:noProof/>
              <w:sz w:val="24"/>
              <w:szCs w:val="24"/>
              <w:lang w:eastAsia="en-GB"/>
            </w:rPr>
          </w:pPr>
          <w:hyperlink w:anchor="_Toc230780611" w:history="1">
            <w:r w:rsidRPr="003D679C">
              <w:rPr>
                <w:rStyle w:val="Hyperlink"/>
                <w:noProof/>
              </w:rPr>
              <w:t>7.1</w:t>
            </w:r>
            <w:r>
              <w:rPr>
                <w:rFonts w:asciiTheme="minorHAnsi" w:eastAsiaTheme="minorEastAsia" w:hAnsiTheme="minorHAnsi"/>
                <w:noProof/>
                <w:sz w:val="24"/>
                <w:szCs w:val="24"/>
                <w:lang w:eastAsia="en-GB"/>
              </w:rPr>
              <w:tab/>
            </w:r>
            <w:r w:rsidRPr="003D679C">
              <w:rPr>
                <w:rStyle w:val="Hyperlink"/>
                <w:noProof/>
              </w:rPr>
              <w:t>NCA’s evaluation and scoring of quality-related questions</w:t>
            </w:r>
            <w:r>
              <w:rPr>
                <w:noProof/>
                <w:webHidden/>
              </w:rPr>
              <w:tab/>
            </w:r>
            <w:r>
              <w:rPr>
                <w:noProof/>
                <w:webHidden/>
              </w:rPr>
              <w:fldChar w:fldCharType="begin"/>
            </w:r>
            <w:r>
              <w:rPr>
                <w:noProof/>
                <w:webHidden/>
              </w:rPr>
              <w:instrText xml:space="preserve"> PAGEREF _Toc230780611 \h </w:instrText>
            </w:r>
            <w:r>
              <w:rPr>
                <w:noProof/>
                <w:webHidden/>
              </w:rPr>
            </w:r>
            <w:r>
              <w:rPr>
                <w:noProof/>
                <w:webHidden/>
              </w:rPr>
              <w:fldChar w:fldCharType="separate"/>
            </w:r>
            <w:r>
              <w:rPr>
                <w:noProof/>
                <w:webHidden/>
              </w:rPr>
              <w:t>10</w:t>
            </w:r>
            <w:r>
              <w:rPr>
                <w:noProof/>
                <w:webHidden/>
              </w:rPr>
              <w:fldChar w:fldCharType="end"/>
            </w:r>
          </w:hyperlink>
        </w:p>
        <w:p w14:paraId="4E87BBDD" w14:textId="5EEEA56A" w:rsidR="001F69F0" w:rsidRDefault="001F69F0">
          <w:pPr>
            <w:pStyle w:val="TOC2"/>
            <w:tabs>
              <w:tab w:val="left" w:pos="960"/>
              <w:tab w:val="right" w:leader="dot" w:pos="9016"/>
            </w:tabs>
            <w:rPr>
              <w:rFonts w:asciiTheme="minorHAnsi" w:eastAsiaTheme="minorEastAsia" w:hAnsiTheme="minorHAnsi"/>
              <w:noProof/>
              <w:sz w:val="24"/>
              <w:szCs w:val="24"/>
              <w:lang w:eastAsia="en-GB"/>
            </w:rPr>
          </w:pPr>
          <w:hyperlink w:anchor="_Toc230780612" w:history="1">
            <w:r w:rsidRPr="003D679C">
              <w:rPr>
                <w:rStyle w:val="Hyperlink"/>
                <w:noProof/>
              </w:rPr>
              <w:t>7.2</w:t>
            </w:r>
            <w:r>
              <w:rPr>
                <w:rFonts w:asciiTheme="minorHAnsi" w:eastAsiaTheme="minorEastAsia" w:hAnsiTheme="minorHAnsi"/>
                <w:noProof/>
                <w:sz w:val="24"/>
                <w:szCs w:val="24"/>
                <w:lang w:eastAsia="en-GB"/>
              </w:rPr>
              <w:tab/>
            </w:r>
            <w:r w:rsidRPr="003D679C">
              <w:rPr>
                <w:rStyle w:val="Hyperlink"/>
                <w:noProof/>
              </w:rPr>
              <w:t>NCA’s evaluation and scoring of bidders’ commercial offers</w:t>
            </w:r>
            <w:r>
              <w:rPr>
                <w:noProof/>
                <w:webHidden/>
              </w:rPr>
              <w:tab/>
            </w:r>
            <w:r>
              <w:rPr>
                <w:noProof/>
                <w:webHidden/>
              </w:rPr>
              <w:fldChar w:fldCharType="begin"/>
            </w:r>
            <w:r>
              <w:rPr>
                <w:noProof/>
                <w:webHidden/>
              </w:rPr>
              <w:instrText xml:space="preserve"> PAGEREF _Toc230780612 \h </w:instrText>
            </w:r>
            <w:r>
              <w:rPr>
                <w:noProof/>
                <w:webHidden/>
              </w:rPr>
            </w:r>
            <w:r>
              <w:rPr>
                <w:noProof/>
                <w:webHidden/>
              </w:rPr>
              <w:fldChar w:fldCharType="separate"/>
            </w:r>
            <w:r>
              <w:rPr>
                <w:noProof/>
                <w:webHidden/>
              </w:rPr>
              <w:t>15</w:t>
            </w:r>
            <w:r>
              <w:rPr>
                <w:noProof/>
                <w:webHidden/>
              </w:rPr>
              <w:fldChar w:fldCharType="end"/>
            </w:r>
          </w:hyperlink>
        </w:p>
        <w:p w14:paraId="483EF044" w14:textId="0E18B032" w:rsidR="001F69F0" w:rsidRDefault="001F69F0">
          <w:pPr>
            <w:pStyle w:val="TOC2"/>
            <w:tabs>
              <w:tab w:val="left" w:pos="960"/>
              <w:tab w:val="right" w:leader="dot" w:pos="9016"/>
            </w:tabs>
            <w:rPr>
              <w:rFonts w:asciiTheme="minorHAnsi" w:eastAsiaTheme="minorEastAsia" w:hAnsiTheme="minorHAnsi"/>
              <w:noProof/>
              <w:sz w:val="24"/>
              <w:szCs w:val="24"/>
              <w:lang w:eastAsia="en-GB"/>
            </w:rPr>
          </w:pPr>
          <w:hyperlink w:anchor="_Toc230780613" w:history="1">
            <w:r w:rsidRPr="003D679C">
              <w:rPr>
                <w:rStyle w:val="Hyperlink"/>
                <w:noProof/>
              </w:rPr>
              <w:t>7.3</w:t>
            </w:r>
            <w:r>
              <w:rPr>
                <w:rFonts w:asciiTheme="minorHAnsi" w:eastAsiaTheme="minorEastAsia" w:hAnsiTheme="minorHAnsi"/>
                <w:noProof/>
                <w:sz w:val="24"/>
                <w:szCs w:val="24"/>
                <w:lang w:eastAsia="en-GB"/>
              </w:rPr>
              <w:tab/>
            </w:r>
            <w:r w:rsidRPr="003D679C">
              <w:rPr>
                <w:rStyle w:val="Hyperlink"/>
                <w:noProof/>
              </w:rPr>
              <w:t>NCA’s review of Endocare’s representations</w:t>
            </w:r>
            <w:r>
              <w:rPr>
                <w:noProof/>
                <w:webHidden/>
              </w:rPr>
              <w:tab/>
            </w:r>
            <w:r>
              <w:rPr>
                <w:noProof/>
                <w:webHidden/>
              </w:rPr>
              <w:fldChar w:fldCharType="begin"/>
            </w:r>
            <w:r>
              <w:rPr>
                <w:noProof/>
                <w:webHidden/>
              </w:rPr>
              <w:instrText xml:space="preserve"> PAGEREF _Toc230780613 \h </w:instrText>
            </w:r>
            <w:r>
              <w:rPr>
                <w:noProof/>
                <w:webHidden/>
              </w:rPr>
            </w:r>
            <w:r>
              <w:rPr>
                <w:noProof/>
                <w:webHidden/>
              </w:rPr>
              <w:fldChar w:fldCharType="separate"/>
            </w:r>
            <w:r>
              <w:rPr>
                <w:noProof/>
                <w:webHidden/>
              </w:rPr>
              <w:t>19</w:t>
            </w:r>
            <w:r>
              <w:rPr>
                <w:noProof/>
                <w:webHidden/>
              </w:rPr>
              <w:fldChar w:fldCharType="end"/>
            </w:r>
          </w:hyperlink>
        </w:p>
        <w:p w14:paraId="31943885" w14:textId="0C35E0B4" w:rsidR="001F69F0" w:rsidRDefault="001F69F0">
          <w:pPr>
            <w:pStyle w:val="TOC1"/>
            <w:tabs>
              <w:tab w:val="left" w:pos="480"/>
              <w:tab w:val="right" w:leader="dot" w:pos="9016"/>
            </w:tabs>
            <w:rPr>
              <w:rFonts w:asciiTheme="minorHAnsi" w:eastAsiaTheme="minorEastAsia" w:hAnsiTheme="minorHAnsi"/>
              <w:noProof/>
              <w:sz w:val="24"/>
              <w:szCs w:val="24"/>
              <w:lang w:eastAsia="en-GB"/>
            </w:rPr>
          </w:pPr>
          <w:hyperlink w:anchor="_Toc230780614" w:history="1">
            <w:r w:rsidRPr="003D679C">
              <w:rPr>
                <w:rStyle w:val="Hyperlink"/>
                <w:noProof/>
              </w:rPr>
              <w:t>8.</w:t>
            </w:r>
            <w:r>
              <w:rPr>
                <w:rFonts w:asciiTheme="minorHAnsi" w:eastAsiaTheme="minorEastAsia" w:hAnsiTheme="minorHAnsi"/>
                <w:noProof/>
                <w:sz w:val="24"/>
                <w:szCs w:val="24"/>
                <w:lang w:eastAsia="en-GB"/>
              </w:rPr>
              <w:tab/>
            </w:r>
            <w:r w:rsidRPr="003D679C">
              <w:rPr>
                <w:rStyle w:val="Hyperlink"/>
                <w:noProof/>
              </w:rPr>
              <w:t>Panel Advice</w:t>
            </w:r>
            <w:r>
              <w:rPr>
                <w:noProof/>
                <w:webHidden/>
              </w:rPr>
              <w:tab/>
            </w:r>
            <w:r>
              <w:rPr>
                <w:noProof/>
                <w:webHidden/>
              </w:rPr>
              <w:fldChar w:fldCharType="begin"/>
            </w:r>
            <w:r>
              <w:rPr>
                <w:noProof/>
                <w:webHidden/>
              </w:rPr>
              <w:instrText xml:space="preserve"> PAGEREF _Toc230780614 \h </w:instrText>
            </w:r>
            <w:r>
              <w:rPr>
                <w:noProof/>
                <w:webHidden/>
              </w:rPr>
            </w:r>
            <w:r>
              <w:rPr>
                <w:noProof/>
                <w:webHidden/>
              </w:rPr>
              <w:fldChar w:fldCharType="separate"/>
            </w:r>
            <w:r>
              <w:rPr>
                <w:noProof/>
                <w:webHidden/>
              </w:rPr>
              <w:t>22</w:t>
            </w:r>
            <w:r>
              <w:rPr>
                <w:noProof/>
                <w:webHidden/>
              </w:rPr>
              <w:fldChar w:fldCharType="end"/>
            </w:r>
          </w:hyperlink>
        </w:p>
        <w:p w14:paraId="6F05FCE2" w14:textId="1E491BAA" w:rsidR="005B530D" w:rsidRDefault="005B530D">
          <w:r>
            <w:rPr>
              <w:b/>
              <w:bCs/>
            </w:rPr>
            <w:fldChar w:fldCharType="end"/>
          </w:r>
        </w:p>
      </w:sdtContent>
    </w:sdt>
    <w:p w14:paraId="08CB59AE" w14:textId="72FD3851" w:rsidR="00E74C7C" w:rsidRDefault="00E74C7C">
      <w:pPr>
        <w:rPr>
          <w:rFonts w:eastAsiaTheme="majorEastAsia" w:cs="Arial"/>
          <w:b/>
          <w:bCs/>
          <w:color w:val="0070C0"/>
          <w:spacing w:val="15"/>
          <w:sz w:val="28"/>
          <w:szCs w:val="24"/>
        </w:rPr>
      </w:pPr>
      <w:r>
        <w:rPr>
          <w:rFonts w:cs="Arial"/>
          <w:b/>
          <w:bCs/>
          <w:color w:val="0070C0"/>
          <w:szCs w:val="24"/>
        </w:rPr>
        <w:br w:type="page"/>
      </w:r>
    </w:p>
    <w:p w14:paraId="7766794D" w14:textId="789F19C4" w:rsidR="007B56C4" w:rsidRPr="00DB70FE" w:rsidRDefault="00E74C7C" w:rsidP="00016968">
      <w:pPr>
        <w:pStyle w:val="Heading1"/>
      </w:pPr>
      <w:bookmarkStart w:id="0" w:name="_Toc230780604"/>
      <w:r w:rsidRPr="00DB70FE">
        <w:lastRenderedPageBreak/>
        <w:t>Executive Summary</w:t>
      </w:r>
      <w:bookmarkEnd w:id="0"/>
    </w:p>
    <w:p w14:paraId="2DBC560F" w14:textId="480211EE" w:rsidR="00F323F5" w:rsidRDefault="00F323F5" w:rsidP="0033252F">
      <w:pPr>
        <w:pStyle w:val="ListParagraph"/>
      </w:pPr>
      <w:r>
        <w:t>On 24 February 2026, Endocare Diagnostics Ltd (Endocare) asked the Independent Patient Choice and Procurement Panel (the Panel) to advise on the provider selection process conducted by Northern Care Alliance NHS Foundation Trust (NCA) for its Digestive Diseases Insourcing Service (DDIS).</w:t>
      </w:r>
    </w:p>
    <w:p w14:paraId="2D3E4A07" w14:textId="0FE68533" w:rsidR="00F323F5" w:rsidRDefault="00F323F5" w:rsidP="00F323F5">
      <w:pPr>
        <w:pStyle w:val="ListParagraph"/>
      </w:pPr>
      <w:r>
        <w:t>NCA used the competitive process under the Provider Selection Regime (PSR) regulations</w:t>
      </w:r>
      <w:r w:rsidRPr="0037521E">
        <w:t xml:space="preserve"> </w:t>
      </w:r>
      <w:r>
        <w:t xml:space="preserve">to </w:t>
      </w:r>
      <w:r w:rsidRPr="0037521E">
        <w:t xml:space="preserve">select a provider for its </w:t>
      </w:r>
      <w:r w:rsidRPr="001518EF">
        <w:t>DDIS</w:t>
      </w:r>
      <w:r>
        <w:t xml:space="preserve"> via a ‘mini competition’ between providers accredited to the NHS Workforce Alliance framework agreement.</w:t>
      </w:r>
    </w:p>
    <w:p w14:paraId="459D5844" w14:textId="363A5951" w:rsidR="00F0784B" w:rsidRDefault="00F0784B" w:rsidP="00F0784B">
      <w:pPr>
        <w:pStyle w:val="ListParagraph"/>
      </w:pPr>
      <w:r>
        <w:t>DDIS</w:t>
      </w:r>
      <w:r w:rsidRPr="00821BAC">
        <w:t xml:space="preserve"> </w:t>
      </w:r>
      <w:r w:rsidR="002F5C6C">
        <w:t xml:space="preserve">at NCA </w:t>
      </w:r>
      <w:r w:rsidRPr="00821BAC">
        <w:t>include</w:t>
      </w:r>
      <w:r>
        <w:t>s</w:t>
      </w:r>
      <w:r w:rsidRPr="00821BAC">
        <w:t xml:space="preserve"> </w:t>
      </w:r>
      <w:r>
        <w:t>e</w:t>
      </w:r>
      <w:r w:rsidRPr="00821BAC">
        <w:t xml:space="preserve">ndoscopy </w:t>
      </w:r>
      <w:r w:rsidR="008548CC">
        <w:t xml:space="preserve">services as well as </w:t>
      </w:r>
      <w:r w:rsidR="002F5C6C">
        <w:t xml:space="preserve">outpatient </w:t>
      </w:r>
      <w:r>
        <w:t>s</w:t>
      </w:r>
      <w:r w:rsidRPr="00821BAC">
        <w:t>ervices</w:t>
      </w:r>
      <w:r w:rsidR="002F5C6C">
        <w:t xml:space="preserve"> in </w:t>
      </w:r>
      <w:r>
        <w:t>g</w:t>
      </w:r>
      <w:r w:rsidRPr="00821BAC">
        <w:t>astroenterology</w:t>
      </w:r>
      <w:r w:rsidR="002F5C6C">
        <w:t>,</w:t>
      </w:r>
      <w:r w:rsidRPr="00821BAC">
        <w:t xml:space="preserve"> </w:t>
      </w:r>
      <w:r>
        <w:t>c</w:t>
      </w:r>
      <w:r w:rsidRPr="00821BAC">
        <w:t xml:space="preserve">olorectal </w:t>
      </w:r>
      <w:r w:rsidR="002F5C6C">
        <w:t xml:space="preserve">surgery </w:t>
      </w:r>
      <w:r w:rsidRPr="00821BAC">
        <w:t xml:space="preserve">and </w:t>
      </w:r>
      <w:r>
        <w:t>g</w:t>
      </w:r>
      <w:r w:rsidRPr="00821BAC">
        <w:t xml:space="preserve">eneral </w:t>
      </w:r>
      <w:r>
        <w:t>s</w:t>
      </w:r>
      <w:r w:rsidRPr="00821BAC">
        <w:t xml:space="preserve">urgery across </w:t>
      </w:r>
      <w:r>
        <w:t>NCA’s</w:t>
      </w:r>
      <w:r w:rsidRPr="00821BAC">
        <w:t xml:space="preserve"> four hospital</w:t>
      </w:r>
      <w:r>
        <w:t>s</w:t>
      </w:r>
      <w:r w:rsidRPr="00821BAC">
        <w:t>, namely Fairfield General, Rochdale Infirmary</w:t>
      </w:r>
      <w:r>
        <w:t>,</w:t>
      </w:r>
      <w:r w:rsidRPr="00821BAC">
        <w:t xml:space="preserve"> The Royal Oldham and Salford Royal.</w:t>
      </w:r>
      <w:r w:rsidR="001533E1">
        <w:t xml:space="preserve"> </w:t>
      </w:r>
      <w:r>
        <w:t xml:space="preserve">Endocare, the incumbent supplier, </w:t>
      </w:r>
      <w:r w:rsidRPr="00C51DF4">
        <w:t xml:space="preserve">has been providing </w:t>
      </w:r>
      <w:r>
        <w:t>DDIS</w:t>
      </w:r>
      <w:r w:rsidRPr="00C51DF4">
        <w:t xml:space="preserve"> </w:t>
      </w:r>
      <w:r w:rsidR="00160A7B">
        <w:t>at</w:t>
      </w:r>
      <w:r w:rsidRPr="00C51DF4">
        <w:t xml:space="preserve"> NCA since </w:t>
      </w:r>
      <w:r w:rsidRPr="00AE2726">
        <w:t xml:space="preserve">2017, </w:t>
      </w:r>
      <w:r>
        <w:t xml:space="preserve">winning contracts </w:t>
      </w:r>
      <w:r w:rsidRPr="00AE2726">
        <w:t xml:space="preserve">following competitive </w:t>
      </w:r>
      <w:r>
        <w:t xml:space="preserve">selection </w:t>
      </w:r>
      <w:r w:rsidRPr="00AE2726">
        <w:t>process</w:t>
      </w:r>
      <w:r>
        <w:t>es</w:t>
      </w:r>
      <w:r w:rsidRPr="00AE2726">
        <w:t xml:space="preserve"> in 2018 and 2021.</w:t>
      </w:r>
      <w:r>
        <w:t xml:space="preserve"> </w:t>
      </w:r>
      <w:r w:rsidRPr="00027321">
        <w:t>Endocare’s current contract was due to end on 28 February 2026.</w:t>
      </w:r>
    </w:p>
    <w:p w14:paraId="596A1590" w14:textId="56D96917" w:rsidR="00F0784B" w:rsidRPr="00821BAC" w:rsidRDefault="00F0784B" w:rsidP="00F0784B">
      <w:pPr>
        <w:pStyle w:val="ListParagraph"/>
      </w:pPr>
      <w:r>
        <w:t xml:space="preserve">On 13 October 2025, NCA published a notice on the Find a Tender Service website, setting out its intention to conduct a mini competition between suppliers on </w:t>
      </w:r>
      <w:r w:rsidRPr="00821BAC">
        <w:t>the NHS Workforce Alliance Framework Agreement</w:t>
      </w:r>
      <w:r>
        <w:t xml:space="preserve"> with a link to the tender documentation.</w:t>
      </w:r>
      <w:r w:rsidR="004F3873">
        <w:t xml:space="preserve"> </w:t>
      </w:r>
      <w:r w:rsidRPr="00821BAC">
        <w:t xml:space="preserve">The proposed contract has a two year duration with the option of a one year extension. </w:t>
      </w:r>
      <w:r w:rsidR="000C1C6E">
        <w:t>T</w:t>
      </w:r>
      <w:r w:rsidR="000C1C6E" w:rsidRPr="00821BAC">
        <w:t xml:space="preserve">he </w:t>
      </w:r>
      <w:r w:rsidR="000C1C6E">
        <w:t xml:space="preserve">contract’s </w:t>
      </w:r>
      <w:r w:rsidR="000C1C6E" w:rsidRPr="00821BAC">
        <w:t xml:space="preserve">total value over </w:t>
      </w:r>
      <w:r w:rsidR="000C1C6E">
        <w:t>its</w:t>
      </w:r>
      <w:r w:rsidR="000C1C6E" w:rsidRPr="00821BAC">
        <w:t xml:space="preserve"> full three year duration is approximately £9.6m (excluding VAT)</w:t>
      </w:r>
      <w:r w:rsidR="000C1C6E">
        <w:t xml:space="preserve">. The intended commencement date for the contract </w:t>
      </w:r>
      <w:r w:rsidR="000C1C6E" w:rsidRPr="00821BAC">
        <w:t>was 1 April 2026</w:t>
      </w:r>
      <w:r w:rsidR="000C1C6E">
        <w:t>.</w:t>
      </w:r>
    </w:p>
    <w:p w14:paraId="27D5B186" w14:textId="77777777" w:rsidR="00FA7AF4" w:rsidRDefault="00F0784B" w:rsidP="00F0784B">
      <w:pPr>
        <w:pStyle w:val="ListParagraph"/>
      </w:pPr>
      <w:r w:rsidRPr="00821BAC">
        <w:t xml:space="preserve">NCA received </w:t>
      </w:r>
      <w:r>
        <w:t>proposals</w:t>
      </w:r>
      <w:r w:rsidRPr="00821BAC">
        <w:t xml:space="preserve"> from twelve providers</w:t>
      </w:r>
      <w:r>
        <w:t xml:space="preserve">, </w:t>
      </w:r>
      <w:r w:rsidRPr="00821BAC">
        <w:t xml:space="preserve">including Endocare and </w:t>
      </w:r>
      <w:r>
        <w:t xml:space="preserve">the successful bidder, </w:t>
      </w:r>
      <w:r w:rsidRPr="00821BAC">
        <w:t>Venture Health Group Ltd (Venture</w:t>
      </w:r>
      <w:r>
        <w:t>).</w:t>
      </w:r>
    </w:p>
    <w:p w14:paraId="44BC90F1" w14:textId="19E6FE43" w:rsidR="00F0784B" w:rsidRPr="00C51DF4" w:rsidRDefault="0096460A" w:rsidP="00F0784B">
      <w:pPr>
        <w:pStyle w:val="ListParagraph"/>
      </w:pPr>
      <w:r>
        <w:t>T</w:t>
      </w:r>
      <w:r w:rsidR="00F0784B">
        <w:t xml:space="preserve">he Panel understands </w:t>
      </w:r>
      <w:r>
        <w:t>that</w:t>
      </w:r>
      <w:r w:rsidR="00F0784B">
        <w:t xml:space="preserve"> Endocare and Venture are both owned, or part-owned, by NCA employees.</w:t>
      </w:r>
      <w:r w:rsidR="00FA7AF4">
        <w:t xml:space="preserve"> </w:t>
      </w:r>
      <w:r w:rsidR="00F0784B" w:rsidRPr="00C51DF4">
        <w:t xml:space="preserve">Endocare was formed </w:t>
      </w:r>
      <w:r w:rsidR="00F0784B">
        <w:t xml:space="preserve">in 2017 </w:t>
      </w:r>
      <w:r w:rsidR="00F0784B" w:rsidRPr="00C51DF4">
        <w:t xml:space="preserve">by four </w:t>
      </w:r>
      <w:r w:rsidR="00F0784B">
        <w:t>c</w:t>
      </w:r>
      <w:r w:rsidR="00F0784B" w:rsidRPr="00C51DF4">
        <w:t xml:space="preserve">onsultant </w:t>
      </w:r>
      <w:r w:rsidR="00F0784B">
        <w:t>g</w:t>
      </w:r>
      <w:r w:rsidR="00F0784B" w:rsidRPr="00C51DF4">
        <w:t xml:space="preserve">astroenterologists </w:t>
      </w:r>
      <w:r w:rsidR="00A444D8">
        <w:t>at</w:t>
      </w:r>
      <w:r w:rsidR="00F0784B">
        <w:t xml:space="preserve"> NCA, three of whom remain NCA employees</w:t>
      </w:r>
      <w:r w:rsidR="00F0784B" w:rsidRPr="00C51DF4">
        <w:t>.</w:t>
      </w:r>
      <w:r w:rsidR="00F0784B" w:rsidRPr="00027321">
        <w:t xml:space="preserve"> </w:t>
      </w:r>
      <w:r w:rsidR="00F0784B">
        <w:t>Endocare supplies gastroenterology services to other NHS acute trusts and also caters for private patients. Venture, according to its website, was established in 2024 and provides insourcing services in 14 specialties at multiple NHS trusts. Venture is an incumbent supplier of neurology, gynaecology and ophthalmology insourcing services</w:t>
      </w:r>
      <w:r w:rsidR="00373C2B">
        <w:t xml:space="preserve"> at NCA</w:t>
      </w:r>
      <w:r w:rsidR="00F0784B">
        <w:t>.</w:t>
      </w:r>
    </w:p>
    <w:p w14:paraId="11114B70" w14:textId="583BBF04" w:rsidR="00F0784B" w:rsidRDefault="00F0784B" w:rsidP="00F0784B">
      <w:pPr>
        <w:pStyle w:val="ListParagraph"/>
      </w:pPr>
      <w:r w:rsidRPr="00821BAC">
        <w:t xml:space="preserve">On 16 January 2026, NCA </w:t>
      </w:r>
      <w:r>
        <w:t xml:space="preserve">informed bidders </w:t>
      </w:r>
      <w:r w:rsidR="00F75E92" w:rsidRPr="00F75E92">
        <w:t xml:space="preserve">of the outcome of the provider selection process </w:t>
      </w:r>
      <w:r>
        <w:t xml:space="preserve">and published a notice announcing </w:t>
      </w:r>
      <w:r w:rsidRPr="00821BAC">
        <w:t>Venture as the successful bidder.</w:t>
      </w:r>
      <w:r>
        <w:t xml:space="preserve"> Endocare’s proposal was ranked fourth.</w:t>
      </w:r>
    </w:p>
    <w:p w14:paraId="5F87D204" w14:textId="6FAD29CD" w:rsidR="00F0784B" w:rsidRPr="00821BAC" w:rsidRDefault="00F0784B" w:rsidP="00F0784B">
      <w:pPr>
        <w:pStyle w:val="ListParagraph"/>
      </w:pPr>
      <w:r w:rsidRPr="00821BAC">
        <w:t>On 26 January</w:t>
      </w:r>
      <w:r>
        <w:t xml:space="preserve"> 2026</w:t>
      </w:r>
      <w:r w:rsidRPr="00821BAC">
        <w:t>, before the end of the standstill period, Endocare raised concerns with NCA about the provider selection process.</w:t>
      </w:r>
      <w:r>
        <w:t xml:space="preserve"> </w:t>
      </w:r>
      <w:r w:rsidR="00D549D1">
        <w:t>On 17 February</w:t>
      </w:r>
      <w:r w:rsidR="00B779CC">
        <w:t xml:space="preserve"> 2026</w:t>
      </w:r>
      <w:r w:rsidR="00D549D1">
        <w:t xml:space="preserve">, </w:t>
      </w:r>
      <w:r>
        <w:t xml:space="preserve">NCA </w:t>
      </w:r>
      <w:r w:rsidRPr="00821BAC">
        <w:t>communicated its further decision to proceed with the contract award to Venture as intended.</w:t>
      </w:r>
    </w:p>
    <w:p w14:paraId="32C82804" w14:textId="1DC0E3B0" w:rsidR="00C722D6" w:rsidRDefault="00044A88" w:rsidP="00C722D6">
      <w:pPr>
        <w:pStyle w:val="ListParagraph"/>
      </w:pPr>
      <w:r>
        <w:t>T</w:t>
      </w:r>
      <w:r w:rsidR="00C722D6" w:rsidRPr="008A234C">
        <w:t xml:space="preserve">he </w:t>
      </w:r>
      <w:r w:rsidR="00C722D6" w:rsidRPr="00173BC8">
        <w:t>Panel’s</w:t>
      </w:r>
      <w:r w:rsidR="00C722D6" w:rsidRPr="008A234C">
        <w:t xml:space="preserve"> findings</w:t>
      </w:r>
      <w:r w:rsidR="00C722D6" w:rsidRPr="00173BC8">
        <w:t xml:space="preserve"> </w:t>
      </w:r>
      <w:r w:rsidR="00C722D6" w:rsidRPr="008A234C">
        <w:t>on the provider selection process ca</w:t>
      </w:r>
      <w:r w:rsidR="00AF7E9E">
        <w:t>r</w:t>
      </w:r>
      <w:r w:rsidR="00C722D6" w:rsidRPr="008A234C">
        <w:t xml:space="preserve">ried out by </w:t>
      </w:r>
      <w:r w:rsidR="00C722D6">
        <w:t xml:space="preserve">NCA </w:t>
      </w:r>
      <w:r w:rsidR="00C722D6" w:rsidRPr="008A234C">
        <w:t xml:space="preserve">for </w:t>
      </w:r>
      <w:r w:rsidR="00C722D6">
        <w:t xml:space="preserve">DDIS </w:t>
      </w:r>
      <w:r w:rsidR="00C722D6" w:rsidRPr="008A234C">
        <w:t>are as follows:</w:t>
      </w:r>
    </w:p>
    <w:p w14:paraId="43B3F705" w14:textId="0E99B904" w:rsidR="00C722D6" w:rsidRDefault="00C722D6" w:rsidP="00C722D6">
      <w:pPr>
        <w:pStyle w:val="ListParagraph"/>
        <w:numPr>
          <w:ilvl w:val="0"/>
          <w:numId w:val="14"/>
        </w:numPr>
        <w:ind w:left="1276"/>
      </w:pPr>
      <w:r w:rsidRPr="00C30098">
        <w:t xml:space="preserve">First, the Panel finds that NCA, by not applying the scoring definitions set out in the tender documentation when evaluating bidders’ proposals, breached the PSR regulations and in particular Regulation 4 which obliges commissioners to </w:t>
      </w:r>
      <w:r w:rsidRPr="00C30098">
        <w:lastRenderedPageBreak/>
        <w:t>act transparently and fairly and Regulation 11(5) which requires commissioner</w:t>
      </w:r>
      <w:r w:rsidR="003567B6">
        <w:t>s</w:t>
      </w:r>
      <w:r w:rsidRPr="00C30098">
        <w:t xml:space="preserve"> to assess any offers received in accordance with the contract award criteria.</w:t>
      </w:r>
    </w:p>
    <w:p w14:paraId="6A18654A" w14:textId="5AD650E0" w:rsidR="00C722D6" w:rsidRPr="00293A96" w:rsidRDefault="00C722D6" w:rsidP="00293A96">
      <w:pPr>
        <w:pStyle w:val="ListParagraph"/>
        <w:numPr>
          <w:ilvl w:val="0"/>
          <w:numId w:val="14"/>
        </w:numPr>
        <w:ind w:left="1276"/>
        <w:rPr>
          <w:rFonts w:cs="Arial"/>
        </w:rPr>
      </w:pPr>
      <w:r>
        <w:t>Second, the Panel finds that NCA</w:t>
      </w:r>
      <w:r>
        <w:rPr>
          <w:rFonts w:cs="Arial"/>
        </w:rPr>
        <w:t>, in evaluating and scoring Endocare’s proposal, did not breach the PSR regulations as a result of failing to consider relevant evidence</w:t>
      </w:r>
      <w:r w:rsidR="00A533A6">
        <w:rPr>
          <w:rFonts w:cs="Arial"/>
        </w:rPr>
        <w:t xml:space="preserve">, </w:t>
      </w:r>
      <w:r w:rsidR="00293A96" w:rsidRPr="00087742">
        <w:rPr>
          <w:rFonts w:cs="Arial"/>
        </w:rPr>
        <w:t>and in particular Regulation 4 which obliges commissioners to act transparently and fairly and Regulation 11(5) which requires commissioner</w:t>
      </w:r>
      <w:r w:rsidR="00596AC8">
        <w:rPr>
          <w:rFonts w:cs="Arial"/>
        </w:rPr>
        <w:t>s</w:t>
      </w:r>
      <w:r w:rsidR="00293A96" w:rsidRPr="00087742">
        <w:rPr>
          <w:rFonts w:cs="Arial"/>
        </w:rPr>
        <w:t xml:space="preserve"> to assess any offers received in accordance with the contract award criteria.</w:t>
      </w:r>
    </w:p>
    <w:p w14:paraId="44F2A5FE" w14:textId="6AE980E8" w:rsidR="00C722D6" w:rsidRPr="00293A96" w:rsidRDefault="00C722D6" w:rsidP="00293A96">
      <w:pPr>
        <w:pStyle w:val="ListParagraph"/>
        <w:numPr>
          <w:ilvl w:val="0"/>
          <w:numId w:val="14"/>
        </w:numPr>
        <w:ind w:left="1276"/>
        <w:rPr>
          <w:rFonts w:cs="Arial"/>
        </w:rPr>
      </w:pPr>
      <w:r>
        <w:rPr>
          <w:rFonts w:cs="Arial"/>
        </w:rPr>
        <w:t>Third, the Panel finds that NCA, in evaluating and scoring Endocare’s proposal, did not breach the PSR regulations as a result of relying on undisclosed criteria</w:t>
      </w:r>
      <w:r w:rsidR="00293A96">
        <w:rPr>
          <w:rFonts w:cs="Arial"/>
        </w:rPr>
        <w:t xml:space="preserve">, </w:t>
      </w:r>
      <w:r w:rsidR="00293A96" w:rsidRPr="00087742">
        <w:rPr>
          <w:rFonts w:cs="Arial"/>
        </w:rPr>
        <w:t>and in particular Regulation 4 which obliges commissioners to act transparently and fairly and Regulation 11(5) which requires commissioner</w:t>
      </w:r>
      <w:r w:rsidR="00596AC8">
        <w:rPr>
          <w:rFonts w:cs="Arial"/>
        </w:rPr>
        <w:t>s</w:t>
      </w:r>
      <w:r w:rsidR="00293A96" w:rsidRPr="00087742">
        <w:rPr>
          <w:rFonts w:cs="Arial"/>
        </w:rPr>
        <w:t xml:space="preserve"> to assess any offers received in accordance with the contract award criteria.</w:t>
      </w:r>
    </w:p>
    <w:p w14:paraId="29C30424" w14:textId="1B0334D3" w:rsidR="00544221" w:rsidRPr="00544221" w:rsidRDefault="00544221" w:rsidP="00544221">
      <w:pPr>
        <w:pStyle w:val="ListParagraph"/>
        <w:numPr>
          <w:ilvl w:val="0"/>
          <w:numId w:val="14"/>
        </w:numPr>
        <w:ind w:left="1276"/>
        <w:rPr>
          <w:rFonts w:cs="Arial"/>
        </w:rPr>
      </w:pPr>
      <w:r>
        <w:rPr>
          <w:rFonts w:cs="Arial"/>
        </w:rPr>
        <w:t xml:space="preserve">Fourth, </w:t>
      </w:r>
      <w:r w:rsidRPr="00087742">
        <w:rPr>
          <w:rFonts w:cs="Arial"/>
        </w:rPr>
        <w:t>the Panel finds that NCA, in seeking clarification and confirmation of bidders’ commercial offers, did not breach the PSR regulations and in particular Regulation 4 which obliges commissioners to act transparently and fairly and Regulation 11(5) which requires commissioner</w:t>
      </w:r>
      <w:r w:rsidR="00596AC8">
        <w:rPr>
          <w:rFonts w:cs="Arial"/>
        </w:rPr>
        <w:t>s</w:t>
      </w:r>
      <w:r w:rsidRPr="00087742">
        <w:rPr>
          <w:rFonts w:cs="Arial"/>
        </w:rPr>
        <w:t xml:space="preserve"> to assess any offers received in accordance with the contract award criteria.</w:t>
      </w:r>
    </w:p>
    <w:p w14:paraId="2BD6E082" w14:textId="77777777" w:rsidR="00C722D6" w:rsidRPr="00C30098" w:rsidRDefault="00C722D6" w:rsidP="00C722D6">
      <w:pPr>
        <w:pStyle w:val="ListParagraph"/>
        <w:numPr>
          <w:ilvl w:val="0"/>
          <w:numId w:val="14"/>
        </w:numPr>
        <w:ind w:left="1276"/>
      </w:pPr>
      <w:r>
        <w:rPr>
          <w:rFonts w:cs="Arial"/>
        </w:rPr>
        <w:t xml:space="preserve">Finally, the Panel finds that </w:t>
      </w:r>
      <w:r>
        <w:t>NCA, in reviewing Endocare’s representations, did not breach the PSR regulations and in particular Regulation 12(4) which governs the conduct of commissioners’ reviews of representations by aggrieved providers.</w:t>
      </w:r>
    </w:p>
    <w:p w14:paraId="6D6FAFE5" w14:textId="77777777" w:rsidR="00C722D6" w:rsidRPr="00BB14A2" w:rsidRDefault="00C722D6" w:rsidP="00C722D6">
      <w:pPr>
        <w:pStyle w:val="ListParagraph"/>
        <w:contextualSpacing/>
      </w:pPr>
      <w:r w:rsidRPr="00BB14A2">
        <w:t>Given these conclusions, three options are open to the Panel. The Panel may advise that:</w:t>
      </w:r>
    </w:p>
    <w:p w14:paraId="70BBC7C5" w14:textId="77777777" w:rsidR="00C722D6" w:rsidRPr="006C45D0" w:rsidRDefault="00C722D6" w:rsidP="00C722D6">
      <w:pPr>
        <w:pStyle w:val="ListParagraph"/>
        <w:numPr>
          <w:ilvl w:val="0"/>
          <w:numId w:val="15"/>
        </w:numPr>
        <w:spacing w:line="276" w:lineRule="auto"/>
        <w:ind w:left="1276" w:hanging="357"/>
        <w:contextualSpacing/>
      </w:pPr>
      <w:r>
        <w:t>t</w:t>
      </w:r>
      <w:r w:rsidRPr="00A0061C">
        <w:t xml:space="preserve">he </w:t>
      </w:r>
      <w:r w:rsidRPr="006C45D0">
        <w:t xml:space="preserve">breach had no material effect on </w:t>
      </w:r>
      <w:r>
        <w:t xml:space="preserve">NCA’s </w:t>
      </w:r>
      <w:r w:rsidRPr="006C45D0">
        <w:t>selection of a provider and it should proceed with awarding the contract as originally intended;</w:t>
      </w:r>
    </w:p>
    <w:p w14:paraId="6EEBB9D7" w14:textId="77777777" w:rsidR="00C722D6" w:rsidRPr="006C45D0" w:rsidRDefault="00C722D6" w:rsidP="00C722D6">
      <w:pPr>
        <w:pStyle w:val="ListParagraph"/>
        <w:numPr>
          <w:ilvl w:val="0"/>
          <w:numId w:val="15"/>
        </w:numPr>
        <w:spacing w:line="276" w:lineRule="auto"/>
        <w:ind w:left="1276" w:hanging="357"/>
        <w:contextualSpacing/>
      </w:pPr>
      <w:r>
        <w:t>NCA</w:t>
      </w:r>
      <w:r w:rsidRPr="006C45D0">
        <w:t xml:space="preserve"> should return to an earlier step in the provider selection process to recti</w:t>
      </w:r>
      <w:r>
        <w:t>f</w:t>
      </w:r>
      <w:r w:rsidRPr="006C45D0">
        <w:t>y the issues identified by the Panel; or</w:t>
      </w:r>
    </w:p>
    <w:p w14:paraId="64454EE3" w14:textId="77777777" w:rsidR="00C722D6" w:rsidRPr="00A0061C" w:rsidRDefault="00C722D6" w:rsidP="00C722D6">
      <w:pPr>
        <w:pStyle w:val="ListParagraph"/>
        <w:numPr>
          <w:ilvl w:val="0"/>
          <w:numId w:val="15"/>
        </w:numPr>
        <w:spacing w:line="276" w:lineRule="auto"/>
        <w:ind w:left="1276" w:hanging="357"/>
      </w:pPr>
      <w:r>
        <w:t>NCA</w:t>
      </w:r>
      <w:r w:rsidRPr="006C45D0">
        <w:t xml:space="preserve"> should </w:t>
      </w:r>
      <w:r w:rsidRPr="00A0061C">
        <w:t>abandon the current provider selection process.</w:t>
      </w:r>
    </w:p>
    <w:p w14:paraId="51F035F4" w14:textId="77777777" w:rsidR="00C722D6" w:rsidRPr="00A0061C" w:rsidRDefault="00C722D6" w:rsidP="00C722D6">
      <w:pPr>
        <w:pStyle w:val="ListParagraph"/>
      </w:pPr>
      <w:r w:rsidRPr="00A0061C">
        <w:t>The Panel’s view is that the breach</w:t>
      </w:r>
      <w:r>
        <w:t xml:space="preserve"> it has</w:t>
      </w:r>
      <w:r w:rsidRPr="00A0061C">
        <w:t xml:space="preserve"> identified </w:t>
      </w:r>
      <w:r>
        <w:t xml:space="preserve">is likely to </w:t>
      </w:r>
      <w:r w:rsidRPr="00A0061C">
        <w:t xml:space="preserve">have had a material effect on NCA’s selection of a provider. </w:t>
      </w:r>
      <w:r w:rsidRPr="00173BC8">
        <w:t>That is, if NCA had complied with the PSR regulations and correctly applied its scoring methodology, then it</w:t>
      </w:r>
      <w:r>
        <w:t xml:space="preserve"> may have selected a different </w:t>
      </w:r>
      <w:r w:rsidRPr="00173BC8">
        <w:t xml:space="preserve">provider </w:t>
      </w:r>
      <w:r>
        <w:t>as the successful bidder</w:t>
      </w:r>
      <w:r w:rsidRPr="00173BC8">
        <w:t>.</w:t>
      </w:r>
    </w:p>
    <w:p w14:paraId="0752A32B" w14:textId="21B525CF" w:rsidR="00C722D6" w:rsidRDefault="00C722D6" w:rsidP="00C722D6">
      <w:pPr>
        <w:pStyle w:val="ListParagraph"/>
      </w:pPr>
      <w:r w:rsidRPr="00A0061C">
        <w:t xml:space="preserve">As a result, the Panel’s advice is that NCA should return to an earlier step in the provider selection process to rectify the issues identified by the Panel. In particular, the Panel advises NCA to, at a minimum, return to the </w:t>
      </w:r>
      <w:r>
        <w:t xml:space="preserve">evaluation of bidders’ proposals and carry out a new evaluation and scoring of </w:t>
      </w:r>
      <w:r w:rsidR="00D05C3D">
        <w:t xml:space="preserve">these </w:t>
      </w:r>
      <w:r>
        <w:t xml:space="preserve">proposals in accordance with </w:t>
      </w:r>
      <w:r w:rsidR="00BE3224">
        <w:t xml:space="preserve">the </w:t>
      </w:r>
      <w:r>
        <w:t>scoring definitions set out in the tender documentation.</w:t>
      </w:r>
    </w:p>
    <w:p w14:paraId="084A4DB7" w14:textId="593E32BE" w:rsidR="00C722D6" w:rsidRDefault="00C722D6" w:rsidP="00C722D6">
      <w:pPr>
        <w:pStyle w:val="ListParagraph"/>
      </w:pPr>
      <w:r>
        <w:t xml:space="preserve">The Panel notes that it is open to NCA to choose to return to an earlier stage of the provider selection process if, for example, it concludes that the complexity of the definition for a score of 4 means that: (i) NCA is unable to evaluate proposals in a manner that is consistent with this definition; and/or (ii) NCA believes that bidders’ </w:t>
      </w:r>
      <w:r>
        <w:lastRenderedPageBreak/>
        <w:t xml:space="preserve">understanding of the definition for a score of 4 was sufficiently uncertain that their proposals would have been materially different had </w:t>
      </w:r>
      <w:r w:rsidR="004D3D9A">
        <w:t xml:space="preserve">there been </w:t>
      </w:r>
      <w:r>
        <w:t>greater clarity.</w:t>
      </w:r>
    </w:p>
    <w:p w14:paraId="227BBE99" w14:textId="62B4743A" w:rsidR="00531C67" w:rsidRPr="009C72A1" w:rsidRDefault="00531C67" w:rsidP="00B32E7F">
      <w:pPr>
        <w:pStyle w:val="Heading1"/>
        <w:ind w:left="567" w:hanging="567"/>
      </w:pPr>
      <w:bookmarkStart w:id="1" w:name="_Toc230780605"/>
      <w:r w:rsidRPr="009C72A1">
        <w:t>Introduction</w:t>
      </w:r>
      <w:bookmarkEnd w:id="1"/>
    </w:p>
    <w:p w14:paraId="6925104F" w14:textId="35B02CA1" w:rsidR="00D479ED" w:rsidRDefault="00D479ED" w:rsidP="00A031E6">
      <w:pPr>
        <w:pStyle w:val="ListParagraph"/>
      </w:pPr>
      <w:r>
        <w:t>On</w:t>
      </w:r>
      <w:r w:rsidR="00A440C4">
        <w:t xml:space="preserve"> 24 February 2026</w:t>
      </w:r>
      <w:r>
        <w:t>,</w:t>
      </w:r>
      <w:r w:rsidR="00E75DFA">
        <w:t xml:space="preserve"> Endocare Diagnostics Ltd (Endocare)</w:t>
      </w:r>
      <w:r>
        <w:rPr>
          <w:rStyle w:val="FootnoteReference"/>
        </w:rPr>
        <w:footnoteReference w:id="1"/>
      </w:r>
      <w:r>
        <w:t xml:space="preserve"> asked the </w:t>
      </w:r>
      <w:r w:rsidR="00823A6A">
        <w:t xml:space="preserve">Independent Patient Choice and Procurement </w:t>
      </w:r>
      <w:r>
        <w:t xml:space="preserve">Panel </w:t>
      </w:r>
      <w:r w:rsidR="00823A6A">
        <w:t xml:space="preserve">(the Panel) </w:t>
      </w:r>
      <w:r>
        <w:t xml:space="preserve">to advise on </w:t>
      </w:r>
      <w:r w:rsidR="00470679">
        <w:t xml:space="preserve">the provider selection process </w:t>
      </w:r>
      <w:r w:rsidR="00CC00E3">
        <w:t xml:space="preserve">conducted by </w:t>
      </w:r>
      <w:r w:rsidR="00E75DFA">
        <w:t>Northern Care Alliance NHS Foundation Trust (NCA)</w:t>
      </w:r>
      <w:r w:rsidR="00B15330">
        <w:rPr>
          <w:rStyle w:val="FootnoteReference"/>
        </w:rPr>
        <w:footnoteReference w:id="2"/>
      </w:r>
      <w:r>
        <w:t xml:space="preserve"> for its</w:t>
      </w:r>
      <w:r w:rsidR="006A25EF">
        <w:t xml:space="preserve"> </w:t>
      </w:r>
      <w:r w:rsidR="0008683A">
        <w:t>Digestive Diseases Insourcing Service</w:t>
      </w:r>
      <w:r w:rsidR="007D2D99">
        <w:t xml:space="preserve"> </w:t>
      </w:r>
      <w:r w:rsidR="00476A28">
        <w:t>(</w:t>
      </w:r>
      <w:r w:rsidR="00B47B42">
        <w:t>DDIS</w:t>
      </w:r>
      <w:r w:rsidR="001518EF">
        <w:t>).</w:t>
      </w:r>
    </w:p>
    <w:p w14:paraId="0297084C" w14:textId="6677F92B" w:rsidR="00222381" w:rsidRDefault="00222381" w:rsidP="00A031E6">
      <w:pPr>
        <w:pStyle w:val="ListParagraph"/>
      </w:pPr>
      <w:r>
        <w:t>NCA us</w:t>
      </w:r>
      <w:r w:rsidR="0037521E">
        <w:t>ed</w:t>
      </w:r>
      <w:r>
        <w:t xml:space="preserve"> the competitive process under the Provider Selection Regime (PSR) regulations</w:t>
      </w:r>
      <w:r w:rsidR="00D807E3" w:rsidRPr="00D807E3">
        <w:rPr>
          <w:vertAlign w:val="superscript"/>
        </w:rPr>
        <w:footnoteReference w:id="3"/>
      </w:r>
      <w:r w:rsidR="0037521E" w:rsidRPr="0037521E">
        <w:t xml:space="preserve"> </w:t>
      </w:r>
      <w:r w:rsidR="0037521E">
        <w:t xml:space="preserve">to </w:t>
      </w:r>
      <w:r w:rsidR="0037521E" w:rsidRPr="0037521E">
        <w:t xml:space="preserve">select a provider for its </w:t>
      </w:r>
      <w:r w:rsidR="001518EF" w:rsidRPr="001518EF">
        <w:t>DDIS</w:t>
      </w:r>
      <w:r w:rsidR="002C5B07">
        <w:t xml:space="preserve"> </w:t>
      </w:r>
      <w:r w:rsidR="00D807E3">
        <w:t>via</w:t>
      </w:r>
      <w:r w:rsidR="002C5B07">
        <w:t xml:space="preserve"> a ‘mini competition’ between providers accredi</w:t>
      </w:r>
      <w:r w:rsidR="002632D1">
        <w:t>ted to the NHS Workforce Alliance framework agreement.</w:t>
      </w:r>
      <w:r w:rsidR="002632D1">
        <w:rPr>
          <w:rStyle w:val="FootnoteReference"/>
        </w:rPr>
        <w:footnoteReference w:id="4"/>
      </w:r>
    </w:p>
    <w:p w14:paraId="48B1CED5" w14:textId="44DD83CD" w:rsidR="00BB6BC6" w:rsidRPr="00056863" w:rsidRDefault="00BB6BC6" w:rsidP="00A031E6">
      <w:pPr>
        <w:pStyle w:val="ListParagraph"/>
      </w:pPr>
      <w:r w:rsidRPr="00056863">
        <w:t xml:space="preserve">The Panel accepted </w:t>
      </w:r>
      <w:r w:rsidR="00522CFE" w:rsidRPr="00056863">
        <w:t>Endocare</w:t>
      </w:r>
      <w:r w:rsidRPr="00056863">
        <w:t>’s request on</w:t>
      </w:r>
      <w:r w:rsidR="00522CFE" w:rsidRPr="00056863">
        <w:t xml:space="preserve"> 25 February 2026</w:t>
      </w:r>
      <w:r w:rsidR="00F73952">
        <w:t>,</w:t>
      </w:r>
      <w:r w:rsidRPr="00056863">
        <w:t xml:space="preserve"> in accordance with its case acceptance criteria. These criteria set out both eligibility requirements and the prioritisation criteria the Panel appl</w:t>
      </w:r>
      <w:r w:rsidR="00190D0D">
        <w:t>ies</w:t>
      </w:r>
      <w:r w:rsidRPr="00056863">
        <w:t xml:space="preserve"> when approaching full caseload capacity</w:t>
      </w:r>
      <w:r w:rsidR="00280B4D" w:rsidRPr="00056863">
        <w:t>.</w:t>
      </w:r>
      <w:r w:rsidR="00280B4D" w:rsidRPr="00056863">
        <w:rPr>
          <w:rStyle w:val="FootnoteReference"/>
        </w:rPr>
        <w:footnoteReference w:id="5"/>
      </w:r>
      <w:r w:rsidR="00280B4D" w:rsidRPr="00056863">
        <w:t xml:space="preserve"> </w:t>
      </w:r>
      <w:r w:rsidR="00522CFE" w:rsidRPr="00056863">
        <w:t>Endocare</w:t>
      </w:r>
      <w:r w:rsidR="00280B4D" w:rsidRPr="00056863">
        <w:t>’s request met the eligibility requirements, and as the Panel was not approaching full capacity, there was no need to apply the prioritisation criteria.</w:t>
      </w:r>
    </w:p>
    <w:p w14:paraId="15D7BB5B" w14:textId="4166342A" w:rsidR="003A673B" w:rsidRDefault="003A673B" w:rsidP="007941C9">
      <w:pPr>
        <w:pStyle w:val="ListParagraph"/>
        <w:contextualSpacing/>
      </w:pPr>
      <w:r>
        <w:t>The Panel’s Chair appointed three members to a Case Panel</w:t>
      </w:r>
      <w:r w:rsidR="00C1535C">
        <w:rPr>
          <w:rStyle w:val="FootnoteReference"/>
        </w:rPr>
        <w:footnoteReference w:id="6"/>
      </w:r>
      <w:r>
        <w:t xml:space="preserve"> for this review, namely:</w:t>
      </w:r>
    </w:p>
    <w:p w14:paraId="123586E4" w14:textId="336FD929" w:rsidR="003A673B" w:rsidRDefault="003A673B" w:rsidP="007941C9">
      <w:pPr>
        <w:pStyle w:val="ListParagraph"/>
        <w:numPr>
          <w:ilvl w:val="0"/>
          <w:numId w:val="5"/>
        </w:numPr>
        <w:contextualSpacing/>
      </w:pPr>
      <w:r>
        <w:t xml:space="preserve">Andrew Taylor, </w:t>
      </w:r>
      <w:r w:rsidR="001F609B">
        <w:t xml:space="preserve">Case </w:t>
      </w:r>
      <w:r>
        <w:t>Panel Chair;</w:t>
      </w:r>
    </w:p>
    <w:p w14:paraId="6F8A7A3B" w14:textId="06F540BD" w:rsidR="003A673B" w:rsidRDefault="00522CFE" w:rsidP="007941C9">
      <w:pPr>
        <w:pStyle w:val="ListParagraph"/>
        <w:numPr>
          <w:ilvl w:val="0"/>
          <w:numId w:val="5"/>
        </w:numPr>
        <w:contextualSpacing/>
      </w:pPr>
      <w:r>
        <w:t>Alison Tonge</w:t>
      </w:r>
      <w:r w:rsidR="008E4F6C">
        <w:t>, Case Panel Member; and</w:t>
      </w:r>
    </w:p>
    <w:p w14:paraId="1BB3958B" w14:textId="78035E3B" w:rsidR="008E4F6C" w:rsidRDefault="00522CFE" w:rsidP="00A031E6">
      <w:pPr>
        <w:pStyle w:val="ListParagraph"/>
        <w:numPr>
          <w:ilvl w:val="0"/>
          <w:numId w:val="5"/>
        </w:numPr>
      </w:pPr>
      <w:r>
        <w:t>Daria Prigioni</w:t>
      </w:r>
      <w:r w:rsidR="008E4F6C">
        <w:t>, Case Panel Member.</w:t>
      </w:r>
      <w:r w:rsidR="008E4F6C">
        <w:rPr>
          <w:rStyle w:val="FootnoteReference"/>
        </w:rPr>
        <w:footnoteReference w:id="7"/>
      </w:r>
    </w:p>
    <w:p w14:paraId="644F2385" w14:textId="1455FA0B" w:rsidR="008E4F6C" w:rsidRDefault="00EB3A9D" w:rsidP="00A031E6">
      <w:pPr>
        <w:pStyle w:val="ListParagraph"/>
      </w:pPr>
      <w:r>
        <w:t>The Panel’s review has been carried out in accordance with the Panel’s Standard Operating Procedures.</w:t>
      </w:r>
      <w:r>
        <w:rPr>
          <w:rStyle w:val="FootnoteReference"/>
        </w:rPr>
        <w:footnoteReference w:id="8"/>
      </w:r>
    </w:p>
    <w:p w14:paraId="22AA43DA" w14:textId="322DB0E1" w:rsidR="00EB3A9D" w:rsidRDefault="00EB3A9D" w:rsidP="007941C9">
      <w:pPr>
        <w:pStyle w:val="ListParagraph"/>
        <w:contextualSpacing/>
      </w:pPr>
      <w:r>
        <w:t>This report provides the Panel’s assessment and advice to</w:t>
      </w:r>
      <w:r w:rsidR="0076038D">
        <w:t xml:space="preserve"> NCA</w:t>
      </w:r>
      <w:r>
        <w:t xml:space="preserve"> and is set out as follows:</w:t>
      </w:r>
    </w:p>
    <w:p w14:paraId="3AAF9648" w14:textId="3D93E0FE" w:rsidR="00EB3A9D" w:rsidRDefault="00780FB4" w:rsidP="007941C9">
      <w:pPr>
        <w:pStyle w:val="ListParagraph"/>
        <w:numPr>
          <w:ilvl w:val="0"/>
          <w:numId w:val="6"/>
        </w:numPr>
        <w:contextualSpacing/>
      </w:pPr>
      <w:r>
        <w:t>Section 3 briefly describes the role of the Panel;</w:t>
      </w:r>
    </w:p>
    <w:p w14:paraId="30768FD4" w14:textId="12CEC2AF" w:rsidR="00780FB4" w:rsidRDefault="00780FB4" w:rsidP="007941C9">
      <w:pPr>
        <w:pStyle w:val="ListParagraph"/>
        <w:numPr>
          <w:ilvl w:val="0"/>
          <w:numId w:val="6"/>
        </w:numPr>
        <w:contextualSpacing/>
      </w:pPr>
      <w:r>
        <w:t>Section 4 sets out the background to the Panel’s review, including the events leading up to, and including, the provider selection process;</w:t>
      </w:r>
    </w:p>
    <w:p w14:paraId="6AAE6454" w14:textId="004CA594" w:rsidR="00780FB4" w:rsidRDefault="00780FB4" w:rsidP="007941C9">
      <w:pPr>
        <w:pStyle w:val="ListParagraph"/>
        <w:numPr>
          <w:ilvl w:val="0"/>
          <w:numId w:val="6"/>
        </w:numPr>
        <w:contextualSpacing/>
      </w:pPr>
      <w:r>
        <w:t>Section 5 sets out the concerns raised by</w:t>
      </w:r>
      <w:r w:rsidR="0076038D">
        <w:t xml:space="preserve"> Endocare</w:t>
      </w:r>
      <w:r>
        <w:t>;</w:t>
      </w:r>
    </w:p>
    <w:p w14:paraId="3B8F3C98" w14:textId="64AE0D49" w:rsidR="00780FB4" w:rsidRDefault="00780FB4" w:rsidP="007941C9">
      <w:pPr>
        <w:pStyle w:val="ListParagraph"/>
        <w:numPr>
          <w:ilvl w:val="0"/>
          <w:numId w:val="6"/>
        </w:numPr>
        <w:contextualSpacing/>
      </w:pPr>
      <w:r>
        <w:t>Section 6 summarises the PSR regulations relevant to this review;</w:t>
      </w:r>
    </w:p>
    <w:p w14:paraId="3D718A43" w14:textId="28733E92" w:rsidR="00780FB4" w:rsidRDefault="00780FB4" w:rsidP="007941C9">
      <w:pPr>
        <w:pStyle w:val="ListParagraph"/>
        <w:numPr>
          <w:ilvl w:val="0"/>
          <w:numId w:val="6"/>
        </w:numPr>
        <w:contextualSpacing/>
      </w:pPr>
      <w:r>
        <w:t>Section 7 sets out the Panel’s assessment of the issues</w:t>
      </w:r>
      <w:r w:rsidR="00F85E6F">
        <w:t>; and</w:t>
      </w:r>
    </w:p>
    <w:p w14:paraId="343A30FC" w14:textId="4336BFD4" w:rsidR="00F85E6F" w:rsidRDefault="00F85E6F" w:rsidP="00A031E6">
      <w:pPr>
        <w:pStyle w:val="ListParagraph"/>
        <w:numPr>
          <w:ilvl w:val="0"/>
          <w:numId w:val="6"/>
        </w:numPr>
      </w:pPr>
      <w:r>
        <w:lastRenderedPageBreak/>
        <w:t xml:space="preserve">Section 8 sets out the Panel’s advice to </w:t>
      </w:r>
      <w:r w:rsidR="0076038D">
        <w:t>NCA</w:t>
      </w:r>
      <w:r w:rsidR="002E4E54">
        <w:t>.</w:t>
      </w:r>
      <w:r>
        <w:rPr>
          <w:rStyle w:val="FootnoteReference"/>
        </w:rPr>
        <w:footnoteReference w:id="9"/>
      </w:r>
    </w:p>
    <w:p w14:paraId="6528B4D6" w14:textId="7320E56F" w:rsidR="00F85E6F" w:rsidRDefault="00F85E6F" w:rsidP="00A031E6">
      <w:pPr>
        <w:pStyle w:val="ListParagraph"/>
      </w:pPr>
      <w:r>
        <w:t>The Panel thanks</w:t>
      </w:r>
      <w:r w:rsidR="0076038D">
        <w:t xml:space="preserve"> NCA</w:t>
      </w:r>
      <w:r>
        <w:t xml:space="preserve"> and </w:t>
      </w:r>
      <w:r w:rsidR="0076038D">
        <w:t>Endocare</w:t>
      </w:r>
      <w:r>
        <w:t xml:space="preserve"> for their assistance and cooperation during this review.</w:t>
      </w:r>
    </w:p>
    <w:p w14:paraId="5534081C" w14:textId="12FD16F2" w:rsidR="00E722F9" w:rsidRDefault="00E722F9" w:rsidP="00016968">
      <w:pPr>
        <w:pStyle w:val="Heading1"/>
      </w:pPr>
      <w:bookmarkStart w:id="2" w:name="_Toc230780606"/>
      <w:r w:rsidRPr="00E722F9">
        <w:t>Role of the Panel</w:t>
      </w:r>
      <w:bookmarkEnd w:id="2"/>
    </w:p>
    <w:p w14:paraId="42A89983" w14:textId="127C3799" w:rsidR="00E722F9" w:rsidRDefault="00800C69" w:rsidP="00A031E6">
      <w:pPr>
        <w:pStyle w:val="ListParagraph"/>
      </w:pPr>
      <w:r>
        <w:t xml:space="preserve">The </w:t>
      </w:r>
      <w:r w:rsidR="00475F9C">
        <w:t>Provider Selection Regime (PSR) for NHS and local authority commissioning of health care services came into force on 1 January 2024 with the adoption of the PSR regulations.</w:t>
      </w:r>
      <w:r w:rsidR="002B7715">
        <w:t xml:space="preserve"> The PSR </w:t>
      </w:r>
      <w:r w:rsidR="00C65D56">
        <w:t xml:space="preserve">offers </w:t>
      </w:r>
      <w:r w:rsidR="002B7715">
        <w:t>relevant authorities (i.e. commissioners) greater flexibility in their selection of health care services providers.</w:t>
      </w:r>
      <w:r w:rsidR="002B7715">
        <w:rPr>
          <w:rStyle w:val="FootnoteReference"/>
        </w:rPr>
        <w:footnoteReference w:id="10"/>
      </w:r>
    </w:p>
    <w:p w14:paraId="4C59FB0A" w14:textId="5A7A93CB" w:rsidR="00F07723" w:rsidRDefault="00F07723" w:rsidP="00A031E6">
      <w:pPr>
        <w:pStyle w:val="ListParagraph"/>
      </w:pPr>
      <w:r>
        <w:t>The Panel’s role is to act as an independent review body where a provider has concerns about a commissioner’s provider selection decision. Panel reviews only take place following a commissioner’s review of its original decision.</w:t>
      </w:r>
    </w:p>
    <w:p w14:paraId="1F280246" w14:textId="2A237CE8" w:rsidR="00F07723" w:rsidRDefault="00FB7CE3" w:rsidP="00A031E6">
      <w:pPr>
        <w:pStyle w:val="ListParagraph"/>
      </w:pPr>
      <w:r>
        <w:t>For each review, the Panel’s assessment and advice is supplied to the commissioner and the potential provider that has requested the Pane</w:t>
      </w:r>
      <w:r w:rsidR="003977F0">
        <w:t>l’s review. It is also published on the Panel’s webpages. The commissioner is then responsible for reviewing its decision in light of the Panel’s advice.</w:t>
      </w:r>
    </w:p>
    <w:p w14:paraId="55C8BC96" w14:textId="7C9D4446" w:rsidR="008A09C6" w:rsidRPr="0080281A" w:rsidRDefault="008A09C6" w:rsidP="00016968">
      <w:pPr>
        <w:pStyle w:val="Heading1"/>
      </w:pPr>
      <w:bookmarkStart w:id="3" w:name="_Toc230780607"/>
      <w:r w:rsidRPr="0080281A">
        <w:t>Background to this review</w:t>
      </w:r>
      <w:bookmarkEnd w:id="3"/>
    </w:p>
    <w:p w14:paraId="27B171BE" w14:textId="52406937" w:rsidR="00A05372" w:rsidRDefault="00A05372" w:rsidP="00A031E6">
      <w:pPr>
        <w:pStyle w:val="ListParagraph"/>
      </w:pPr>
      <w:r>
        <w:t>Insourcing services allow acute trusts to “supplement, support and expand their own in-house capacity” by using suppliers of insourcing services (‘insourcers’) to deliver care to acute trust patients on trust premises.</w:t>
      </w:r>
      <w:r w:rsidR="005319CC">
        <w:t xml:space="preserve"> </w:t>
      </w:r>
      <w:r w:rsidR="009E1A95">
        <w:t>The insourcer supplies clinicians and provides supporting oversight and governance arrangements</w:t>
      </w:r>
      <w:r w:rsidR="00F75638">
        <w:t xml:space="preserve"> while making use </w:t>
      </w:r>
      <w:r>
        <w:t>of trust facilities.</w:t>
      </w:r>
      <w:r w:rsidR="00060828">
        <w:rPr>
          <w:rStyle w:val="FootnoteReference"/>
        </w:rPr>
        <w:footnoteReference w:id="11"/>
      </w:r>
    </w:p>
    <w:p w14:paraId="29D07FE9" w14:textId="05F9F48B" w:rsidR="00F21315" w:rsidRDefault="00037AB6" w:rsidP="00A031E6">
      <w:pPr>
        <w:pStyle w:val="ListParagraph"/>
      </w:pPr>
      <w:r w:rsidRPr="00821BAC">
        <w:t xml:space="preserve">NCA </w:t>
      </w:r>
      <w:r w:rsidR="00F75638">
        <w:t xml:space="preserve">wishes </w:t>
      </w:r>
      <w:r w:rsidRPr="00821BAC">
        <w:t xml:space="preserve">to award a new contract for </w:t>
      </w:r>
      <w:r w:rsidR="00974EE3">
        <w:t>DDIS</w:t>
      </w:r>
      <w:r w:rsidRPr="00821BAC">
        <w:t xml:space="preserve">. </w:t>
      </w:r>
      <w:r w:rsidR="00D258AF">
        <w:t xml:space="preserve">DDIS </w:t>
      </w:r>
      <w:r w:rsidR="00F93025">
        <w:t xml:space="preserve">at NCA </w:t>
      </w:r>
      <w:r w:rsidR="00F93025" w:rsidRPr="00821BAC">
        <w:t>include</w:t>
      </w:r>
      <w:r w:rsidR="00F93025">
        <w:t>s</w:t>
      </w:r>
      <w:r w:rsidR="00F93025" w:rsidRPr="00821BAC">
        <w:t xml:space="preserve"> </w:t>
      </w:r>
      <w:r w:rsidR="00F93025">
        <w:t>e</w:t>
      </w:r>
      <w:r w:rsidR="00F93025" w:rsidRPr="00821BAC">
        <w:t xml:space="preserve">ndoscopy </w:t>
      </w:r>
      <w:r w:rsidR="00B64639">
        <w:t xml:space="preserve">services as well as </w:t>
      </w:r>
      <w:r w:rsidR="00F93025">
        <w:t>outpatient s</w:t>
      </w:r>
      <w:r w:rsidR="00F93025" w:rsidRPr="00821BAC">
        <w:t>ervices</w:t>
      </w:r>
      <w:r w:rsidR="00F93025">
        <w:t xml:space="preserve"> in g</w:t>
      </w:r>
      <w:r w:rsidR="00F93025" w:rsidRPr="00821BAC">
        <w:t>astroenterology</w:t>
      </w:r>
      <w:r w:rsidR="00F93025">
        <w:t>,</w:t>
      </w:r>
      <w:r w:rsidR="00F93025" w:rsidRPr="00821BAC">
        <w:t xml:space="preserve"> </w:t>
      </w:r>
      <w:r w:rsidR="00F93025">
        <w:t>c</w:t>
      </w:r>
      <w:r w:rsidR="00F93025" w:rsidRPr="00821BAC">
        <w:t xml:space="preserve">olorectal </w:t>
      </w:r>
      <w:r w:rsidR="00F93025">
        <w:t xml:space="preserve">surgery </w:t>
      </w:r>
      <w:r w:rsidR="00F93025" w:rsidRPr="00821BAC">
        <w:t xml:space="preserve">and </w:t>
      </w:r>
      <w:r w:rsidR="00F93025">
        <w:t>g</w:t>
      </w:r>
      <w:r w:rsidR="00F93025" w:rsidRPr="00821BAC">
        <w:t xml:space="preserve">eneral </w:t>
      </w:r>
      <w:r w:rsidR="00F93025">
        <w:t>s</w:t>
      </w:r>
      <w:r w:rsidR="00F93025" w:rsidRPr="00821BAC">
        <w:t xml:space="preserve">urgery across </w:t>
      </w:r>
      <w:r w:rsidR="00F93025">
        <w:t>NCA’s</w:t>
      </w:r>
      <w:r w:rsidR="00F93025" w:rsidRPr="00821BAC">
        <w:t xml:space="preserve"> four hospital</w:t>
      </w:r>
      <w:r w:rsidR="00F93025">
        <w:t>s</w:t>
      </w:r>
      <w:r w:rsidR="00F93025" w:rsidRPr="00821BAC">
        <w:t>, namely Fairfield General, Rochdale Infirmary</w:t>
      </w:r>
      <w:r w:rsidR="00F93025">
        <w:t>,</w:t>
      </w:r>
      <w:r w:rsidR="00F93025" w:rsidRPr="00821BAC">
        <w:t xml:space="preserve"> The Royal Oldham and Salford Royal</w:t>
      </w:r>
      <w:r w:rsidRPr="00821BAC">
        <w:t>.</w:t>
      </w:r>
      <w:r w:rsidR="00FA57EE">
        <w:rPr>
          <w:rStyle w:val="FootnoteReference"/>
        </w:rPr>
        <w:footnoteReference w:id="12"/>
      </w:r>
    </w:p>
    <w:p w14:paraId="16DF131F" w14:textId="648603EE" w:rsidR="00037AB6" w:rsidRDefault="0098478C" w:rsidP="00A031E6">
      <w:pPr>
        <w:pStyle w:val="ListParagraph"/>
      </w:pPr>
      <w:r>
        <w:t>Endocare, t</w:t>
      </w:r>
      <w:r w:rsidR="008C0BC2">
        <w:t xml:space="preserve">he incumbent supplier, </w:t>
      </w:r>
      <w:r w:rsidR="008C0BC2" w:rsidRPr="00C51DF4">
        <w:t xml:space="preserve">has been providing </w:t>
      </w:r>
      <w:r w:rsidR="008C0BC2">
        <w:t>DDIS</w:t>
      </w:r>
      <w:r w:rsidR="008C0BC2" w:rsidRPr="00C51DF4">
        <w:t xml:space="preserve"> </w:t>
      </w:r>
      <w:r w:rsidR="00160A7B">
        <w:t>at</w:t>
      </w:r>
      <w:r w:rsidR="008C0BC2" w:rsidRPr="00C51DF4">
        <w:t xml:space="preserve"> NCA since </w:t>
      </w:r>
      <w:r w:rsidR="008C0BC2" w:rsidRPr="00AE2726">
        <w:t xml:space="preserve">2017, </w:t>
      </w:r>
      <w:r>
        <w:t xml:space="preserve">winning </w:t>
      </w:r>
      <w:r w:rsidR="00B50194">
        <w:t xml:space="preserve">contracts </w:t>
      </w:r>
      <w:r w:rsidR="008C0BC2" w:rsidRPr="00AE2726">
        <w:t xml:space="preserve">following competitive </w:t>
      </w:r>
      <w:r w:rsidR="00B50194">
        <w:t xml:space="preserve">selection </w:t>
      </w:r>
      <w:r w:rsidR="008C0BC2" w:rsidRPr="00AE2726">
        <w:t>process</w:t>
      </w:r>
      <w:r w:rsidR="00B50194">
        <w:t>es</w:t>
      </w:r>
      <w:r w:rsidR="008C0BC2" w:rsidRPr="00AE2726">
        <w:t xml:space="preserve"> in 2018 and 2021.</w:t>
      </w:r>
      <w:r w:rsidR="008C0BC2" w:rsidRPr="00AE2726">
        <w:rPr>
          <w:rStyle w:val="FootnoteReference"/>
        </w:rPr>
        <w:footnoteReference w:id="13"/>
      </w:r>
      <w:r w:rsidR="0081672C">
        <w:t xml:space="preserve"> </w:t>
      </w:r>
      <w:r w:rsidR="0081672C" w:rsidRPr="00027321">
        <w:t>Endocare’s current contract was due to end on 28 February 2026.</w:t>
      </w:r>
    </w:p>
    <w:p w14:paraId="369308CC" w14:textId="754A4547" w:rsidR="0060113B" w:rsidRPr="00821BAC" w:rsidRDefault="00817268" w:rsidP="00A031E6">
      <w:pPr>
        <w:pStyle w:val="ListParagraph"/>
      </w:pPr>
      <w:r>
        <w:t>On 13 October</w:t>
      </w:r>
      <w:r w:rsidR="00E74E90">
        <w:t xml:space="preserve"> 2025</w:t>
      </w:r>
      <w:r>
        <w:t xml:space="preserve">, </w:t>
      </w:r>
      <w:r w:rsidR="00EF3966">
        <w:t xml:space="preserve">NCA </w:t>
      </w:r>
      <w:r w:rsidR="008233B6">
        <w:t xml:space="preserve">published a notice on </w:t>
      </w:r>
      <w:r w:rsidR="009E23E3">
        <w:t>the Find a Tender Service website</w:t>
      </w:r>
      <w:r w:rsidR="008233B6">
        <w:t xml:space="preserve">, setting out its intention to </w:t>
      </w:r>
      <w:r w:rsidR="00EF3966">
        <w:t>conduct</w:t>
      </w:r>
      <w:r w:rsidR="008233B6">
        <w:t xml:space="preserve"> </w:t>
      </w:r>
      <w:r w:rsidR="00EF3966">
        <w:t>a mini competition</w:t>
      </w:r>
      <w:r w:rsidR="002D0905">
        <w:t xml:space="preserve"> between suppliers on </w:t>
      </w:r>
      <w:r w:rsidR="002D0905" w:rsidRPr="00821BAC">
        <w:t>the NHS Workforce Alliance Framework Agreement</w:t>
      </w:r>
      <w:r w:rsidR="00401FBB">
        <w:t xml:space="preserve"> with </w:t>
      </w:r>
      <w:r w:rsidR="00AC1914">
        <w:t>a link to the</w:t>
      </w:r>
      <w:r w:rsidR="004374D9">
        <w:t xml:space="preserve"> tender documentation</w:t>
      </w:r>
      <w:r w:rsidR="007D058A">
        <w:t>.</w:t>
      </w:r>
      <w:r w:rsidR="00F67D4C">
        <w:rPr>
          <w:rStyle w:val="FootnoteReference"/>
        </w:rPr>
        <w:footnoteReference w:id="14"/>
      </w:r>
      <w:r w:rsidR="00353CFA">
        <w:t xml:space="preserve"> </w:t>
      </w:r>
      <w:r w:rsidR="008A34CF" w:rsidRPr="00821BAC">
        <w:t xml:space="preserve">The proposed contract has a </w:t>
      </w:r>
      <w:r w:rsidR="005D2232" w:rsidRPr="00821BAC">
        <w:t xml:space="preserve">two year duration with the option of a one year extension. </w:t>
      </w:r>
      <w:r w:rsidR="00B44721">
        <w:lastRenderedPageBreak/>
        <w:t>T</w:t>
      </w:r>
      <w:r w:rsidR="00754241" w:rsidRPr="00821BAC">
        <w:t xml:space="preserve">he </w:t>
      </w:r>
      <w:r w:rsidR="000D3597">
        <w:t xml:space="preserve">contract’s </w:t>
      </w:r>
      <w:r w:rsidR="00754241" w:rsidRPr="00821BAC">
        <w:t xml:space="preserve">total value over </w:t>
      </w:r>
      <w:r w:rsidR="000D3597">
        <w:t>its</w:t>
      </w:r>
      <w:r w:rsidR="00754241" w:rsidRPr="00821BAC">
        <w:t xml:space="preserve"> full three year duration is approximately £9.6m (excluding VAT)</w:t>
      </w:r>
      <w:r w:rsidR="00292B20">
        <w:t xml:space="preserve">. The </w:t>
      </w:r>
      <w:r w:rsidR="000C1C6E">
        <w:t xml:space="preserve">intended commencement date for the </w:t>
      </w:r>
      <w:r w:rsidR="00292B20">
        <w:t xml:space="preserve">contract </w:t>
      </w:r>
      <w:r w:rsidR="00B44721" w:rsidRPr="00821BAC">
        <w:t>was 1 April 2026</w:t>
      </w:r>
      <w:r w:rsidR="00DD4424">
        <w:t>.</w:t>
      </w:r>
      <w:r w:rsidR="00CB4F68">
        <w:rPr>
          <w:rStyle w:val="FootnoteReference"/>
        </w:rPr>
        <w:footnoteReference w:id="15"/>
      </w:r>
    </w:p>
    <w:p w14:paraId="45B4F5F1" w14:textId="77777777" w:rsidR="00FC1FB1" w:rsidRDefault="00236B1E" w:rsidP="009D537C">
      <w:pPr>
        <w:pStyle w:val="ListParagraph"/>
      </w:pPr>
      <w:r w:rsidRPr="00821BAC">
        <w:t xml:space="preserve">NCA received </w:t>
      </w:r>
      <w:r w:rsidR="00E50EBC">
        <w:t>proposals</w:t>
      </w:r>
      <w:r w:rsidRPr="00821BAC">
        <w:t xml:space="preserve"> from </w:t>
      </w:r>
      <w:r w:rsidR="0045197C" w:rsidRPr="00821BAC">
        <w:t>twelve</w:t>
      </w:r>
      <w:r w:rsidRPr="00821BAC">
        <w:t xml:space="preserve"> providers</w:t>
      </w:r>
      <w:r w:rsidR="00040EE4">
        <w:t xml:space="preserve">, </w:t>
      </w:r>
      <w:r w:rsidR="009A4872" w:rsidRPr="00821BAC">
        <w:t xml:space="preserve">including Endocare and </w:t>
      </w:r>
      <w:r w:rsidR="002F4C95">
        <w:t xml:space="preserve">the successful bidder, </w:t>
      </w:r>
      <w:r w:rsidR="009A4872" w:rsidRPr="00821BAC">
        <w:t>Venture Health Group Ltd (Venture</w:t>
      </w:r>
      <w:r w:rsidR="00F64F01">
        <w:t>)</w:t>
      </w:r>
      <w:r w:rsidR="004C79B0">
        <w:t>.</w:t>
      </w:r>
    </w:p>
    <w:p w14:paraId="3D30D59C" w14:textId="27C46326" w:rsidR="009D537C" w:rsidRPr="00C51DF4" w:rsidRDefault="0096460A" w:rsidP="009D537C">
      <w:pPr>
        <w:pStyle w:val="ListParagraph"/>
      </w:pPr>
      <w:r>
        <w:t>T</w:t>
      </w:r>
      <w:r w:rsidR="009B3A9F">
        <w:t xml:space="preserve">he Panel understands </w:t>
      </w:r>
      <w:r>
        <w:t xml:space="preserve">that </w:t>
      </w:r>
      <w:r w:rsidR="00FC536A">
        <w:t xml:space="preserve">Endocare and Venture are </w:t>
      </w:r>
      <w:r w:rsidR="007C019C">
        <w:t>both owned</w:t>
      </w:r>
      <w:r w:rsidR="00FC536A">
        <w:t>,</w:t>
      </w:r>
      <w:r w:rsidR="00E51012">
        <w:t xml:space="preserve"> or part-owned</w:t>
      </w:r>
      <w:r w:rsidR="00FC536A">
        <w:t>,</w:t>
      </w:r>
      <w:r w:rsidR="007C019C">
        <w:t xml:space="preserve"> by </w:t>
      </w:r>
      <w:r w:rsidR="001B3058">
        <w:t>NCA employees.</w:t>
      </w:r>
      <w:r w:rsidR="00FC1FB1">
        <w:t xml:space="preserve"> </w:t>
      </w:r>
      <w:r w:rsidR="009D537C" w:rsidRPr="00C51DF4">
        <w:t xml:space="preserve">Endocare was formed </w:t>
      </w:r>
      <w:r w:rsidR="008F3A82">
        <w:t xml:space="preserve">in 2017 </w:t>
      </w:r>
      <w:r w:rsidR="009D537C" w:rsidRPr="00C51DF4">
        <w:t xml:space="preserve">by four </w:t>
      </w:r>
      <w:r w:rsidR="0014607A">
        <w:t>c</w:t>
      </w:r>
      <w:r w:rsidR="009D537C" w:rsidRPr="00C51DF4">
        <w:t xml:space="preserve">onsultant </w:t>
      </w:r>
      <w:r w:rsidR="0014607A">
        <w:t>g</w:t>
      </w:r>
      <w:r w:rsidR="009D537C" w:rsidRPr="00C51DF4">
        <w:t xml:space="preserve">astroenterologists </w:t>
      </w:r>
      <w:r w:rsidR="00A444D8">
        <w:t>at</w:t>
      </w:r>
      <w:r w:rsidR="00AD09B4">
        <w:t xml:space="preserve"> NCA</w:t>
      </w:r>
      <w:r w:rsidR="009972EB">
        <w:t xml:space="preserve">, three of whom </w:t>
      </w:r>
      <w:r w:rsidR="008F3A82">
        <w:t>remain</w:t>
      </w:r>
      <w:r w:rsidR="00AD09B4">
        <w:t xml:space="preserve"> NCA</w:t>
      </w:r>
      <w:r w:rsidR="00676CA6">
        <w:t xml:space="preserve"> </w:t>
      </w:r>
      <w:r w:rsidR="00F00E5E">
        <w:t>employe</w:t>
      </w:r>
      <w:r w:rsidR="008F3A82">
        <w:t>es</w:t>
      </w:r>
      <w:r w:rsidR="009D537C" w:rsidRPr="00C51DF4">
        <w:t>.</w:t>
      </w:r>
      <w:r w:rsidR="009D537C" w:rsidRPr="00C51DF4">
        <w:rPr>
          <w:rStyle w:val="FootnoteReference"/>
        </w:rPr>
        <w:footnoteReference w:id="16"/>
      </w:r>
      <w:r w:rsidR="009D537C" w:rsidRPr="00027321">
        <w:t xml:space="preserve"> </w:t>
      </w:r>
      <w:r w:rsidR="00822B0B">
        <w:t xml:space="preserve">Endocare </w:t>
      </w:r>
      <w:r w:rsidR="00452073">
        <w:t>suppl</w:t>
      </w:r>
      <w:r w:rsidR="00DA1CA3">
        <w:t>ies</w:t>
      </w:r>
      <w:r w:rsidR="00452073">
        <w:t xml:space="preserve"> </w:t>
      </w:r>
      <w:r w:rsidR="00A20945">
        <w:t>gastroenterology</w:t>
      </w:r>
      <w:r w:rsidR="00822B0B">
        <w:t xml:space="preserve"> services </w:t>
      </w:r>
      <w:r w:rsidR="00A20945">
        <w:t xml:space="preserve">to </w:t>
      </w:r>
      <w:r w:rsidR="009C7F23">
        <w:t>other</w:t>
      </w:r>
      <w:r w:rsidR="00A9765D">
        <w:t xml:space="preserve"> NHS </w:t>
      </w:r>
      <w:r w:rsidR="00B05B5E">
        <w:t xml:space="preserve">acute trusts </w:t>
      </w:r>
      <w:r w:rsidR="00A9765D">
        <w:t xml:space="preserve">and </w:t>
      </w:r>
      <w:r w:rsidR="00B05B5E">
        <w:t xml:space="preserve">also caters for </w:t>
      </w:r>
      <w:r w:rsidR="00A9765D">
        <w:t>private patients.</w:t>
      </w:r>
      <w:r w:rsidR="00452073">
        <w:t xml:space="preserve"> </w:t>
      </w:r>
      <w:r w:rsidR="00673336">
        <w:t>Venture</w:t>
      </w:r>
      <w:r w:rsidR="00EE544F">
        <w:t>, according to its website,</w:t>
      </w:r>
      <w:r w:rsidR="00673336">
        <w:t xml:space="preserve"> </w:t>
      </w:r>
      <w:r w:rsidR="00476781">
        <w:t>was established in 2024</w:t>
      </w:r>
      <w:r w:rsidR="00BE0104">
        <w:t xml:space="preserve"> and provides insourc</w:t>
      </w:r>
      <w:r w:rsidR="00CD2D5E">
        <w:t>ing</w:t>
      </w:r>
      <w:r w:rsidR="00BE0104">
        <w:t xml:space="preserve"> services </w:t>
      </w:r>
      <w:r w:rsidR="00F62873">
        <w:t>in</w:t>
      </w:r>
      <w:r w:rsidR="00BE0104">
        <w:t xml:space="preserve"> 14</w:t>
      </w:r>
      <w:r w:rsidR="009145FD">
        <w:t> </w:t>
      </w:r>
      <w:r w:rsidR="00BE0104">
        <w:t>specialties</w:t>
      </w:r>
      <w:r w:rsidR="0029078F">
        <w:t xml:space="preserve"> </w:t>
      </w:r>
      <w:r w:rsidR="00F62873">
        <w:t>at</w:t>
      </w:r>
      <w:r w:rsidR="0029078F">
        <w:t xml:space="preserve"> multiple NHS trusts</w:t>
      </w:r>
      <w:r w:rsidR="00BE0104">
        <w:t xml:space="preserve">. Venture </w:t>
      </w:r>
      <w:r w:rsidR="008C4FBD">
        <w:t xml:space="preserve">is </w:t>
      </w:r>
      <w:r w:rsidR="009A0B3D">
        <w:t>an</w:t>
      </w:r>
      <w:r w:rsidR="008C4FBD">
        <w:t xml:space="preserve"> incumbent supplier of </w:t>
      </w:r>
      <w:r w:rsidR="009A0B3D">
        <w:t xml:space="preserve">neurology, </w:t>
      </w:r>
      <w:r w:rsidR="005A110A">
        <w:t xml:space="preserve">gynaecology and ophthalmology </w:t>
      </w:r>
      <w:r w:rsidR="00DA3BF4">
        <w:t>insourcing services</w:t>
      </w:r>
      <w:r w:rsidR="00FC1FB1">
        <w:t xml:space="preserve"> at NCA</w:t>
      </w:r>
      <w:r w:rsidR="00DA3BF4">
        <w:t>.</w:t>
      </w:r>
      <w:r w:rsidR="00284F9E" w:rsidRPr="00821BAC">
        <w:rPr>
          <w:rStyle w:val="FootnoteReference"/>
        </w:rPr>
        <w:footnoteReference w:id="17"/>
      </w:r>
    </w:p>
    <w:p w14:paraId="6633828D" w14:textId="35929EBF" w:rsidR="007C40A4" w:rsidRDefault="00054691" w:rsidP="00A031E6">
      <w:pPr>
        <w:pStyle w:val="ListParagraph"/>
      </w:pPr>
      <w:bookmarkStart w:id="5" w:name="_Ref229471541"/>
      <w:r w:rsidRPr="00821BAC">
        <w:t xml:space="preserve">On 16 January 2026, NCA </w:t>
      </w:r>
      <w:r w:rsidR="007C40A4">
        <w:t xml:space="preserve">informed bidders </w:t>
      </w:r>
      <w:r w:rsidR="005621FD">
        <w:t xml:space="preserve">of the outcome of the provider selection process </w:t>
      </w:r>
      <w:r w:rsidR="007C40A4">
        <w:t xml:space="preserve">and published a notice announcing </w:t>
      </w:r>
      <w:r w:rsidR="007C40A4" w:rsidRPr="00821BAC">
        <w:t>Venture as the successful bidder.</w:t>
      </w:r>
      <w:r w:rsidR="007C40A4">
        <w:t xml:space="preserve"> Endocare’s proposal was ranked fourth.</w:t>
      </w:r>
      <w:bookmarkEnd w:id="5"/>
    </w:p>
    <w:p w14:paraId="7E3D1A93" w14:textId="679917ED" w:rsidR="00FF06E8" w:rsidRPr="00821BAC" w:rsidRDefault="006035F4" w:rsidP="00A031E6">
      <w:pPr>
        <w:pStyle w:val="ListParagraph"/>
      </w:pPr>
      <w:bookmarkStart w:id="6" w:name="_Ref227936280"/>
      <w:r w:rsidRPr="00821BAC">
        <w:t>On 26 January</w:t>
      </w:r>
      <w:r w:rsidR="0082019A">
        <w:t xml:space="preserve"> 2026</w:t>
      </w:r>
      <w:r w:rsidR="005E3649" w:rsidRPr="00821BAC">
        <w:t>, before the end of the standstill period, Endocare raised concerns with NCA about the provider selection process.</w:t>
      </w:r>
      <w:r w:rsidR="00367B72">
        <w:rPr>
          <w:rStyle w:val="FootnoteReference"/>
        </w:rPr>
        <w:footnoteReference w:id="18"/>
      </w:r>
      <w:bookmarkEnd w:id="6"/>
      <w:r w:rsidR="001570F8">
        <w:t xml:space="preserve"> </w:t>
      </w:r>
      <w:r w:rsidR="0040668A">
        <w:t xml:space="preserve">On 17 February, NCA </w:t>
      </w:r>
      <w:r w:rsidR="0040668A" w:rsidRPr="00821BAC">
        <w:t>communicated its further decision to proceed with the contract award to Venture as intended.</w:t>
      </w:r>
      <w:r w:rsidR="006C77A0">
        <w:rPr>
          <w:rStyle w:val="FootnoteReference"/>
        </w:rPr>
        <w:footnoteReference w:id="19"/>
      </w:r>
    </w:p>
    <w:p w14:paraId="3701B10B" w14:textId="4FDAC8FB" w:rsidR="008A09C6" w:rsidRDefault="009E339F" w:rsidP="00A031E6">
      <w:pPr>
        <w:pStyle w:val="ListParagraph"/>
      </w:pPr>
      <w:r w:rsidRPr="00821BAC">
        <w:t>On 24 February</w:t>
      </w:r>
      <w:r w:rsidR="00E102B6">
        <w:t xml:space="preserve"> 2026</w:t>
      </w:r>
      <w:r w:rsidRPr="00821BAC">
        <w:t xml:space="preserve">, </w:t>
      </w:r>
      <w:r w:rsidR="007E057B" w:rsidRPr="00821BAC">
        <w:t>Endocare asked the Panel to review NCA’s provider selection process. The Panel accepted this request on 25 February</w:t>
      </w:r>
      <w:r w:rsidR="009876C7" w:rsidRPr="00821BAC">
        <w:t>. On being made aware of the Panel’s acceptance decision, NCA confirmed that it would hold the standstill period open for the duration of the Panel’s review</w:t>
      </w:r>
      <w:r w:rsidR="0085748F">
        <w:t>.</w:t>
      </w:r>
    </w:p>
    <w:p w14:paraId="40999B88" w14:textId="05BEE2E5" w:rsidR="006C58CF" w:rsidRDefault="00743393" w:rsidP="00016968">
      <w:pPr>
        <w:pStyle w:val="Heading1"/>
      </w:pPr>
      <w:bookmarkStart w:id="7" w:name="_Toc230780608"/>
      <w:r>
        <w:t xml:space="preserve">Representations by </w:t>
      </w:r>
      <w:r w:rsidR="00C070FE">
        <w:t>Endocare</w:t>
      </w:r>
      <w:bookmarkEnd w:id="7"/>
    </w:p>
    <w:p w14:paraId="7A4127CD" w14:textId="1CC1F35B" w:rsidR="00743393" w:rsidRDefault="00C070FE" w:rsidP="00FB4167">
      <w:pPr>
        <w:pStyle w:val="ListParagraph"/>
        <w:spacing w:after="120"/>
      </w:pPr>
      <w:bookmarkStart w:id="8" w:name="_Ref226710353"/>
      <w:r>
        <w:t>Endocare</w:t>
      </w:r>
      <w:r w:rsidR="00743393">
        <w:t>’s concerns</w:t>
      </w:r>
      <w:r w:rsidR="00A509BE">
        <w:t>, as set out in its representations to the Panel, were as follows:</w:t>
      </w:r>
      <w:bookmarkEnd w:id="8"/>
    </w:p>
    <w:p w14:paraId="2CBA305A" w14:textId="082AA52D" w:rsidR="00D75974" w:rsidRPr="0034778B" w:rsidRDefault="00FB61F3" w:rsidP="00B44E7F">
      <w:pPr>
        <w:spacing w:after="120"/>
        <w:ind w:left="851"/>
      </w:pPr>
      <w:r w:rsidRPr="0034778B">
        <w:t>“</w:t>
      </w:r>
      <w:r w:rsidR="00B14EAB" w:rsidRPr="0034778B">
        <w:t>Representations under Regulation 12 raised concerns that the relevant authority’s evaluation and subsequent review did not comply with the Provider Selection Regime. In summary, Endocare submitted that the Trust had: (i) misapplied the published scoring methodology, (ii) failed to take into account material evidence contained within the tender, (iii) relied on criteria that were not included in the specification or evaluation rubric, (iv) failed to conduct a fair and transparent review of the representations during standstill, and (v) acted in a manner giving rise to apparent predetermination during the standstill period. These concerns were set out in detail in our representations of 26 January 2026.</w:t>
      </w:r>
      <w:r w:rsidRPr="0034778B">
        <w:t>”</w:t>
      </w:r>
    </w:p>
    <w:p w14:paraId="432E99BB" w14:textId="293A9297" w:rsidR="008B680E" w:rsidRPr="0034778B" w:rsidRDefault="008D2E19" w:rsidP="00B44E7F">
      <w:pPr>
        <w:spacing w:after="120"/>
        <w:ind w:left="851"/>
        <w:rPr>
          <w:sz w:val="21"/>
          <w:szCs w:val="21"/>
        </w:rPr>
      </w:pPr>
      <w:r w:rsidRPr="0034778B">
        <w:rPr>
          <w:sz w:val="21"/>
          <w:szCs w:val="21"/>
        </w:rPr>
        <w:t>“Regulation 4 – procurement principles:</w:t>
      </w:r>
    </w:p>
    <w:p w14:paraId="7A17E69B" w14:textId="3AE094FF" w:rsidR="00F85E33" w:rsidRPr="0034778B" w:rsidRDefault="00F463B9" w:rsidP="00B44E7F">
      <w:pPr>
        <w:spacing w:after="120"/>
        <w:ind w:left="851"/>
        <w:rPr>
          <w:sz w:val="21"/>
          <w:szCs w:val="21"/>
        </w:rPr>
      </w:pPr>
      <w:r w:rsidRPr="0034778B">
        <w:rPr>
          <w:sz w:val="21"/>
          <w:szCs w:val="21"/>
        </w:rPr>
        <w:t>“</w:t>
      </w:r>
      <w:r w:rsidR="00F85E33" w:rsidRPr="0034778B">
        <w:rPr>
          <w:sz w:val="21"/>
          <w:szCs w:val="21"/>
        </w:rPr>
        <w:t xml:space="preserve">It is considered that the principles of fairness, transparency, proportionality and consistency were not upheld. The representations identified multiple instances where </w:t>
      </w:r>
      <w:r w:rsidR="00F85E33" w:rsidRPr="0034778B">
        <w:rPr>
          <w:sz w:val="21"/>
          <w:szCs w:val="21"/>
        </w:rPr>
        <w:lastRenderedPageBreak/>
        <w:t>the Decision Summary stated that Endocare had not provided evidence which was, in fact, clearly present in the bid. Examples included withdrawal times, detailed mobilisation plans, contingency timelines, DNA reduction measures, governance arrangements and KPI evidence. The Trust’s review did not engage with these discrepancies, instead concluding that the concerns amounted to mere disagreement with evaluative judgement</w:t>
      </w:r>
    </w:p>
    <w:p w14:paraId="51AE6268" w14:textId="45996E9B" w:rsidR="00F463B9" w:rsidRPr="0034778B" w:rsidRDefault="00F463B9" w:rsidP="00B44E7F">
      <w:pPr>
        <w:spacing w:after="120"/>
        <w:ind w:left="851"/>
        <w:rPr>
          <w:sz w:val="21"/>
          <w:szCs w:val="21"/>
        </w:rPr>
      </w:pPr>
      <w:r w:rsidRPr="0034778B">
        <w:rPr>
          <w:sz w:val="21"/>
          <w:szCs w:val="21"/>
        </w:rPr>
        <w:t>“Regulation 6 – Proper application of the process:</w:t>
      </w:r>
    </w:p>
    <w:p w14:paraId="063F2B81" w14:textId="2AC9F55C" w:rsidR="00F463B9" w:rsidRPr="0034778B" w:rsidRDefault="00F463B9" w:rsidP="00B44E7F">
      <w:pPr>
        <w:spacing w:after="120"/>
        <w:ind w:left="851"/>
        <w:rPr>
          <w:sz w:val="21"/>
          <w:szCs w:val="21"/>
        </w:rPr>
      </w:pPr>
      <w:r w:rsidRPr="0034778B">
        <w:rPr>
          <w:sz w:val="21"/>
          <w:szCs w:val="21"/>
        </w:rPr>
        <w:t>“</w:t>
      </w:r>
      <w:r w:rsidR="006D1EE4" w:rsidRPr="0034778B">
        <w:rPr>
          <w:sz w:val="21"/>
          <w:szCs w:val="21"/>
        </w:rPr>
        <w:t>Representations explained that evaluation findings appeared inconsistent with the content of the tender, and that the Trust had not followed its own stated methodology. The review process did not address why clear factual errors in the scoring narrative were repeated, nor did it clarify why Endocare’s evidence of eight years of uninterrupted delivery, KPI performance and proven service resilience did not amount to meeting or exceeding the expectations for higher scoring</w:t>
      </w:r>
      <w:r w:rsidR="00226450" w:rsidRPr="0034778B">
        <w:rPr>
          <w:sz w:val="21"/>
          <w:szCs w:val="21"/>
        </w:rPr>
        <w:t>.</w:t>
      </w:r>
    </w:p>
    <w:p w14:paraId="328E5F1E" w14:textId="5B00DF9A" w:rsidR="00C10A0A" w:rsidRPr="0034778B" w:rsidRDefault="00C10A0A" w:rsidP="00B44E7F">
      <w:pPr>
        <w:spacing w:after="120"/>
        <w:ind w:left="851"/>
        <w:rPr>
          <w:sz w:val="21"/>
          <w:szCs w:val="21"/>
        </w:rPr>
      </w:pPr>
      <w:r w:rsidRPr="0034778B">
        <w:rPr>
          <w:sz w:val="21"/>
          <w:szCs w:val="21"/>
        </w:rPr>
        <w:t>“Regulation 11 – Competitive process:</w:t>
      </w:r>
    </w:p>
    <w:p w14:paraId="48AC1EAE" w14:textId="20D69F51" w:rsidR="00C10A0A" w:rsidRPr="0034778B" w:rsidRDefault="00C10A0A" w:rsidP="00B44E7F">
      <w:pPr>
        <w:spacing w:after="120"/>
        <w:ind w:left="851"/>
        <w:rPr>
          <w:sz w:val="21"/>
          <w:szCs w:val="21"/>
        </w:rPr>
      </w:pPr>
      <w:r w:rsidRPr="0034778B">
        <w:rPr>
          <w:sz w:val="21"/>
          <w:szCs w:val="21"/>
        </w:rPr>
        <w:t>“</w:t>
      </w:r>
      <w:r w:rsidR="00226450" w:rsidRPr="0034778B">
        <w:rPr>
          <w:sz w:val="21"/>
          <w:szCs w:val="21"/>
        </w:rPr>
        <w:t>It was submitted that the evaluation relied on irrelevant or unpublished criteria, including reference to BORN Barrett’s and HIGAN modules, which were not part of the ITT and relate to specialist cancer pathways outside the stated scope of the procurement. The review letter confirmed that such examples were only “illustrative”, but did not explain why they had been used as benchmarks for awarding an “Excellent” score or how this complied with the requirement to evaluate solely against published criteria.</w:t>
      </w:r>
    </w:p>
    <w:p w14:paraId="4A0B9DBD" w14:textId="7A032613" w:rsidR="002D1103" w:rsidRPr="0034778B" w:rsidRDefault="002D1103" w:rsidP="00B44E7F">
      <w:pPr>
        <w:spacing w:after="120"/>
        <w:ind w:left="851"/>
        <w:rPr>
          <w:sz w:val="21"/>
          <w:szCs w:val="21"/>
        </w:rPr>
      </w:pPr>
      <w:r w:rsidRPr="0034778B">
        <w:rPr>
          <w:sz w:val="21"/>
          <w:szCs w:val="21"/>
        </w:rPr>
        <w:t xml:space="preserve">“Regulation 12 </w:t>
      </w:r>
      <w:r w:rsidR="006555D3" w:rsidRPr="0034778B">
        <w:rPr>
          <w:sz w:val="21"/>
          <w:szCs w:val="21"/>
        </w:rPr>
        <w:t>–</w:t>
      </w:r>
      <w:r w:rsidRPr="0034778B">
        <w:rPr>
          <w:sz w:val="21"/>
          <w:szCs w:val="21"/>
        </w:rPr>
        <w:t xml:space="preserve"> </w:t>
      </w:r>
      <w:r w:rsidR="006555D3" w:rsidRPr="0034778B">
        <w:rPr>
          <w:sz w:val="21"/>
          <w:szCs w:val="21"/>
        </w:rPr>
        <w:t>Standstill period and review of representations:</w:t>
      </w:r>
    </w:p>
    <w:p w14:paraId="42FFCF06" w14:textId="63279660" w:rsidR="006555D3" w:rsidRPr="0034778B" w:rsidRDefault="006555D3" w:rsidP="00B44E7F">
      <w:pPr>
        <w:spacing w:after="120"/>
        <w:ind w:left="851"/>
        <w:rPr>
          <w:sz w:val="21"/>
          <w:szCs w:val="21"/>
        </w:rPr>
      </w:pPr>
      <w:r w:rsidRPr="0034778B">
        <w:rPr>
          <w:sz w:val="21"/>
          <w:szCs w:val="21"/>
        </w:rPr>
        <w:t>“</w:t>
      </w:r>
      <w:r w:rsidR="00901FDE" w:rsidRPr="0034778B">
        <w:rPr>
          <w:sz w:val="21"/>
          <w:szCs w:val="21"/>
        </w:rPr>
        <w:t xml:space="preserve">Concerns were raised about procedural fairness during standstill after the Clinical Director emailed consultants stating that the successful provider </w:t>
      </w:r>
      <w:r w:rsidR="00273338">
        <w:rPr>
          <w:sz w:val="21"/>
          <w:szCs w:val="21"/>
        </w:rPr>
        <w:t>‘</w:t>
      </w:r>
      <w:r w:rsidR="00901FDE" w:rsidRPr="0034778B">
        <w:rPr>
          <w:sz w:val="21"/>
          <w:szCs w:val="21"/>
        </w:rPr>
        <w:t>will be taking over</w:t>
      </w:r>
      <w:r w:rsidR="00273338">
        <w:rPr>
          <w:sz w:val="21"/>
          <w:szCs w:val="21"/>
        </w:rPr>
        <w:t>’</w:t>
      </w:r>
      <w:r w:rsidR="00901FDE" w:rsidRPr="0034778B">
        <w:rPr>
          <w:sz w:val="21"/>
          <w:szCs w:val="21"/>
        </w:rPr>
        <w:t xml:space="preserve"> before standstill was due to end. It was submitted that this indicated apparent predetermination and undermined the statutory purpose of standstill and the requirement for genuine consideration of representations. The Trust’s review accepted that the email was sent during standstill but dismissed the concern without addressing the impression created.</w:t>
      </w:r>
    </w:p>
    <w:p w14:paraId="0FF5F00E" w14:textId="0F97818C" w:rsidR="004F2C9B" w:rsidRPr="0034778B" w:rsidRDefault="004F2C9B" w:rsidP="00B44E7F">
      <w:pPr>
        <w:spacing w:after="120"/>
        <w:ind w:left="851"/>
        <w:rPr>
          <w:sz w:val="21"/>
          <w:szCs w:val="21"/>
        </w:rPr>
      </w:pPr>
      <w:r w:rsidRPr="0034778B">
        <w:rPr>
          <w:sz w:val="21"/>
          <w:szCs w:val="21"/>
        </w:rPr>
        <w:t>“Outstanding issues:</w:t>
      </w:r>
    </w:p>
    <w:p w14:paraId="4CBD1B07" w14:textId="2C02217B" w:rsidR="004F2C9B" w:rsidRPr="0034778B" w:rsidRDefault="00DD4F2E" w:rsidP="00437BD3">
      <w:pPr>
        <w:ind w:left="851"/>
        <w:rPr>
          <w:sz w:val="21"/>
          <w:szCs w:val="21"/>
        </w:rPr>
      </w:pPr>
      <w:r w:rsidRPr="0034778B">
        <w:rPr>
          <w:sz w:val="21"/>
          <w:szCs w:val="21"/>
        </w:rPr>
        <w:t>“The Trust’s review did not resolve: (a) the factual discrepancies between the evidence in Endocare’s tender and the statements in the Decision Summary, (b) the use of irrelevant criteria not contained in the specification, (c) the failure to engage with Endocare’s evidence of enhanced performance and added value, (d) the lack of explanation</w:t>
      </w:r>
      <w:r w:rsidR="003A5A28" w:rsidRPr="0034778B">
        <w:rPr>
          <w:sz w:val="21"/>
          <w:szCs w:val="21"/>
        </w:rPr>
        <w:t xml:space="preserve"> for treating objectively measurable improvements as insufficient for higher scoring, and (e) the implications of the 20 January email during standstill. All issues raised in the representations therefore remain outstanding.”</w:t>
      </w:r>
    </w:p>
    <w:p w14:paraId="76CE3FD5" w14:textId="75A1D71E" w:rsidR="00D75974" w:rsidRDefault="00D75974" w:rsidP="00016968">
      <w:pPr>
        <w:pStyle w:val="Heading1"/>
      </w:pPr>
      <w:bookmarkStart w:id="9" w:name="_Toc230780609"/>
      <w:r w:rsidRPr="00D75974">
        <w:t>PSR regulations relevant to this review</w:t>
      </w:r>
      <w:bookmarkEnd w:id="9"/>
    </w:p>
    <w:p w14:paraId="0DAD9C15" w14:textId="1F51D619" w:rsidR="00582AD4" w:rsidRPr="003A5A28" w:rsidRDefault="00A509BE" w:rsidP="00FB4167">
      <w:pPr>
        <w:pStyle w:val="ListParagraph"/>
        <w:spacing w:after="120"/>
      </w:pPr>
      <w:r w:rsidRPr="003A5A28">
        <w:t>This section sets out those parts of the PSR regulations most relevant to this review:</w:t>
      </w:r>
    </w:p>
    <w:p w14:paraId="031600B2" w14:textId="6A57A341" w:rsidR="001E6F0E" w:rsidRPr="00271E13" w:rsidRDefault="001E6F0E" w:rsidP="00FB4167">
      <w:pPr>
        <w:pStyle w:val="ListParagraph"/>
        <w:numPr>
          <w:ilvl w:val="0"/>
          <w:numId w:val="12"/>
        </w:numPr>
        <w:spacing w:after="120"/>
      </w:pPr>
      <w:r w:rsidRPr="00271E13">
        <w:t xml:space="preserve">Regulation </w:t>
      </w:r>
      <w:r>
        <w:t xml:space="preserve">4 </w:t>
      </w:r>
      <w:r w:rsidRPr="00271E13">
        <w:t xml:space="preserve">sets out </w:t>
      </w:r>
      <w:r>
        <w:t xml:space="preserve">the general requirements on commissioners when selecting a provider of health care services. This states that “(1) When procuring relevant health care services, a relevant authority must act – (a) with a view to (i) securing the needs of the people who use the services; (ii) improving the quality of the </w:t>
      </w:r>
      <w:r>
        <w:lastRenderedPageBreak/>
        <w:t>services; and (iii) improving the efficiency in the provision of the services; and (b) transparently, fairly and proportionately”.</w:t>
      </w:r>
    </w:p>
    <w:p w14:paraId="7C53C3C3" w14:textId="6FA9B577" w:rsidR="007C0E34" w:rsidRDefault="007C0E34" w:rsidP="00FB4167">
      <w:pPr>
        <w:pStyle w:val="ListParagraph"/>
        <w:numPr>
          <w:ilvl w:val="0"/>
          <w:numId w:val="12"/>
        </w:numPr>
        <w:spacing w:after="120"/>
      </w:pPr>
      <w:r w:rsidRPr="003C2B65">
        <w:t xml:space="preserve">Regulation 6 sets out the appropriate process a relevant authority must follow when procuring a relevant health care service to which the PSR regulations apply. </w:t>
      </w:r>
      <w:r w:rsidR="00AF49FA" w:rsidRPr="003C2B65">
        <w:t>This states that “(7) Where (a) the relevant authority is not required to follow Direct Award Process A or Direct Award Process B, and (b) neither paragraph (5) nor (6) applies,</w:t>
      </w:r>
      <w:r w:rsidR="00AF49FA">
        <w:rPr>
          <w:rStyle w:val="FootnoteReference"/>
        </w:rPr>
        <w:footnoteReference w:id="20"/>
      </w:r>
      <w:r w:rsidR="00AF49FA" w:rsidRPr="003C2B65">
        <w:t xml:space="preserve"> the relevant authority must follow the Competitive Process”.</w:t>
      </w:r>
    </w:p>
    <w:p w14:paraId="6E312FD3" w14:textId="7B2A8221" w:rsidR="006A26DB" w:rsidRPr="005F1F0E" w:rsidRDefault="005F1F0E" w:rsidP="00FB4167">
      <w:pPr>
        <w:pStyle w:val="ListParagraph"/>
        <w:numPr>
          <w:ilvl w:val="0"/>
          <w:numId w:val="12"/>
        </w:numPr>
        <w:spacing w:after="120"/>
      </w:pPr>
      <w:r w:rsidRPr="005F1F0E">
        <w:t>Regulation 11 sets out the obligations that apply to commissioners when following the competitive process. It states that “(1) Where the relevant authority follows the Competitive Process, the process is that the relevant authority follows the steps set out in this regulation. (2) Step 1 is that the relevant authority determines the contract or framework award criteria, taking into account the key criteria and applying the basic selection criteria… (5) Step 3 is that the relevant authority assesses any offers received in accordance with the contract or framework award criteria…”</w:t>
      </w:r>
    </w:p>
    <w:p w14:paraId="10D2F349" w14:textId="23BA4F63" w:rsidR="006A26DB" w:rsidRPr="00585C8E" w:rsidRDefault="00A06DD1" w:rsidP="00A031E6">
      <w:pPr>
        <w:pStyle w:val="ListParagraph"/>
        <w:numPr>
          <w:ilvl w:val="0"/>
          <w:numId w:val="12"/>
        </w:numPr>
      </w:pPr>
      <w:r>
        <w:t xml:space="preserve">Regulation 12 sets out the requirements on commissioners in relation to the standstill period after a contract award decision. It states that “(4) Where the relevant authority receives representations [during the standstill period], it must </w:t>
      </w:r>
      <w:r w:rsidR="001A558B">
        <w:t xml:space="preserve">(a) </w:t>
      </w:r>
      <w:r w:rsidR="001A558B" w:rsidRPr="001A558B">
        <w:t>ensure each provider who made representations is afforded such further opportunity to explain or clarify the representations made as the relevant authority considers appropriate</w:t>
      </w:r>
      <w:r w:rsidR="00314763">
        <w:t>;</w:t>
      </w:r>
      <w:r w:rsidR="005730F9">
        <w:t xml:space="preserve"> </w:t>
      </w:r>
      <w:r>
        <w:t>… (c) review the decision to award the contract or conclude the framework agreement, taking into account the representations made …”</w:t>
      </w:r>
    </w:p>
    <w:p w14:paraId="2E438609" w14:textId="6A2F5A8B" w:rsidR="00CB6602" w:rsidRDefault="00873325" w:rsidP="00A031E6">
      <w:pPr>
        <w:pStyle w:val="ListParagraph"/>
      </w:pPr>
      <w:r>
        <w:t xml:space="preserve">Commissioners must also have regard to the Provider Selection Regime statutory guidance when arranging services under the PSR regulations (as per s12ZB(5) of the National Health Service Act 2006). </w:t>
      </w:r>
      <w:r>
        <w:rPr>
          <w:rStyle w:val="FootnoteReference"/>
        </w:rPr>
        <w:footnoteReference w:id="21"/>
      </w:r>
      <w:r w:rsidR="00121813">
        <w:t xml:space="preserve"> Reference is made, where necessary, to relevant provisions of the statutory guidance in the Panel’s assessment of the issues in </w:t>
      </w:r>
      <w:r w:rsidR="00BB4CFF">
        <w:t>S</w:t>
      </w:r>
      <w:r w:rsidR="00121813">
        <w:t>ection</w:t>
      </w:r>
      <w:r w:rsidR="00BB4CFF">
        <w:t> </w:t>
      </w:r>
      <w:r w:rsidR="00121813">
        <w:t>7.</w:t>
      </w:r>
    </w:p>
    <w:p w14:paraId="591F2E5C" w14:textId="2AD143BB" w:rsidR="008027E6" w:rsidRDefault="00AC4330" w:rsidP="00016968">
      <w:pPr>
        <w:pStyle w:val="Heading1"/>
      </w:pPr>
      <w:bookmarkStart w:id="10" w:name="_Toc230780610"/>
      <w:r>
        <w:t>Panel Assessment</w:t>
      </w:r>
      <w:bookmarkEnd w:id="10"/>
    </w:p>
    <w:p w14:paraId="718959CC" w14:textId="07D11C59" w:rsidR="006319F1" w:rsidRDefault="00AC4330" w:rsidP="003D5400">
      <w:pPr>
        <w:pStyle w:val="ListParagraph"/>
        <w:contextualSpacing/>
      </w:pPr>
      <w:r>
        <w:t xml:space="preserve">This section </w:t>
      </w:r>
      <w:r w:rsidR="00176656">
        <w:t xml:space="preserve">sets out the Panel’s assessment of </w:t>
      </w:r>
      <w:r w:rsidR="003B5149">
        <w:t xml:space="preserve">whether </w:t>
      </w:r>
      <w:r w:rsidR="00440D12">
        <w:t>NCA</w:t>
      </w:r>
      <w:r w:rsidR="003B5149">
        <w:t xml:space="preserve">, </w:t>
      </w:r>
      <w:r w:rsidR="00814292">
        <w:t>in</w:t>
      </w:r>
      <w:r w:rsidR="003B5149">
        <w:t xml:space="preserve"> conducting the provider selection process for </w:t>
      </w:r>
      <w:r w:rsidR="001F7530">
        <w:t>DDIS</w:t>
      </w:r>
      <w:r w:rsidR="003B5149" w:rsidRPr="004B2D76">
        <w:t>,</w:t>
      </w:r>
      <w:r w:rsidR="003B5149">
        <w:t xml:space="preserve"> </w:t>
      </w:r>
      <w:r w:rsidR="005C0D9A">
        <w:t>breached</w:t>
      </w:r>
      <w:r w:rsidR="003B5149">
        <w:t xml:space="preserve"> the PSR regulations </w:t>
      </w:r>
      <w:r w:rsidR="00424971">
        <w:t>when</w:t>
      </w:r>
      <w:r w:rsidR="003B5149">
        <w:t>:</w:t>
      </w:r>
    </w:p>
    <w:p w14:paraId="7354EA12" w14:textId="40E8599F" w:rsidR="00E75817" w:rsidRPr="007D2F66" w:rsidRDefault="009634DD" w:rsidP="0079282E">
      <w:pPr>
        <w:pStyle w:val="ListParagraph"/>
        <w:numPr>
          <w:ilvl w:val="0"/>
          <w:numId w:val="12"/>
        </w:numPr>
        <w:ind w:left="1276" w:hanging="425"/>
        <w:contextualSpacing/>
      </w:pPr>
      <w:r w:rsidRPr="007D2F66">
        <w:t>first,</w:t>
      </w:r>
      <w:r w:rsidR="00E220E1" w:rsidRPr="007D2F66">
        <w:t xml:space="preserve"> </w:t>
      </w:r>
      <w:r w:rsidR="008C7168" w:rsidRPr="007D2F66">
        <w:t>evalu</w:t>
      </w:r>
      <w:r w:rsidR="008C7168" w:rsidRPr="004B2D76">
        <w:t>ati</w:t>
      </w:r>
      <w:r w:rsidR="003E12A6">
        <w:t>ng</w:t>
      </w:r>
      <w:r w:rsidR="008C7168" w:rsidRPr="004B2D76">
        <w:t xml:space="preserve"> and scoring </w:t>
      </w:r>
      <w:r w:rsidR="00F0088C">
        <w:t>bidders’</w:t>
      </w:r>
      <w:r w:rsidR="00F0088C" w:rsidRPr="004B2D76">
        <w:t xml:space="preserve"> </w:t>
      </w:r>
      <w:r w:rsidR="00A27C76">
        <w:t xml:space="preserve">answers </w:t>
      </w:r>
      <w:r w:rsidR="003346CF" w:rsidRPr="004B2D76">
        <w:t xml:space="preserve">to </w:t>
      </w:r>
      <w:r w:rsidR="00424971">
        <w:t xml:space="preserve">the </w:t>
      </w:r>
      <w:r w:rsidR="003346CF" w:rsidRPr="004B2D76">
        <w:t>quality</w:t>
      </w:r>
      <w:r w:rsidR="0010568C" w:rsidRPr="004B2D76">
        <w:t>-related</w:t>
      </w:r>
      <w:r w:rsidR="003346CF" w:rsidRPr="004B2D76">
        <w:t xml:space="preserve"> questions</w:t>
      </w:r>
      <w:r w:rsidR="003346CF">
        <w:t xml:space="preserve"> </w:t>
      </w:r>
      <w:r w:rsidR="00192205" w:rsidRPr="007D2F66">
        <w:t>(see Section 7.1);</w:t>
      </w:r>
    </w:p>
    <w:p w14:paraId="618AC054" w14:textId="7E9B2693" w:rsidR="00316097" w:rsidRDefault="00D30BCB" w:rsidP="007B77ED">
      <w:pPr>
        <w:pStyle w:val="ListParagraph"/>
        <w:numPr>
          <w:ilvl w:val="0"/>
          <w:numId w:val="13"/>
        </w:numPr>
        <w:ind w:left="1276" w:hanging="425"/>
        <w:contextualSpacing/>
      </w:pPr>
      <w:r>
        <w:t>second,</w:t>
      </w:r>
      <w:r w:rsidR="003C4D4B">
        <w:t xml:space="preserve"> </w:t>
      </w:r>
      <w:r w:rsidR="00646D41">
        <w:t>evaluating</w:t>
      </w:r>
      <w:r w:rsidR="005D7B66">
        <w:t xml:space="preserve"> and scoring</w:t>
      </w:r>
      <w:r w:rsidR="003E12A6">
        <w:t xml:space="preserve"> </w:t>
      </w:r>
      <w:r w:rsidR="00123810">
        <w:t>bidders’ commercial offers</w:t>
      </w:r>
      <w:r w:rsidR="00F030C3">
        <w:t xml:space="preserve"> </w:t>
      </w:r>
      <w:r w:rsidR="00782F3E">
        <w:t>(see Section</w:t>
      </w:r>
      <w:r w:rsidR="00A27C76">
        <w:t> </w:t>
      </w:r>
      <w:r w:rsidR="00782F3E">
        <w:t>7.2); and</w:t>
      </w:r>
    </w:p>
    <w:p w14:paraId="3A658D7B" w14:textId="513DED52" w:rsidR="00192205" w:rsidRPr="007D2F66" w:rsidRDefault="306D9469" w:rsidP="007B77ED">
      <w:pPr>
        <w:pStyle w:val="ListParagraph"/>
        <w:numPr>
          <w:ilvl w:val="0"/>
          <w:numId w:val="13"/>
        </w:numPr>
        <w:ind w:left="1276" w:hanging="425"/>
      </w:pPr>
      <w:r>
        <w:t xml:space="preserve">finally, </w:t>
      </w:r>
      <w:r w:rsidR="2C2F7DAB">
        <w:t>review</w:t>
      </w:r>
      <w:r w:rsidR="003E12A6">
        <w:t>ing</w:t>
      </w:r>
      <w:r w:rsidR="2C2F7DAB">
        <w:t xml:space="preserve"> </w:t>
      </w:r>
      <w:r w:rsidR="663BA552">
        <w:t>Endocare’s representations</w:t>
      </w:r>
      <w:r w:rsidR="2292AF0D">
        <w:t xml:space="preserve"> (see Section 7.</w:t>
      </w:r>
      <w:r w:rsidR="6D66D27E">
        <w:t>3</w:t>
      </w:r>
      <w:r w:rsidR="2292AF0D">
        <w:t>)</w:t>
      </w:r>
      <w:r w:rsidR="116A92D7">
        <w:t>.</w:t>
      </w:r>
    </w:p>
    <w:p w14:paraId="4D591FAA" w14:textId="269C615B" w:rsidR="00C329E2" w:rsidRPr="004B2D76" w:rsidRDefault="00404216" w:rsidP="00E20EF5">
      <w:pPr>
        <w:pStyle w:val="Heading2"/>
      </w:pPr>
      <w:bookmarkStart w:id="11" w:name="_Toc230780611"/>
      <w:r w:rsidRPr="004B2D76">
        <w:lastRenderedPageBreak/>
        <w:t>NCA’s e</w:t>
      </w:r>
      <w:r w:rsidR="00BF09ED" w:rsidRPr="004B2D76">
        <w:t xml:space="preserve">valuation and scoring of </w:t>
      </w:r>
      <w:r w:rsidR="003346CF" w:rsidRPr="004B2D76">
        <w:t>quality</w:t>
      </w:r>
      <w:r w:rsidR="0010568C" w:rsidRPr="004B2D76">
        <w:t>-related</w:t>
      </w:r>
      <w:r w:rsidR="003346CF" w:rsidRPr="004B2D76">
        <w:t xml:space="preserve"> </w:t>
      </w:r>
      <w:r w:rsidR="00202F85" w:rsidRPr="004B2D76">
        <w:t>questions</w:t>
      </w:r>
      <w:bookmarkEnd w:id="11"/>
    </w:p>
    <w:p w14:paraId="331F9B7B" w14:textId="0854A326" w:rsidR="00643FDF" w:rsidRDefault="00643FDF" w:rsidP="002907B7">
      <w:pPr>
        <w:pStyle w:val="ListParagraph"/>
        <w:contextualSpacing/>
      </w:pPr>
      <w:r>
        <w:t xml:space="preserve">This section sets out the Panel’s assessment of NCA’s evaluation and scoring of bidders’ </w:t>
      </w:r>
      <w:r w:rsidR="00EB3BDA">
        <w:t>responses to</w:t>
      </w:r>
      <w:r>
        <w:t xml:space="preserve"> </w:t>
      </w:r>
      <w:r w:rsidR="000011F7">
        <w:t xml:space="preserve">the </w:t>
      </w:r>
      <w:r w:rsidR="009D1B48">
        <w:t xml:space="preserve">quality-related </w:t>
      </w:r>
      <w:r>
        <w:t>questions</w:t>
      </w:r>
      <w:r w:rsidR="0062407F">
        <w:t>.</w:t>
      </w:r>
    </w:p>
    <w:p w14:paraId="5E9C96EC" w14:textId="3383E5C8" w:rsidR="00643FDF" w:rsidRDefault="0062407F" w:rsidP="002907B7">
      <w:pPr>
        <w:pStyle w:val="ListParagraph"/>
        <w:numPr>
          <w:ilvl w:val="0"/>
          <w:numId w:val="27"/>
        </w:numPr>
        <w:contextualSpacing/>
      </w:pPr>
      <w:r>
        <w:t xml:space="preserve">Section 7.1.1 </w:t>
      </w:r>
      <w:r w:rsidR="00AA4647">
        <w:t xml:space="preserve">reviews </w:t>
      </w:r>
      <w:r w:rsidR="00643FDF">
        <w:t xml:space="preserve">NCA’s </w:t>
      </w:r>
      <w:r w:rsidR="00643FDF" w:rsidRPr="00310FEA">
        <w:t>design and</w:t>
      </w:r>
      <w:r w:rsidR="00643FDF">
        <w:t xml:space="preserve"> application of the scoring methodology;</w:t>
      </w:r>
    </w:p>
    <w:p w14:paraId="3856C263" w14:textId="1735B027" w:rsidR="00643FDF" w:rsidRDefault="00AA4647" w:rsidP="002907B7">
      <w:pPr>
        <w:pStyle w:val="ListParagraph"/>
        <w:numPr>
          <w:ilvl w:val="0"/>
          <w:numId w:val="27"/>
        </w:numPr>
        <w:contextualSpacing/>
      </w:pPr>
      <w:r>
        <w:t>Section 7.1.2 reviews</w:t>
      </w:r>
      <w:r w:rsidR="00643FDF">
        <w:t xml:space="preserve"> whether NCA failed to take into account material evidence </w:t>
      </w:r>
      <w:r w:rsidR="00676E2A">
        <w:t xml:space="preserve">when </w:t>
      </w:r>
      <w:r w:rsidR="00643FDF">
        <w:t>evaluati</w:t>
      </w:r>
      <w:r w:rsidR="00676E2A">
        <w:t xml:space="preserve">ng </w:t>
      </w:r>
      <w:r w:rsidR="00643FDF">
        <w:t>Endocare’s proposal</w:t>
      </w:r>
      <w:r>
        <w:t xml:space="preserve">; </w:t>
      </w:r>
      <w:r w:rsidR="000D1E57">
        <w:t>and</w:t>
      </w:r>
    </w:p>
    <w:p w14:paraId="736C23F5" w14:textId="5F39B991" w:rsidR="00643FDF" w:rsidRDefault="000D1E57" w:rsidP="00A031E6">
      <w:pPr>
        <w:pStyle w:val="ListParagraph"/>
        <w:numPr>
          <w:ilvl w:val="0"/>
          <w:numId w:val="27"/>
        </w:numPr>
      </w:pPr>
      <w:r>
        <w:t>Section 7.1.3 reviews</w:t>
      </w:r>
      <w:r w:rsidR="00643FDF">
        <w:t xml:space="preserve"> whether NCA relied on undisclosed criteria </w:t>
      </w:r>
      <w:r w:rsidR="00676E2A">
        <w:t xml:space="preserve">when </w:t>
      </w:r>
      <w:r w:rsidR="00643FDF">
        <w:t>evaluatin</w:t>
      </w:r>
      <w:r w:rsidR="00676E2A">
        <w:t>g</w:t>
      </w:r>
      <w:r w:rsidR="00643FDF">
        <w:t xml:space="preserve"> Endocare’s proposal</w:t>
      </w:r>
      <w:r>
        <w:t>.</w:t>
      </w:r>
    </w:p>
    <w:p w14:paraId="384F29C3" w14:textId="0C95067A" w:rsidR="00C27555" w:rsidRPr="005F14C4" w:rsidRDefault="00FC2AF6" w:rsidP="0057529F">
      <w:pPr>
        <w:spacing w:before="240"/>
        <w:rPr>
          <w:b/>
          <w:bCs/>
        </w:rPr>
      </w:pPr>
      <w:r w:rsidRPr="00A41D12">
        <w:rPr>
          <w:b/>
          <w:bCs/>
        </w:rPr>
        <w:t>7.1.1 Design and a</w:t>
      </w:r>
      <w:r w:rsidR="005F14C4" w:rsidRPr="00A41D12">
        <w:rPr>
          <w:b/>
          <w:bCs/>
        </w:rPr>
        <w:t>pplication of the scoring methodology</w:t>
      </w:r>
    </w:p>
    <w:p w14:paraId="1F723870" w14:textId="112A165E" w:rsidR="00F66327" w:rsidRDefault="00B06095" w:rsidP="00F66327">
      <w:pPr>
        <w:pStyle w:val="ListParagraph"/>
      </w:pPr>
      <w:bookmarkStart w:id="12" w:name="_Ref228972639"/>
      <w:bookmarkStart w:id="13" w:name="_Ref227330182"/>
      <w:r>
        <w:t>B</w:t>
      </w:r>
      <w:r w:rsidR="00F66327">
        <w:t>idders</w:t>
      </w:r>
      <w:r w:rsidR="00D13677">
        <w:t>, in submitting their proposals,</w:t>
      </w:r>
      <w:r w:rsidR="00F66327">
        <w:t xml:space="preserve"> were asked to respond to </w:t>
      </w:r>
      <w:r w:rsidR="007547F8">
        <w:t xml:space="preserve">the </w:t>
      </w:r>
      <w:r w:rsidR="00F66327">
        <w:t xml:space="preserve">eight </w:t>
      </w:r>
      <w:r w:rsidR="00F66327" w:rsidRPr="00642B7B">
        <w:t>questions</w:t>
      </w:r>
      <w:r w:rsidR="00F66327">
        <w:t xml:space="preserve"> </w:t>
      </w:r>
      <w:r w:rsidR="007547F8">
        <w:t xml:space="preserve">set out in </w:t>
      </w:r>
      <w:r w:rsidR="00F66327">
        <w:t xml:space="preserve">the </w:t>
      </w:r>
      <w:r w:rsidR="00B53CC1">
        <w:t xml:space="preserve">first </w:t>
      </w:r>
      <w:r w:rsidR="00F66327">
        <w:t>table below</w:t>
      </w:r>
      <w:r w:rsidR="00D13677">
        <w:t>.</w:t>
      </w:r>
      <w:r w:rsidR="00F66327">
        <w:rPr>
          <w:rStyle w:val="FootnoteReference"/>
        </w:rPr>
        <w:footnoteReference w:id="22"/>
      </w:r>
      <w:r w:rsidR="007779DA">
        <w:t xml:space="preserve"> The scoring methodology </w:t>
      </w:r>
      <w:r w:rsidR="006B49DF">
        <w:t>for evaluatin</w:t>
      </w:r>
      <w:r w:rsidR="00642736">
        <w:t>g</w:t>
      </w:r>
      <w:r w:rsidR="006B49DF">
        <w:t xml:space="preserve"> </w:t>
      </w:r>
      <w:r w:rsidR="001D05BD">
        <w:t xml:space="preserve">answers to </w:t>
      </w:r>
      <w:r w:rsidR="006B49DF">
        <w:t>questions one to seven (Q01-Q07)</w:t>
      </w:r>
      <w:r w:rsidR="00642736">
        <w:t xml:space="preserve">, as </w:t>
      </w:r>
      <w:r w:rsidR="006B49DF">
        <w:t xml:space="preserve">published </w:t>
      </w:r>
      <w:r w:rsidR="009E55C9">
        <w:t xml:space="preserve">in </w:t>
      </w:r>
      <w:r w:rsidR="001D05BD">
        <w:t xml:space="preserve">the </w:t>
      </w:r>
      <w:r w:rsidR="00B53CC1">
        <w:t>tender documentation</w:t>
      </w:r>
      <w:r w:rsidR="00642736">
        <w:t>,</w:t>
      </w:r>
      <w:r w:rsidR="00B53CC1">
        <w:t xml:space="preserve"> </w:t>
      </w:r>
      <w:r w:rsidR="00752E91">
        <w:t xml:space="preserve">is </w:t>
      </w:r>
      <w:r w:rsidR="00B53CC1">
        <w:t>replicated</w:t>
      </w:r>
      <w:r w:rsidR="00C53B60">
        <w:t xml:space="preserve"> in the second table.</w:t>
      </w:r>
      <w:bookmarkEnd w:id="12"/>
    </w:p>
    <w:tbl>
      <w:tblPr>
        <w:tblStyle w:val="TableGrid"/>
        <w:tblW w:w="0" w:type="auto"/>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9"/>
        <w:gridCol w:w="3544"/>
        <w:gridCol w:w="1559"/>
      </w:tblGrid>
      <w:tr w:rsidR="002F7DA1" w14:paraId="318C2CBC" w14:textId="77777777">
        <w:tc>
          <w:tcPr>
            <w:tcW w:w="3119" w:type="dxa"/>
            <w:shd w:val="clear" w:color="auto" w:fill="D9D9D9" w:themeFill="background1" w:themeFillShade="D9"/>
          </w:tcPr>
          <w:p w14:paraId="7BEBF068" w14:textId="77777777" w:rsidR="00F66327" w:rsidRDefault="00F66327">
            <w:pPr>
              <w:spacing w:before="60" w:after="60"/>
              <w:rPr>
                <w:b/>
                <w:bCs/>
                <w:sz w:val="18"/>
                <w:szCs w:val="18"/>
              </w:rPr>
            </w:pPr>
            <w:r>
              <w:rPr>
                <w:b/>
                <w:bCs/>
                <w:sz w:val="18"/>
                <w:szCs w:val="18"/>
              </w:rPr>
              <w:t>Key Criteria</w:t>
            </w:r>
          </w:p>
        </w:tc>
        <w:tc>
          <w:tcPr>
            <w:tcW w:w="3544" w:type="dxa"/>
            <w:shd w:val="clear" w:color="auto" w:fill="D9D9D9" w:themeFill="background1" w:themeFillShade="D9"/>
          </w:tcPr>
          <w:p w14:paraId="2572D02D" w14:textId="77777777" w:rsidR="00F66327" w:rsidRPr="007B77ED" w:rsidRDefault="00F66327">
            <w:pPr>
              <w:spacing w:before="60" w:after="60"/>
              <w:rPr>
                <w:b/>
                <w:sz w:val="18"/>
                <w:szCs w:val="18"/>
              </w:rPr>
            </w:pPr>
            <w:r w:rsidRPr="007B77ED">
              <w:rPr>
                <w:b/>
                <w:sz w:val="18"/>
                <w:szCs w:val="18"/>
              </w:rPr>
              <w:t>Evaluation Criteria</w:t>
            </w:r>
          </w:p>
        </w:tc>
        <w:tc>
          <w:tcPr>
            <w:tcW w:w="1559" w:type="dxa"/>
            <w:shd w:val="clear" w:color="auto" w:fill="D9D9D9" w:themeFill="background1" w:themeFillShade="D9"/>
          </w:tcPr>
          <w:p w14:paraId="40A914B5" w14:textId="77777777" w:rsidR="00F66327" w:rsidRPr="007B77ED" w:rsidRDefault="00F66327">
            <w:pPr>
              <w:spacing w:before="60" w:after="60"/>
              <w:jc w:val="center"/>
              <w:rPr>
                <w:b/>
                <w:sz w:val="18"/>
                <w:szCs w:val="18"/>
              </w:rPr>
            </w:pPr>
            <w:r w:rsidRPr="007B77ED">
              <w:rPr>
                <w:b/>
                <w:sz w:val="18"/>
                <w:szCs w:val="18"/>
              </w:rPr>
              <w:t>Weighting %</w:t>
            </w:r>
          </w:p>
        </w:tc>
      </w:tr>
      <w:tr w:rsidR="00A74585" w14:paraId="6C3D75C4" w14:textId="77777777">
        <w:tc>
          <w:tcPr>
            <w:tcW w:w="3119" w:type="dxa"/>
            <w:vMerge w:val="restart"/>
            <w:vAlign w:val="center"/>
          </w:tcPr>
          <w:p w14:paraId="699CFEFD" w14:textId="77777777" w:rsidR="00F66327" w:rsidRPr="005378B7" w:rsidRDefault="00F66327" w:rsidP="000D3CC7">
            <w:pPr>
              <w:spacing w:before="40" w:after="40"/>
              <w:rPr>
                <w:sz w:val="18"/>
                <w:szCs w:val="18"/>
              </w:rPr>
            </w:pPr>
            <w:r>
              <w:rPr>
                <w:sz w:val="18"/>
                <w:szCs w:val="18"/>
              </w:rPr>
              <w:t>Quality and Innovation</w:t>
            </w:r>
          </w:p>
        </w:tc>
        <w:tc>
          <w:tcPr>
            <w:tcW w:w="3544" w:type="dxa"/>
          </w:tcPr>
          <w:p w14:paraId="46EF0FD1" w14:textId="77777777" w:rsidR="00F66327" w:rsidRPr="007B77ED" w:rsidRDefault="00F66327" w:rsidP="000D3CC7">
            <w:pPr>
              <w:spacing w:before="40" w:after="40"/>
              <w:rPr>
                <w:sz w:val="18"/>
                <w:szCs w:val="18"/>
              </w:rPr>
            </w:pPr>
            <w:r w:rsidRPr="007B77ED">
              <w:rPr>
                <w:sz w:val="18"/>
                <w:szCs w:val="18"/>
              </w:rPr>
              <w:t xml:space="preserve">Q.01 Organisation Structure and Staff </w:t>
            </w:r>
          </w:p>
        </w:tc>
        <w:tc>
          <w:tcPr>
            <w:tcW w:w="1559" w:type="dxa"/>
          </w:tcPr>
          <w:p w14:paraId="5C3EB1F2" w14:textId="77777777" w:rsidR="00F66327" w:rsidRPr="007B77ED" w:rsidRDefault="00F66327" w:rsidP="000D3CC7">
            <w:pPr>
              <w:spacing w:before="40" w:after="40"/>
              <w:jc w:val="center"/>
              <w:rPr>
                <w:sz w:val="18"/>
                <w:szCs w:val="18"/>
              </w:rPr>
            </w:pPr>
            <w:r>
              <w:rPr>
                <w:sz w:val="18"/>
                <w:szCs w:val="18"/>
              </w:rPr>
              <w:t>12.5%</w:t>
            </w:r>
          </w:p>
        </w:tc>
      </w:tr>
      <w:tr w:rsidR="00A74585" w14:paraId="41AE3266" w14:textId="77777777">
        <w:tc>
          <w:tcPr>
            <w:tcW w:w="3119" w:type="dxa"/>
            <w:vMerge/>
          </w:tcPr>
          <w:p w14:paraId="0CDBCCC7" w14:textId="77777777" w:rsidR="00F66327" w:rsidRPr="005378B7" w:rsidRDefault="00F66327" w:rsidP="000D3CC7">
            <w:pPr>
              <w:spacing w:before="40" w:after="40"/>
              <w:rPr>
                <w:sz w:val="18"/>
                <w:szCs w:val="18"/>
              </w:rPr>
            </w:pPr>
          </w:p>
        </w:tc>
        <w:tc>
          <w:tcPr>
            <w:tcW w:w="3544" w:type="dxa"/>
          </w:tcPr>
          <w:p w14:paraId="674BA969" w14:textId="77777777" w:rsidR="00F66327" w:rsidRPr="007B77ED" w:rsidRDefault="00F66327" w:rsidP="000D3CC7">
            <w:pPr>
              <w:spacing w:before="40" w:after="40"/>
              <w:rPr>
                <w:sz w:val="18"/>
                <w:szCs w:val="18"/>
              </w:rPr>
            </w:pPr>
            <w:r w:rsidRPr="007B77ED">
              <w:rPr>
                <w:sz w:val="18"/>
                <w:szCs w:val="18"/>
              </w:rPr>
              <w:t xml:space="preserve">Q.02 Contract Management </w:t>
            </w:r>
          </w:p>
        </w:tc>
        <w:tc>
          <w:tcPr>
            <w:tcW w:w="1559" w:type="dxa"/>
          </w:tcPr>
          <w:p w14:paraId="5CAF070C" w14:textId="77777777" w:rsidR="00F66327" w:rsidRPr="007B77ED" w:rsidRDefault="00F66327" w:rsidP="000D3CC7">
            <w:pPr>
              <w:spacing w:before="40" w:after="40"/>
              <w:jc w:val="center"/>
              <w:rPr>
                <w:sz w:val="18"/>
                <w:szCs w:val="18"/>
              </w:rPr>
            </w:pPr>
            <w:r>
              <w:rPr>
                <w:sz w:val="18"/>
                <w:szCs w:val="18"/>
              </w:rPr>
              <w:t>7.5%</w:t>
            </w:r>
          </w:p>
        </w:tc>
      </w:tr>
      <w:tr w:rsidR="00A74585" w14:paraId="4743743D" w14:textId="77777777">
        <w:tc>
          <w:tcPr>
            <w:tcW w:w="3119" w:type="dxa"/>
          </w:tcPr>
          <w:p w14:paraId="52D04121" w14:textId="77777777" w:rsidR="00F66327" w:rsidRPr="005378B7" w:rsidRDefault="00F66327" w:rsidP="000D3CC7">
            <w:pPr>
              <w:spacing w:before="40" w:after="40"/>
              <w:rPr>
                <w:sz w:val="18"/>
                <w:szCs w:val="18"/>
              </w:rPr>
            </w:pPr>
            <w:r>
              <w:rPr>
                <w:sz w:val="18"/>
                <w:szCs w:val="18"/>
              </w:rPr>
              <w:t>Value</w:t>
            </w:r>
          </w:p>
        </w:tc>
        <w:tc>
          <w:tcPr>
            <w:tcW w:w="3544" w:type="dxa"/>
          </w:tcPr>
          <w:p w14:paraId="1A5F732C" w14:textId="77777777" w:rsidR="00F66327" w:rsidRPr="007B77ED" w:rsidRDefault="00F66327" w:rsidP="000D3CC7">
            <w:pPr>
              <w:spacing w:before="40" w:after="40"/>
              <w:rPr>
                <w:sz w:val="18"/>
                <w:szCs w:val="18"/>
              </w:rPr>
            </w:pPr>
            <w:r w:rsidRPr="007B77ED">
              <w:rPr>
                <w:sz w:val="18"/>
                <w:szCs w:val="18"/>
              </w:rPr>
              <w:t xml:space="preserve">Q.03 Value for Money </w:t>
            </w:r>
          </w:p>
        </w:tc>
        <w:tc>
          <w:tcPr>
            <w:tcW w:w="1559" w:type="dxa"/>
          </w:tcPr>
          <w:p w14:paraId="5AD20CD7" w14:textId="77777777" w:rsidR="00F66327" w:rsidRPr="007B77ED" w:rsidRDefault="00F66327" w:rsidP="000D3CC7">
            <w:pPr>
              <w:spacing w:before="40" w:after="40"/>
              <w:jc w:val="center"/>
              <w:rPr>
                <w:sz w:val="18"/>
                <w:szCs w:val="18"/>
              </w:rPr>
            </w:pPr>
            <w:r>
              <w:rPr>
                <w:sz w:val="18"/>
                <w:szCs w:val="18"/>
              </w:rPr>
              <w:t>10%</w:t>
            </w:r>
          </w:p>
        </w:tc>
      </w:tr>
      <w:tr w:rsidR="00A74585" w14:paraId="03A43144" w14:textId="77777777">
        <w:tc>
          <w:tcPr>
            <w:tcW w:w="3119" w:type="dxa"/>
            <w:vMerge w:val="restart"/>
            <w:vAlign w:val="center"/>
          </w:tcPr>
          <w:p w14:paraId="01CF23BA" w14:textId="77777777" w:rsidR="00F66327" w:rsidRPr="005378B7" w:rsidRDefault="00F66327" w:rsidP="000D3CC7">
            <w:pPr>
              <w:spacing w:before="40" w:after="40"/>
              <w:rPr>
                <w:sz w:val="18"/>
                <w:szCs w:val="18"/>
              </w:rPr>
            </w:pPr>
            <w:r w:rsidRPr="003B7C56">
              <w:rPr>
                <w:sz w:val="18"/>
                <w:szCs w:val="18"/>
              </w:rPr>
              <w:t>Integration, Collaboration and Service Sustainability</w:t>
            </w:r>
          </w:p>
        </w:tc>
        <w:tc>
          <w:tcPr>
            <w:tcW w:w="3544" w:type="dxa"/>
          </w:tcPr>
          <w:p w14:paraId="029A48B4" w14:textId="77777777" w:rsidR="00F66327" w:rsidRPr="007B77ED" w:rsidRDefault="00F66327" w:rsidP="000D3CC7">
            <w:pPr>
              <w:spacing w:before="40" w:after="40"/>
              <w:rPr>
                <w:sz w:val="18"/>
                <w:szCs w:val="18"/>
              </w:rPr>
            </w:pPr>
            <w:r w:rsidRPr="007B77ED">
              <w:rPr>
                <w:sz w:val="18"/>
                <w:szCs w:val="18"/>
              </w:rPr>
              <w:t xml:space="preserve">Q.04 Service Management </w:t>
            </w:r>
          </w:p>
        </w:tc>
        <w:tc>
          <w:tcPr>
            <w:tcW w:w="1559" w:type="dxa"/>
          </w:tcPr>
          <w:p w14:paraId="73E3C25C" w14:textId="77777777" w:rsidR="00F66327" w:rsidRPr="007B77ED" w:rsidRDefault="00F66327" w:rsidP="000D3CC7">
            <w:pPr>
              <w:spacing w:before="40" w:after="40"/>
              <w:jc w:val="center"/>
              <w:rPr>
                <w:sz w:val="18"/>
                <w:szCs w:val="18"/>
              </w:rPr>
            </w:pPr>
            <w:r>
              <w:rPr>
                <w:sz w:val="18"/>
                <w:szCs w:val="18"/>
              </w:rPr>
              <w:t>15%</w:t>
            </w:r>
          </w:p>
        </w:tc>
      </w:tr>
      <w:tr w:rsidR="00A74585" w14:paraId="3A470AE7" w14:textId="77777777">
        <w:tc>
          <w:tcPr>
            <w:tcW w:w="3119" w:type="dxa"/>
            <w:vMerge/>
          </w:tcPr>
          <w:p w14:paraId="4D02B4A0" w14:textId="77777777" w:rsidR="00F66327" w:rsidRPr="005378B7" w:rsidRDefault="00F66327" w:rsidP="000D3CC7">
            <w:pPr>
              <w:spacing w:before="40" w:after="40"/>
              <w:rPr>
                <w:sz w:val="18"/>
                <w:szCs w:val="18"/>
              </w:rPr>
            </w:pPr>
          </w:p>
        </w:tc>
        <w:tc>
          <w:tcPr>
            <w:tcW w:w="3544" w:type="dxa"/>
          </w:tcPr>
          <w:p w14:paraId="7BD83D6E" w14:textId="77777777" w:rsidR="00F66327" w:rsidRPr="007B77ED" w:rsidRDefault="00F66327" w:rsidP="000D3CC7">
            <w:pPr>
              <w:spacing w:before="40" w:after="40"/>
              <w:rPr>
                <w:sz w:val="18"/>
                <w:szCs w:val="18"/>
              </w:rPr>
            </w:pPr>
            <w:r w:rsidRPr="007B77ED">
              <w:rPr>
                <w:sz w:val="18"/>
                <w:szCs w:val="18"/>
              </w:rPr>
              <w:t xml:space="preserve">Q.05 Contingency Arrangements </w:t>
            </w:r>
          </w:p>
        </w:tc>
        <w:tc>
          <w:tcPr>
            <w:tcW w:w="1559" w:type="dxa"/>
          </w:tcPr>
          <w:p w14:paraId="31B9A6F6" w14:textId="77777777" w:rsidR="00F66327" w:rsidRPr="007B77ED" w:rsidRDefault="00F66327" w:rsidP="000D3CC7">
            <w:pPr>
              <w:spacing w:before="40" w:after="40"/>
              <w:jc w:val="center"/>
              <w:rPr>
                <w:sz w:val="18"/>
                <w:szCs w:val="18"/>
              </w:rPr>
            </w:pPr>
            <w:r>
              <w:rPr>
                <w:sz w:val="18"/>
                <w:szCs w:val="18"/>
              </w:rPr>
              <w:t>7.5%</w:t>
            </w:r>
          </w:p>
        </w:tc>
      </w:tr>
      <w:tr w:rsidR="00A74585" w14:paraId="7847D202" w14:textId="77777777">
        <w:tc>
          <w:tcPr>
            <w:tcW w:w="3119" w:type="dxa"/>
          </w:tcPr>
          <w:p w14:paraId="527A0A19" w14:textId="77777777" w:rsidR="00F66327" w:rsidRPr="005378B7" w:rsidRDefault="00F66327" w:rsidP="000D3CC7">
            <w:pPr>
              <w:spacing w:before="40" w:after="40"/>
              <w:rPr>
                <w:sz w:val="18"/>
                <w:szCs w:val="18"/>
              </w:rPr>
            </w:pPr>
            <w:r w:rsidRPr="001D244D">
              <w:rPr>
                <w:sz w:val="18"/>
                <w:szCs w:val="18"/>
              </w:rPr>
              <w:t>Improving access, reducing health inequalities and facilitating choice</w:t>
            </w:r>
          </w:p>
        </w:tc>
        <w:tc>
          <w:tcPr>
            <w:tcW w:w="3544" w:type="dxa"/>
            <w:vAlign w:val="center"/>
          </w:tcPr>
          <w:p w14:paraId="2EE2342E" w14:textId="77777777" w:rsidR="00F66327" w:rsidRPr="007B77ED" w:rsidRDefault="00F66327" w:rsidP="000D3CC7">
            <w:pPr>
              <w:spacing w:before="40" w:after="40"/>
              <w:rPr>
                <w:sz w:val="18"/>
                <w:szCs w:val="18"/>
              </w:rPr>
            </w:pPr>
            <w:r w:rsidRPr="007B77ED">
              <w:rPr>
                <w:sz w:val="18"/>
                <w:szCs w:val="18"/>
              </w:rPr>
              <w:t>Q.06 Patient Access</w:t>
            </w:r>
          </w:p>
        </w:tc>
        <w:tc>
          <w:tcPr>
            <w:tcW w:w="1559" w:type="dxa"/>
            <w:vAlign w:val="center"/>
          </w:tcPr>
          <w:p w14:paraId="36F88D0C" w14:textId="77777777" w:rsidR="00F66327" w:rsidRPr="007B77ED" w:rsidRDefault="00F66327" w:rsidP="000D3CC7">
            <w:pPr>
              <w:spacing w:before="40" w:after="40"/>
              <w:jc w:val="center"/>
              <w:rPr>
                <w:sz w:val="18"/>
                <w:szCs w:val="18"/>
              </w:rPr>
            </w:pPr>
            <w:r>
              <w:rPr>
                <w:sz w:val="18"/>
                <w:szCs w:val="18"/>
              </w:rPr>
              <w:t>7.5%</w:t>
            </w:r>
          </w:p>
        </w:tc>
      </w:tr>
      <w:tr w:rsidR="00A74585" w14:paraId="53AAAF0B" w14:textId="77777777">
        <w:tc>
          <w:tcPr>
            <w:tcW w:w="3119" w:type="dxa"/>
          </w:tcPr>
          <w:p w14:paraId="76508FF5" w14:textId="77777777" w:rsidR="00F66327" w:rsidRPr="005378B7" w:rsidRDefault="00F66327" w:rsidP="000D3CC7">
            <w:pPr>
              <w:spacing w:before="40" w:after="40"/>
              <w:rPr>
                <w:sz w:val="18"/>
                <w:szCs w:val="18"/>
              </w:rPr>
            </w:pPr>
            <w:r>
              <w:rPr>
                <w:sz w:val="18"/>
                <w:szCs w:val="18"/>
              </w:rPr>
              <w:t>Social Value</w:t>
            </w:r>
          </w:p>
        </w:tc>
        <w:tc>
          <w:tcPr>
            <w:tcW w:w="3544" w:type="dxa"/>
          </w:tcPr>
          <w:p w14:paraId="0BAFA650" w14:textId="77777777" w:rsidR="00F66327" w:rsidRPr="007B77ED" w:rsidRDefault="00F66327" w:rsidP="000D3CC7">
            <w:pPr>
              <w:spacing w:before="40" w:after="40"/>
              <w:rPr>
                <w:sz w:val="18"/>
                <w:szCs w:val="18"/>
              </w:rPr>
            </w:pPr>
            <w:r w:rsidRPr="007B77ED">
              <w:rPr>
                <w:sz w:val="18"/>
                <w:szCs w:val="18"/>
              </w:rPr>
              <w:t xml:space="preserve">Q.07 Social Value </w:t>
            </w:r>
          </w:p>
        </w:tc>
        <w:tc>
          <w:tcPr>
            <w:tcW w:w="1559" w:type="dxa"/>
          </w:tcPr>
          <w:p w14:paraId="6C8C0BB9" w14:textId="77777777" w:rsidR="00F66327" w:rsidRPr="007B77ED" w:rsidRDefault="00F66327" w:rsidP="000D3CC7">
            <w:pPr>
              <w:spacing w:before="40" w:after="40"/>
              <w:jc w:val="center"/>
              <w:rPr>
                <w:sz w:val="18"/>
                <w:szCs w:val="18"/>
              </w:rPr>
            </w:pPr>
            <w:r>
              <w:rPr>
                <w:sz w:val="18"/>
                <w:szCs w:val="18"/>
              </w:rPr>
              <w:t>10%</w:t>
            </w:r>
          </w:p>
        </w:tc>
      </w:tr>
      <w:tr w:rsidR="00A74585" w14:paraId="029692B5" w14:textId="77777777">
        <w:tc>
          <w:tcPr>
            <w:tcW w:w="3119" w:type="dxa"/>
          </w:tcPr>
          <w:p w14:paraId="560A1622" w14:textId="77777777" w:rsidR="00F66327" w:rsidRPr="005378B7" w:rsidRDefault="00F66327" w:rsidP="000D3CC7">
            <w:pPr>
              <w:spacing w:before="40" w:after="40"/>
              <w:rPr>
                <w:sz w:val="18"/>
                <w:szCs w:val="18"/>
              </w:rPr>
            </w:pPr>
            <w:r>
              <w:rPr>
                <w:sz w:val="18"/>
                <w:szCs w:val="18"/>
              </w:rPr>
              <w:t>Value</w:t>
            </w:r>
          </w:p>
        </w:tc>
        <w:tc>
          <w:tcPr>
            <w:tcW w:w="3544" w:type="dxa"/>
          </w:tcPr>
          <w:p w14:paraId="5BFFE7B9" w14:textId="77777777" w:rsidR="00F66327" w:rsidRPr="007B77ED" w:rsidRDefault="00F66327" w:rsidP="000D3CC7">
            <w:pPr>
              <w:spacing w:before="40" w:after="40"/>
              <w:rPr>
                <w:sz w:val="18"/>
                <w:szCs w:val="18"/>
              </w:rPr>
            </w:pPr>
            <w:r w:rsidRPr="007B77ED">
              <w:rPr>
                <w:sz w:val="18"/>
                <w:szCs w:val="18"/>
              </w:rPr>
              <w:t xml:space="preserve">Q.08 Financial </w:t>
            </w:r>
          </w:p>
        </w:tc>
        <w:tc>
          <w:tcPr>
            <w:tcW w:w="1559" w:type="dxa"/>
          </w:tcPr>
          <w:p w14:paraId="03698817" w14:textId="77777777" w:rsidR="00F66327" w:rsidRPr="007B77ED" w:rsidRDefault="00F66327" w:rsidP="000D3CC7">
            <w:pPr>
              <w:spacing w:before="40" w:after="40"/>
              <w:jc w:val="center"/>
              <w:rPr>
                <w:sz w:val="18"/>
                <w:szCs w:val="18"/>
              </w:rPr>
            </w:pPr>
            <w:r>
              <w:rPr>
                <w:sz w:val="18"/>
                <w:szCs w:val="18"/>
              </w:rPr>
              <w:t>30%</w:t>
            </w:r>
          </w:p>
        </w:tc>
      </w:tr>
      <w:tr w:rsidR="00A74585" w14:paraId="1FB7F3E0" w14:textId="77777777">
        <w:tc>
          <w:tcPr>
            <w:tcW w:w="3119" w:type="dxa"/>
          </w:tcPr>
          <w:p w14:paraId="6586CDA5" w14:textId="77777777" w:rsidR="00F66327" w:rsidRPr="005378B7" w:rsidRDefault="00F66327" w:rsidP="000D3CC7">
            <w:pPr>
              <w:spacing w:before="40" w:after="40"/>
              <w:rPr>
                <w:sz w:val="18"/>
                <w:szCs w:val="18"/>
              </w:rPr>
            </w:pPr>
          </w:p>
        </w:tc>
        <w:tc>
          <w:tcPr>
            <w:tcW w:w="3544" w:type="dxa"/>
          </w:tcPr>
          <w:p w14:paraId="7F8C0D01" w14:textId="77777777" w:rsidR="00F66327" w:rsidRPr="007B77ED" w:rsidRDefault="00F66327" w:rsidP="000D3CC7">
            <w:pPr>
              <w:spacing w:before="40" w:after="40"/>
              <w:rPr>
                <w:sz w:val="18"/>
                <w:szCs w:val="18"/>
              </w:rPr>
            </w:pPr>
            <w:r w:rsidRPr="007B77ED">
              <w:rPr>
                <w:sz w:val="18"/>
                <w:szCs w:val="18"/>
              </w:rPr>
              <w:t>Total</w:t>
            </w:r>
          </w:p>
        </w:tc>
        <w:tc>
          <w:tcPr>
            <w:tcW w:w="1559" w:type="dxa"/>
          </w:tcPr>
          <w:p w14:paraId="3ADBDCF2" w14:textId="77777777" w:rsidR="00F66327" w:rsidRPr="007B77ED" w:rsidRDefault="00F66327" w:rsidP="000D3CC7">
            <w:pPr>
              <w:spacing w:before="40" w:after="40"/>
              <w:jc w:val="center"/>
              <w:rPr>
                <w:sz w:val="18"/>
                <w:szCs w:val="18"/>
              </w:rPr>
            </w:pPr>
            <w:r>
              <w:rPr>
                <w:sz w:val="18"/>
                <w:szCs w:val="18"/>
              </w:rPr>
              <w:t>100%</w:t>
            </w:r>
          </w:p>
        </w:tc>
      </w:tr>
    </w:tbl>
    <w:p w14:paraId="6F13A88C" w14:textId="77777777" w:rsidR="00F66327" w:rsidRPr="0079282E" w:rsidRDefault="00F66327" w:rsidP="006519A2">
      <w:pPr>
        <w:spacing w:before="60" w:after="240" w:line="240" w:lineRule="auto"/>
        <w:ind w:left="567"/>
        <w:rPr>
          <w:sz w:val="16"/>
          <w:szCs w:val="16"/>
        </w:rPr>
      </w:pPr>
      <w:r>
        <w:rPr>
          <w:sz w:val="16"/>
          <w:szCs w:val="16"/>
        </w:rPr>
        <w:t xml:space="preserve">Source: NCA, </w:t>
      </w:r>
      <w:r w:rsidRPr="0057529F">
        <w:rPr>
          <w:i/>
          <w:iCs/>
          <w:sz w:val="16"/>
          <w:szCs w:val="16"/>
        </w:rPr>
        <w:t>Invitation to Tender Documentation</w:t>
      </w:r>
      <w:r w:rsidRPr="0057529F">
        <w:rPr>
          <w:sz w:val="16"/>
          <w:szCs w:val="16"/>
        </w:rPr>
        <w:t>, 13 October 2025</w:t>
      </w:r>
      <w:r>
        <w:rPr>
          <w:sz w:val="16"/>
          <w:szCs w:val="16"/>
        </w:rPr>
        <w:t>.</w:t>
      </w:r>
    </w:p>
    <w:tbl>
      <w:tblPr>
        <w:tblW w:w="8190" w:type="dxa"/>
        <w:tblInd w:w="58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left w:w="0" w:type="dxa"/>
          <w:right w:w="0" w:type="dxa"/>
        </w:tblCellMar>
        <w:tblLook w:val="04A0" w:firstRow="1" w:lastRow="0" w:firstColumn="1" w:lastColumn="0" w:noHBand="0" w:noVBand="1"/>
      </w:tblPr>
      <w:tblGrid>
        <w:gridCol w:w="1380"/>
        <w:gridCol w:w="870"/>
        <w:gridCol w:w="5940"/>
      </w:tblGrid>
      <w:tr w:rsidR="00F66327" w:rsidRPr="00A511FF" w14:paraId="499EEF32" w14:textId="77777777" w:rsidTr="00C53B60">
        <w:trPr>
          <w:trHeight w:val="300"/>
        </w:trPr>
        <w:tc>
          <w:tcPr>
            <w:tcW w:w="1380" w:type="dxa"/>
            <w:shd w:val="clear" w:color="auto" w:fill="D9D9D9" w:themeFill="background1" w:themeFillShade="D9"/>
            <w:hideMark/>
          </w:tcPr>
          <w:p w14:paraId="0F6BB93D" w14:textId="77777777" w:rsidR="00F66327" w:rsidRPr="00A511FF" w:rsidRDefault="00F66327">
            <w:pPr>
              <w:spacing w:before="60" w:after="60"/>
              <w:jc w:val="center"/>
              <w:rPr>
                <w:sz w:val="18"/>
                <w:szCs w:val="18"/>
              </w:rPr>
            </w:pPr>
            <w:r w:rsidRPr="00A511FF">
              <w:rPr>
                <w:b/>
                <w:bCs/>
                <w:sz w:val="18"/>
                <w:szCs w:val="18"/>
              </w:rPr>
              <w:t>Score label</w:t>
            </w:r>
          </w:p>
        </w:tc>
        <w:tc>
          <w:tcPr>
            <w:tcW w:w="870" w:type="dxa"/>
            <w:shd w:val="clear" w:color="auto" w:fill="D9D9D9" w:themeFill="background1" w:themeFillShade="D9"/>
            <w:hideMark/>
          </w:tcPr>
          <w:p w14:paraId="32AE2464" w14:textId="77777777" w:rsidR="00F66327" w:rsidRPr="00A511FF" w:rsidRDefault="00F66327">
            <w:pPr>
              <w:spacing w:before="60" w:after="60"/>
              <w:jc w:val="center"/>
              <w:rPr>
                <w:sz w:val="18"/>
                <w:szCs w:val="18"/>
              </w:rPr>
            </w:pPr>
            <w:r w:rsidRPr="00A511FF">
              <w:rPr>
                <w:b/>
                <w:bCs/>
                <w:sz w:val="18"/>
                <w:szCs w:val="18"/>
              </w:rPr>
              <w:t>Score</w:t>
            </w:r>
          </w:p>
        </w:tc>
        <w:tc>
          <w:tcPr>
            <w:tcW w:w="5940" w:type="dxa"/>
            <w:shd w:val="clear" w:color="auto" w:fill="D9D9D9" w:themeFill="background1" w:themeFillShade="D9"/>
            <w:hideMark/>
          </w:tcPr>
          <w:p w14:paraId="5DB6D1E4" w14:textId="77777777" w:rsidR="00F66327" w:rsidRPr="00A511FF" w:rsidRDefault="00F66327">
            <w:pPr>
              <w:spacing w:before="60" w:after="60"/>
              <w:rPr>
                <w:sz w:val="18"/>
                <w:szCs w:val="18"/>
              </w:rPr>
            </w:pPr>
            <w:r w:rsidRPr="00A511FF">
              <w:rPr>
                <w:b/>
                <w:bCs/>
                <w:sz w:val="18"/>
                <w:szCs w:val="18"/>
              </w:rPr>
              <w:t>Definition of Score</w:t>
            </w:r>
            <w:r w:rsidRPr="00A511FF">
              <w:rPr>
                <w:sz w:val="18"/>
                <w:szCs w:val="18"/>
              </w:rPr>
              <w:t> </w:t>
            </w:r>
          </w:p>
        </w:tc>
      </w:tr>
      <w:tr w:rsidR="00F66327" w:rsidRPr="00A511FF" w14:paraId="6677A520" w14:textId="77777777" w:rsidTr="00C53B60">
        <w:trPr>
          <w:trHeight w:val="300"/>
        </w:trPr>
        <w:tc>
          <w:tcPr>
            <w:tcW w:w="1380" w:type="dxa"/>
            <w:hideMark/>
          </w:tcPr>
          <w:p w14:paraId="714B230F" w14:textId="77777777" w:rsidR="00F66327" w:rsidRPr="00A511FF" w:rsidRDefault="00F66327" w:rsidP="000D3CC7">
            <w:pPr>
              <w:spacing w:before="40" w:after="40" w:line="240" w:lineRule="auto"/>
              <w:jc w:val="center"/>
              <w:rPr>
                <w:sz w:val="18"/>
                <w:szCs w:val="18"/>
              </w:rPr>
            </w:pPr>
            <w:r w:rsidRPr="00A511FF">
              <w:rPr>
                <w:sz w:val="18"/>
                <w:szCs w:val="18"/>
              </w:rPr>
              <w:t>Unacceptable</w:t>
            </w:r>
          </w:p>
        </w:tc>
        <w:tc>
          <w:tcPr>
            <w:tcW w:w="870" w:type="dxa"/>
            <w:hideMark/>
          </w:tcPr>
          <w:p w14:paraId="6A8CE4BE" w14:textId="77777777" w:rsidR="00F66327" w:rsidRPr="00A511FF" w:rsidRDefault="00F66327" w:rsidP="000D3CC7">
            <w:pPr>
              <w:spacing w:before="40" w:after="40" w:line="240" w:lineRule="auto"/>
              <w:jc w:val="center"/>
              <w:rPr>
                <w:sz w:val="18"/>
                <w:szCs w:val="18"/>
              </w:rPr>
            </w:pPr>
            <w:r w:rsidRPr="00A511FF">
              <w:rPr>
                <w:sz w:val="18"/>
                <w:szCs w:val="18"/>
              </w:rPr>
              <w:t>0</w:t>
            </w:r>
          </w:p>
        </w:tc>
        <w:tc>
          <w:tcPr>
            <w:tcW w:w="5940" w:type="dxa"/>
            <w:hideMark/>
          </w:tcPr>
          <w:p w14:paraId="3A303540" w14:textId="77777777" w:rsidR="00F66327" w:rsidRPr="00A511FF" w:rsidRDefault="00F66327" w:rsidP="000D3CC7">
            <w:pPr>
              <w:spacing w:before="40" w:after="40" w:line="240" w:lineRule="auto"/>
              <w:ind w:left="128"/>
              <w:rPr>
                <w:sz w:val="18"/>
                <w:szCs w:val="18"/>
              </w:rPr>
            </w:pPr>
            <w:r w:rsidRPr="00A511FF">
              <w:rPr>
                <w:sz w:val="18"/>
                <w:szCs w:val="18"/>
              </w:rPr>
              <w:t>The response completely fails to meet all the requirements within all the points raised and/or does not answer any of the points raised or does not provide an answer at all.</w:t>
            </w:r>
          </w:p>
        </w:tc>
      </w:tr>
      <w:tr w:rsidR="00F66327" w:rsidRPr="00A511FF" w14:paraId="6C6269B6" w14:textId="77777777" w:rsidTr="00C53B60">
        <w:trPr>
          <w:trHeight w:val="300"/>
        </w:trPr>
        <w:tc>
          <w:tcPr>
            <w:tcW w:w="1380" w:type="dxa"/>
            <w:hideMark/>
          </w:tcPr>
          <w:p w14:paraId="1706A467" w14:textId="77777777" w:rsidR="00F66327" w:rsidRPr="00A511FF" w:rsidRDefault="00F66327" w:rsidP="000D3CC7">
            <w:pPr>
              <w:spacing w:before="40" w:after="40" w:line="240" w:lineRule="auto"/>
              <w:jc w:val="center"/>
              <w:rPr>
                <w:sz w:val="18"/>
                <w:szCs w:val="18"/>
              </w:rPr>
            </w:pPr>
            <w:r w:rsidRPr="00A511FF">
              <w:rPr>
                <w:sz w:val="18"/>
                <w:szCs w:val="18"/>
              </w:rPr>
              <w:t>Weak</w:t>
            </w:r>
          </w:p>
        </w:tc>
        <w:tc>
          <w:tcPr>
            <w:tcW w:w="870" w:type="dxa"/>
            <w:hideMark/>
          </w:tcPr>
          <w:p w14:paraId="74DDCCD8" w14:textId="77777777" w:rsidR="00F66327" w:rsidRPr="00A511FF" w:rsidRDefault="00F66327" w:rsidP="000D3CC7">
            <w:pPr>
              <w:spacing w:before="40" w:after="40" w:line="240" w:lineRule="auto"/>
              <w:jc w:val="center"/>
              <w:rPr>
                <w:sz w:val="18"/>
                <w:szCs w:val="18"/>
              </w:rPr>
            </w:pPr>
            <w:r w:rsidRPr="00A511FF">
              <w:rPr>
                <w:sz w:val="18"/>
                <w:szCs w:val="18"/>
              </w:rPr>
              <w:t>1</w:t>
            </w:r>
          </w:p>
        </w:tc>
        <w:tc>
          <w:tcPr>
            <w:tcW w:w="5940" w:type="dxa"/>
            <w:hideMark/>
          </w:tcPr>
          <w:p w14:paraId="7C087AF8" w14:textId="77777777" w:rsidR="00F66327" w:rsidRPr="00A511FF" w:rsidRDefault="00F66327" w:rsidP="000D3CC7">
            <w:pPr>
              <w:spacing w:before="40" w:after="40" w:line="240" w:lineRule="auto"/>
              <w:ind w:left="128"/>
              <w:rPr>
                <w:sz w:val="18"/>
                <w:szCs w:val="18"/>
              </w:rPr>
            </w:pPr>
            <w:r w:rsidRPr="00A511FF">
              <w:rPr>
                <w:sz w:val="18"/>
                <w:szCs w:val="18"/>
              </w:rPr>
              <w:t>The response significantly fails to meet the required standard with the majority of the points raised and contains significant shortcomings in the response or is inconsistent with other aspects of the Tender, which provides insufficient confidence of delivery.</w:t>
            </w:r>
          </w:p>
        </w:tc>
      </w:tr>
      <w:tr w:rsidR="00F66327" w:rsidRPr="00A511FF" w14:paraId="12007355" w14:textId="77777777" w:rsidTr="00C53B60">
        <w:trPr>
          <w:trHeight w:val="300"/>
        </w:trPr>
        <w:tc>
          <w:tcPr>
            <w:tcW w:w="1380" w:type="dxa"/>
            <w:hideMark/>
          </w:tcPr>
          <w:p w14:paraId="167E616F" w14:textId="77777777" w:rsidR="00F66327" w:rsidRPr="00A511FF" w:rsidRDefault="00F66327" w:rsidP="000D3CC7">
            <w:pPr>
              <w:spacing w:before="40" w:after="40" w:line="240" w:lineRule="auto"/>
              <w:jc w:val="center"/>
              <w:rPr>
                <w:sz w:val="18"/>
                <w:szCs w:val="18"/>
              </w:rPr>
            </w:pPr>
            <w:r w:rsidRPr="00A511FF">
              <w:rPr>
                <w:sz w:val="18"/>
                <w:szCs w:val="18"/>
              </w:rPr>
              <w:t>Satisfactory</w:t>
            </w:r>
          </w:p>
        </w:tc>
        <w:tc>
          <w:tcPr>
            <w:tcW w:w="870" w:type="dxa"/>
            <w:hideMark/>
          </w:tcPr>
          <w:p w14:paraId="096C8B9C" w14:textId="77777777" w:rsidR="00F66327" w:rsidRPr="00A511FF" w:rsidRDefault="00F66327" w:rsidP="000D3CC7">
            <w:pPr>
              <w:spacing w:before="40" w:after="40" w:line="240" w:lineRule="auto"/>
              <w:jc w:val="center"/>
              <w:rPr>
                <w:sz w:val="18"/>
                <w:szCs w:val="18"/>
              </w:rPr>
            </w:pPr>
            <w:r w:rsidRPr="00A511FF">
              <w:rPr>
                <w:sz w:val="18"/>
                <w:szCs w:val="18"/>
              </w:rPr>
              <w:t>2</w:t>
            </w:r>
          </w:p>
        </w:tc>
        <w:tc>
          <w:tcPr>
            <w:tcW w:w="5940" w:type="dxa"/>
            <w:hideMark/>
          </w:tcPr>
          <w:p w14:paraId="2434A090" w14:textId="77777777" w:rsidR="00F66327" w:rsidRPr="00A511FF" w:rsidRDefault="00F66327" w:rsidP="000D3CC7">
            <w:pPr>
              <w:spacing w:before="40" w:after="40" w:line="240" w:lineRule="auto"/>
              <w:ind w:left="128"/>
              <w:rPr>
                <w:sz w:val="18"/>
                <w:szCs w:val="18"/>
              </w:rPr>
            </w:pPr>
            <w:r w:rsidRPr="00A511FF">
              <w:rPr>
                <w:sz w:val="18"/>
                <w:szCs w:val="18"/>
              </w:rPr>
              <w:t>Response meets the required standard in the majority of the points raised, but is lacking in detail, shortcoming or inconsistent in other points raised.</w:t>
            </w:r>
          </w:p>
        </w:tc>
      </w:tr>
      <w:tr w:rsidR="00F66327" w:rsidRPr="00A511FF" w14:paraId="476CDF96" w14:textId="77777777" w:rsidTr="00C53B60">
        <w:trPr>
          <w:trHeight w:val="300"/>
        </w:trPr>
        <w:tc>
          <w:tcPr>
            <w:tcW w:w="1380" w:type="dxa"/>
            <w:hideMark/>
          </w:tcPr>
          <w:p w14:paraId="36552E24" w14:textId="77777777" w:rsidR="00F66327" w:rsidRPr="00A511FF" w:rsidRDefault="00F66327" w:rsidP="000D3CC7">
            <w:pPr>
              <w:spacing w:before="40" w:after="40" w:line="240" w:lineRule="auto"/>
              <w:jc w:val="center"/>
              <w:rPr>
                <w:sz w:val="18"/>
                <w:szCs w:val="18"/>
              </w:rPr>
            </w:pPr>
            <w:r w:rsidRPr="00A511FF">
              <w:rPr>
                <w:sz w:val="18"/>
                <w:szCs w:val="18"/>
              </w:rPr>
              <w:t>Good</w:t>
            </w:r>
          </w:p>
        </w:tc>
        <w:tc>
          <w:tcPr>
            <w:tcW w:w="870" w:type="dxa"/>
            <w:hideMark/>
          </w:tcPr>
          <w:p w14:paraId="7CD7DFA2" w14:textId="77777777" w:rsidR="00F66327" w:rsidRPr="00A511FF" w:rsidRDefault="00F66327" w:rsidP="000D3CC7">
            <w:pPr>
              <w:spacing w:before="40" w:after="40" w:line="240" w:lineRule="auto"/>
              <w:jc w:val="center"/>
              <w:rPr>
                <w:sz w:val="18"/>
                <w:szCs w:val="18"/>
              </w:rPr>
            </w:pPr>
            <w:r w:rsidRPr="00A511FF">
              <w:rPr>
                <w:sz w:val="18"/>
                <w:szCs w:val="18"/>
              </w:rPr>
              <w:t>3</w:t>
            </w:r>
          </w:p>
        </w:tc>
        <w:tc>
          <w:tcPr>
            <w:tcW w:w="5940" w:type="dxa"/>
            <w:hideMark/>
          </w:tcPr>
          <w:p w14:paraId="00AB51C7" w14:textId="77777777" w:rsidR="00F66327" w:rsidRPr="00A511FF" w:rsidRDefault="00F66327" w:rsidP="000D3CC7">
            <w:pPr>
              <w:spacing w:before="40" w:after="40" w:line="240" w:lineRule="auto"/>
              <w:ind w:left="128"/>
              <w:rPr>
                <w:sz w:val="18"/>
                <w:szCs w:val="18"/>
              </w:rPr>
            </w:pPr>
            <w:r w:rsidRPr="00A511FF">
              <w:rPr>
                <w:sz w:val="18"/>
                <w:szCs w:val="18"/>
              </w:rPr>
              <w:t>The response meets the required standard in all the points raised, demonstrates a good understanding of the requirements, and provides evidence that the bidder will deliver the service to the requirements set out, and is tailored to the Contracting Authority's needs.</w:t>
            </w:r>
          </w:p>
        </w:tc>
      </w:tr>
      <w:tr w:rsidR="00F66327" w:rsidRPr="00A511FF" w14:paraId="1E3EB666" w14:textId="77777777" w:rsidTr="00C53B60">
        <w:trPr>
          <w:trHeight w:val="300"/>
        </w:trPr>
        <w:tc>
          <w:tcPr>
            <w:tcW w:w="1380" w:type="dxa"/>
            <w:hideMark/>
          </w:tcPr>
          <w:p w14:paraId="36CA6259" w14:textId="77777777" w:rsidR="00F66327" w:rsidRPr="00A511FF" w:rsidRDefault="00F66327">
            <w:pPr>
              <w:spacing w:before="60" w:after="60" w:line="240" w:lineRule="auto"/>
              <w:jc w:val="center"/>
              <w:rPr>
                <w:sz w:val="18"/>
                <w:szCs w:val="18"/>
              </w:rPr>
            </w:pPr>
            <w:r w:rsidRPr="00A511FF">
              <w:rPr>
                <w:sz w:val="18"/>
                <w:szCs w:val="18"/>
              </w:rPr>
              <w:t>Excellent</w:t>
            </w:r>
          </w:p>
        </w:tc>
        <w:tc>
          <w:tcPr>
            <w:tcW w:w="870" w:type="dxa"/>
            <w:hideMark/>
          </w:tcPr>
          <w:p w14:paraId="0D2BC202" w14:textId="77777777" w:rsidR="00F66327" w:rsidRPr="00A511FF" w:rsidRDefault="00F66327">
            <w:pPr>
              <w:spacing w:before="60" w:after="60" w:line="240" w:lineRule="auto"/>
              <w:jc w:val="center"/>
              <w:rPr>
                <w:sz w:val="18"/>
                <w:szCs w:val="18"/>
              </w:rPr>
            </w:pPr>
            <w:r w:rsidRPr="00A511FF">
              <w:rPr>
                <w:sz w:val="18"/>
                <w:szCs w:val="18"/>
              </w:rPr>
              <w:t>4</w:t>
            </w:r>
          </w:p>
        </w:tc>
        <w:tc>
          <w:tcPr>
            <w:tcW w:w="5940" w:type="dxa"/>
            <w:hideMark/>
          </w:tcPr>
          <w:p w14:paraId="62BE79C0" w14:textId="77777777" w:rsidR="00F66327" w:rsidRPr="00A511FF" w:rsidRDefault="00F66327" w:rsidP="000D3CC7">
            <w:pPr>
              <w:spacing w:before="40" w:after="40" w:line="240" w:lineRule="auto"/>
              <w:ind w:left="130"/>
              <w:rPr>
                <w:sz w:val="18"/>
                <w:szCs w:val="18"/>
              </w:rPr>
            </w:pPr>
            <w:r w:rsidRPr="00A511FF">
              <w:rPr>
                <w:sz w:val="18"/>
                <w:szCs w:val="18"/>
              </w:rPr>
              <w:t>The response supports an excellent degree of confidence in the Bidder’s ability to deliver and/or exceeds the Contracting Authorities specified requirements and/or expectations.</w:t>
            </w:r>
          </w:p>
          <w:p w14:paraId="4051AF57" w14:textId="77777777" w:rsidR="00F66327" w:rsidRPr="00A511FF" w:rsidRDefault="00F66327">
            <w:pPr>
              <w:spacing w:after="0" w:line="240" w:lineRule="auto"/>
              <w:ind w:left="130"/>
              <w:rPr>
                <w:sz w:val="18"/>
                <w:szCs w:val="18"/>
              </w:rPr>
            </w:pPr>
            <w:r w:rsidRPr="00A511FF">
              <w:rPr>
                <w:sz w:val="18"/>
                <w:szCs w:val="18"/>
              </w:rPr>
              <w:lastRenderedPageBreak/>
              <w:t>The response is tailored to the Contracting</w:t>
            </w:r>
            <w:r>
              <w:rPr>
                <w:sz w:val="18"/>
                <w:szCs w:val="18"/>
              </w:rPr>
              <w:t xml:space="preserve"> </w:t>
            </w:r>
            <w:r w:rsidRPr="00A511FF">
              <w:rPr>
                <w:sz w:val="18"/>
                <w:szCs w:val="18"/>
              </w:rPr>
              <w:t>Authorities</w:t>
            </w:r>
            <w:r>
              <w:rPr>
                <w:sz w:val="18"/>
                <w:szCs w:val="18"/>
              </w:rPr>
              <w:t xml:space="preserve"> </w:t>
            </w:r>
            <w:r w:rsidRPr="00A511FF">
              <w:rPr>
                <w:sz w:val="18"/>
                <w:szCs w:val="18"/>
              </w:rPr>
              <w:t>needs. Where</w:t>
            </w:r>
            <w:r>
              <w:rPr>
                <w:sz w:val="18"/>
                <w:szCs w:val="18"/>
              </w:rPr>
              <w:t xml:space="preserve"> </w:t>
            </w:r>
            <w:r w:rsidRPr="00A511FF">
              <w:rPr>
                <w:sz w:val="18"/>
                <w:szCs w:val="18"/>
              </w:rPr>
              <w:t>appropriate, the response is well evidenced, and/or of a quality and/or level of detail, and understanding that provides either</w:t>
            </w:r>
            <w:r>
              <w:rPr>
                <w:sz w:val="18"/>
                <w:szCs w:val="18"/>
              </w:rPr>
              <w:t xml:space="preserve"> </w:t>
            </w:r>
            <w:r w:rsidRPr="00A511FF">
              <w:rPr>
                <w:sz w:val="18"/>
                <w:szCs w:val="18"/>
              </w:rPr>
              <w:t>a very high</w:t>
            </w:r>
            <w:r>
              <w:rPr>
                <w:sz w:val="18"/>
                <w:szCs w:val="18"/>
              </w:rPr>
              <w:t xml:space="preserve"> </w:t>
            </w:r>
            <w:r w:rsidRPr="00A511FF">
              <w:rPr>
                <w:sz w:val="18"/>
                <w:szCs w:val="18"/>
              </w:rPr>
              <w:t>certainty of delivery or is considered likely to offer added value, likely to result in improved:</w:t>
            </w:r>
          </w:p>
          <w:p w14:paraId="18C0685C" w14:textId="77777777" w:rsidR="00F66327" w:rsidRPr="00A511FF" w:rsidRDefault="00F66327">
            <w:pPr>
              <w:spacing w:after="0" w:line="240" w:lineRule="auto"/>
              <w:ind w:left="130"/>
              <w:rPr>
                <w:sz w:val="18"/>
                <w:szCs w:val="18"/>
              </w:rPr>
            </w:pPr>
            <w:r w:rsidRPr="00A511FF">
              <w:rPr>
                <w:sz w:val="18"/>
                <w:szCs w:val="18"/>
              </w:rPr>
              <w:t>• quality and/or</w:t>
            </w:r>
          </w:p>
          <w:p w14:paraId="28705D67" w14:textId="77777777" w:rsidR="00F66327" w:rsidRPr="00A511FF" w:rsidRDefault="00F66327">
            <w:pPr>
              <w:spacing w:after="0" w:line="240" w:lineRule="auto"/>
              <w:ind w:left="130"/>
              <w:rPr>
                <w:sz w:val="18"/>
                <w:szCs w:val="18"/>
              </w:rPr>
            </w:pPr>
            <w:r w:rsidRPr="00A511FF">
              <w:rPr>
                <w:sz w:val="18"/>
                <w:szCs w:val="18"/>
              </w:rPr>
              <w:t>• performance and/or</w:t>
            </w:r>
          </w:p>
          <w:p w14:paraId="79BBF2EF" w14:textId="77777777" w:rsidR="00F66327" w:rsidRPr="00A511FF" w:rsidRDefault="00F66327">
            <w:pPr>
              <w:spacing w:after="0" w:line="240" w:lineRule="auto"/>
              <w:ind w:left="130"/>
              <w:rPr>
                <w:sz w:val="18"/>
                <w:szCs w:val="18"/>
              </w:rPr>
            </w:pPr>
            <w:r w:rsidRPr="00A511FF">
              <w:rPr>
                <w:sz w:val="18"/>
                <w:szCs w:val="18"/>
              </w:rPr>
              <w:t>• efficiency and/or</w:t>
            </w:r>
          </w:p>
          <w:p w14:paraId="3A63B5B5" w14:textId="77777777" w:rsidR="00F66327" w:rsidRPr="00A511FF" w:rsidRDefault="00F66327" w:rsidP="000D3CC7">
            <w:pPr>
              <w:spacing w:after="40" w:line="240" w:lineRule="auto"/>
              <w:ind w:left="130"/>
              <w:rPr>
                <w:sz w:val="18"/>
                <w:szCs w:val="18"/>
              </w:rPr>
            </w:pPr>
            <w:r w:rsidRPr="00A511FF">
              <w:rPr>
                <w:sz w:val="18"/>
                <w:szCs w:val="18"/>
              </w:rPr>
              <w:t>• outcomes</w:t>
            </w:r>
            <w:r>
              <w:rPr>
                <w:sz w:val="18"/>
                <w:szCs w:val="18"/>
              </w:rPr>
              <w:t>.</w:t>
            </w:r>
          </w:p>
        </w:tc>
      </w:tr>
    </w:tbl>
    <w:p w14:paraId="66E83221" w14:textId="77777777" w:rsidR="00F66327" w:rsidRPr="0057529F" w:rsidRDefault="00F66327" w:rsidP="00F66327">
      <w:pPr>
        <w:spacing w:before="60" w:after="360"/>
        <w:ind w:left="567"/>
        <w:rPr>
          <w:sz w:val="16"/>
          <w:szCs w:val="16"/>
        </w:rPr>
      </w:pPr>
      <w:r w:rsidRPr="0057529F">
        <w:rPr>
          <w:sz w:val="16"/>
          <w:szCs w:val="16"/>
        </w:rPr>
        <w:lastRenderedPageBreak/>
        <w:t xml:space="preserve">Source: NCA, </w:t>
      </w:r>
      <w:r w:rsidRPr="0057529F">
        <w:rPr>
          <w:i/>
          <w:iCs/>
          <w:sz w:val="16"/>
          <w:szCs w:val="16"/>
        </w:rPr>
        <w:t>Invitation to Tender Documentation</w:t>
      </w:r>
      <w:r w:rsidRPr="0057529F">
        <w:rPr>
          <w:sz w:val="16"/>
          <w:szCs w:val="16"/>
        </w:rPr>
        <w:t>, 13 October 2025.</w:t>
      </w:r>
    </w:p>
    <w:p w14:paraId="046F29A3" w14:textId="066B1A91" w:rsidR="006C7807" w:rsidRDefault="006023EA" w:rsidP="00A031E6">
      <w:pPr>
        <w:pStyle w:val="ListParagraph"/>
      </w:pPr>
      <w:r w:rsidRPr="006023EA">
        <w:t xml:space="preserve">Endocare, in its representations to the Panel, </w:t>
      </w:r>
      <w:r w:rsidR="006B49DF">
        <w:t>said</w:t>
      </w:r>
      <w:r w:rsidRPr="006023EA">
        <w:t xml:space="preserve"> that NCA “misapplied the published scoring methodology</w:t>
      </w:r>
      <w:r w:rsidR="00502C85">
        <w:t>”</w:t>
      </w:r>
      <w:r w:rsidR="00502C85" w:rsidRPr="00502C85">
        <w:t xml:space="preserve"> </w:t>
      </w:r>
      <w:r w:rsidR="00502C85">
        <w:t>when evaluating bidders’ proposals</w:t>
      </w:r>
      <w:r>
        <w:t xml:space="preserve"> (see paragraph</w:t>
      </w:r>
      <w:r w:rsidR="004367E6">
        <w:t xml:space="preserve"> 33</w:t>
      </w:r>
      <w:r>
        <w:t>)</w:t>
      </w:r>
      <w:r w:rsidR="00E616CC">
        <w:t xml:space="preserve">, particularly in </w:t>
      </w:r>
      <w:r w:rsidR="00502C85">
        <w:t xml:space="preserve">relation to the application of the </w:t>
      </w:r>
      <w:r w:rsidR="006C7807">
        <w:t>definition for a score of 4 (Excellent).</w:t>
      </w:r>
    </w:p>
    <w:p w14:paraId="445B8120" w14:textId="2A267A68" w:rsidR="00495F76" w:rsidRDefault="008D027F" w:rsidP="0079282E">
      <w:pPr>
        <w:pStyle w:val="ListParagraph"/>
        <w:spacing w:after="120"/>
      </w:pPr>
      <w:r>
        <w:t>Endocare, i</w:t>
      </w:r>
      <w:r w:rsidR="001166BE">
        <w:t>n its earlier</w:t>
      </w:r>
      <w:r w:rsidR="004077AF" w:rsidRPr="0079282E">
        <w:t xml:space="preserve"> representations to NCA</w:t>
      </w:r>
      <w:r w:rsidR="00DB0586">
        <w:t>,</w:t>
      </w:r>
      <w:r w:rsidR="004077AF" w:rsidRPr="0079282E">
        <w:t xml:space="preserve"> note</w:t>
      </w:r>
      <w:r w:rsidR="00DB0586">
        <w:t>d</w:t>
      </w:r>
      <w:r w:rsidR="004077AF" w:rsidRPr="0079282E">
        <w:t xml:space="preserve"> that</w:t>
      </w:r>
      <w:r w:rsidR="00A3717C">
        <w:t xml:space="preserve">, for Q01, it had been awarded a score of 3 (Good) </w:t>
      </w:r>
      <w:r w:rsidR="00A07341">
        <w:t>for</w:t>
      </w:r>
      <w:r w:rsidR="0027501F" w:rsidRPr="0079282E">
        <w:t xml:space="preserve"> fail</w:t>
      </w:r>
      <w:r w:rsidR="00A07341">
        <w:t xml:space="preserve">ing </w:t>
      </w:r>
      <w:r w:rsidR="0027501F" w:rsidRPr="0079282E">
        <w:t xml:space="preserve">to </w:t>
      </w:r>
      <w:r w:rsidR="00A07341">
        <w:t>“</w:t>
      </w:r>
      <w:r w:rsidR="004077AF" w:rsidRPr="0079282E">
        <w:t xml:space="preserve">exceed the contracting authorities specified requirements and/or </w:t>
      </w:r>
      <w:bookmarkEnd w:id="13"/>
      <w:r w:rsidR="0027501F" w:rsidRPr="0079282E">
        <w:t>expectations</w:t>
      </w:r>
      <w:r w:rsidR="0027501F">
        <w:t>”</w:t>
      </w:r>
      <w:r w:rsidR="0027501F" w:rsidRPr="0079282E">
        <w:t>.</w:t>
      </w:r>
      <w:r w:rsidR="0027501F">
        <w:rPr>
          <w:rStyle w:val="FootnoteReference"/>
        </w:rPr>
        <w:footnoteReference w:id="23"/>
      </w:r>
      <w:r w:rsidR="00FD52A0">
        <w:t xml:space="preserve"> </w:t>
      </w:r>
      <w:r w:rsidR="005F1DDE" w:rsidRPr="005F1DDE">
        <w:t>NCA</w:t>
      </w:r>
      <w:r w:rsidR="00D8686E">
        <w:t>’s internal review panel</w:t>
      </w:r>
      <w:r w:rsidR="00C91256">
        <w:t>,</w:t>
      </w:r>
      <w:r w:rsidR="005F1DDE" w:rsidRPr="005F1DDE">
        <w:t xml:space="preserve"> </w:t>
      </w:r>
      <w:bookmarkStart w:id="14" w:name="_Ref228295049"/>
      <w:r w:rsidR="00C91256">
        <w:t>when</w:t>
      </w:r>
      <w:r w:rsidR="00C91256" w:rsidRPr="005F1DDE">
        <w:t xml:space="preserve"> responding to Endocare’s </w:t>
      </w:r>
      <w:r w:rsidR="00C91256">
        <w:t>concerns</w:t>
      </w:r>
      <w:r w:rsidR="00C91256" w:rsidRPr="005F1DDE">
        <w:t xml:space="preserve">, </w:t>
      </w:r>
      <w:r w:rsidR="00DC414A">
        <w:t xml:space="preserve">explained </w:t>
      </w:r>
      <w:r w:rsidR="00DB1F10">
        <w:t>the</w:t>
      </w:r>
      <w:r w:rsidR="00272B29">
        <w:t xml:space="preserve"> </w:t>
      </w:r>
      <w:r w:rsidR="00DC414A">
        <w:t xml:space="preserve">basis for awarding scores of 3 or 4 saying </w:t>
      </w:r>
      <w:r w:rsidR="005F1DDE" w:rsidRPr="005F1DDE">
        <w:t>that</w:t>
      </w:r>
      <w:r w:rsidR="00495F76">
        <w:t>:</w:t>
      </w:r>
      <w:bookmarkEnd w:id="14"/>
    </w:p>
    <w:p w14:paraId="2440D80F" w14:textId="48E055AE" w:rsidR="00AD55BB" w:rsidRDefault="005F1DDE" w:rsidP="0079282E">
      <w:pPr>
        <w:spacing w:after="120"/>
        <w:ind w:left="851"/>
        <w:rPr>
          <w:sz w:val="21"/>
          <w:szCs w:val="21"/>
        </w:rPr>
      </w:pPr>
      <w:r w:rsidRPr="00495F76">
        <w:rPr>
          <w:sz w:val="21"/>
          <w:szCs w:val="21"/>
        </w:rPr>
        <w:t>“A meeting of the requirements resulted in scores of 3 (“Good”). The absence of enhanced assurance or added value, above and beyond those requirements justified the decisions taken not to award 4 (</w:t>
      </w:r>
      <w:r w:rsidR="00D2267D">
        <w:rPr>
          <w:sz w:val="21"/>
          <w:szCs w:val="21"/>
        </w:rPr>
        <w:t>‘</w:t>
      </w:r>
      <w:r w:rsidRPr="00495F76">
        <w:rPr>
          <w:sz w:val="21"/>
          <w:szCs w:val="21"/>
        </w:rPr>
        <w:t>Excellent</w:t>
      </w:r>
      <w:r w:rsidR="00D2267D">
        <w:rPr>
          <w:sz w:val="21"/>
          <w:szCs w:val="21"/>
        </w:rPr>
        <w:t>’</w:t>
      </w:r>
      <w:r w:rsidRPr="00495F76">
        <w:rPr>
          <w:sz w:val="21"/>
          <w:szCs w:val="21"/>
        </w:rPr>
        <w:t>)</w:t>
      </w:r>
    </w:p>
    <w:p w14:paraId="06429403" w14:textId="267694C9" w:rsidR="005F1DDE" w:rsidRPr="00495F76" w:rsidRDefault="005F1DDE" w:rsidP="00495F76">
      <w:pPr>
        <w:ind w:left="851"/>
        <w:rPr>
          <w:sz w:val="21"/>
          <w:szCs w:val="21"/>
        </w:rPr>
      </w:pPr>
      <w:r w:rsidRPr="00495F76">
        <w:rPr>
          <w:sz w:val="21"/>
          <w:szCs w:val="21"/>
        </w:rPr>
        <w:t>“Where Endocare’s responses met the requirements but did not provide additional evidence required to exceed them, the awarded score of 3 (</w:t>
      </w:r>
      <w:r w:rsidR="00D2267D">
        <w:rPr>
          <w:sz w:val="21"/>
          <w:szCs w:val="21"/>
        </w:rPr>
        <w:t>‘</w:t>
      </w:r>
      <w:r w:rsidRPr="00495F76">
        <w:rPr>
          <w:sz w:val="21"/>
          <w:szCs w:val="21"/>
        </w:rPr>
        <w:t>Good</w:t>
      </w:r>
      <w:r w:rsidR="00D2267D">
        <w:rPr>
          <w:sz w:val="21"/>
          <w:szCs w:val="21"/>
        </w:rPr>
        <w:t>’</w:t>
      </w:r>
      <w:r w:rsidRPr="00495F76">
        <w:rPr>
          <w:sz w:val="21"/>
          <w:szCs w:val="21"/>
        </w:rPr>
        <w:t>) was consistent with the published scoring methodology. Where Endocare’s responses met the requirements and provided a materially higher degree of confidence in its ability to exceed those requirements, the awarded score of 4 (</w:t>
      </w:r>
      <w:r w:rsidR="00D2267D">
        <w:rPr>
          <w:sz w:val="21"/>
          <w:szCs w:val="21"/>
        </w:rPr>
        <w:t>‘</w:t>
      </w:r>
      <w:r w:rsidRPr="00495F76">
        <w:rPr>
          <w:sz w:val="21"/>
          <w:szCs w:val="21"/>
        </w:rPr>
        <w:t>Excellent</w:t>
      </w:r>
      <w:r w:rsidR="00D2267D">
        <w:rPr>
          <w:sz w:val="21"/>
          <w:szCs w:val="21"/>
        </w:rPr>
        <w:t>’</w:t>
      </w:r>
      <w:r w:rsidRPr="00495F76">
        <w:rPr>
          <w:sz w:val="21"/>
          <w:szCs w:val="21"/>
        </w:rPr>
        <w:t>) was consistent with the published scoring methodology</w:t>
      </w:r>
      <w:r w:rsidR="00342F7E">
        <w:rPr>
          <w:sz w:val="21"/>
          <w:szCs w:val="21"/>
        </w:rPr>
        <w:t>.</w:t>
      </w:r>
      <w:r w:rsidRPr="00495F76">
        <w:rPr>
          <w:sz w:val="21"/>
          <w:szCs w:val="21"/>
        </w:rPr>
        <w:t>”</w:t>
      </w:r>
      <w:r w:rsidR="00495F76">
        <w:rPr>
          <w:rStyle w:val="FootnoteReference"/>
          <w:sz w:val="21"/>
          <w:szCs w:val="21"/>
        </w:rPr>
        <w:footnoteReference w:id="24"/>
      </w:r>
    </w:p>
    <w:p w14:paraId="0977A04B" w14:textId="59B1F0D0" w:rsidR="00F27867" w:rsidRDefault="00A7398B" w:rsidP="0079282E">
      <w:pPr>
        <w:pStyle w:val="ListParagraph"/>
        <w:spacing w:after="120"/>
      </w:pPr>
      <w:bookmarkStart w:id="15" w:name="_Ref228295073"/>
      <w:r>
        <w:t>NCA</w:t>
      </w:r>
      <w:r w:rsidR="007806DB">
        <w:t xml:space="preserve"> </w:t>
      </w:r>
      <w:r w:rsidR="00B60426">
        <w:t xml:space="preserve">further explained </w:t>
      </w:r>
      <w:r w:rsidR="004976B4">
        <w:t>its</w:t>
      </w:r>
      <w:r w:rsidR="00B60426">
        <w:t xml:space="preserve"> basis </w:t>
      </w:r>
      <w:r w:rsidR="00C56EF7">
        <w:t>for awarding</w:t>
      </w:r>
      <w:r w:rsidR="00B60426">
        <w:t xml:space="preserve"> scores of 3 or 4</w:t>
      </w:r>
      <w:r w:rsidR="00761DF2">
        <w:t xml:space="preserve"> during this review</w:t>
      </w:r>
      <w:r w:rsidR="00152686">
        <w:t>, saying that:</w:t>
      </w:r>
      <w:bookmarkEnd w:id="15"/>
    </w:p>
    <w:p w14:paraId="08315B13" w14:textId="421B1161" w:rsidR="00E001DB" w:rsidRPr="00B82AA5" w:rsidRDefault="00B82AA5" w:rsidP="00274D28">
      <w:pPr>
        <w:spacing w:after="120" w:line="259" w:lineRule="auto"/>
        <w:ind w:left="851"/>
        <w:rPr>
          <w:sz w:val="21"/>
          <w:szCs w:val="21"/>
        </w:rPr>
      </w:pPr>
      <w:r w:rsidRPr="00B82AA5">
        <w:rPr>
          <w:sz w:val="21"/>
          <w:szCs w:val="21"/>
        </w:rPr>
        <w:t>“</w:t>
      </w:r>
      <w:r w:rsidR="00E001DB" w:rsidRPr="00B82AA5">
        <w:rPr>
          <w:sz w:val="21"/>
          <w:szCs w:val="21"/>
        </w:rPr>
        <w:t>The published scoring methodology clearly set out the requirements for each score and was applied strictly as published.</w:t>
      </w:r>
    </w:p>
    <w:p w14:paraId="1545EF2B" w14:textId="5F3361C3" w:rsidR="00B82AA5" w:rsidRDefault="00274D28" w:rsidP="00274D28">
      <w:pPr>
        <w:spacing w:after="120" w:line="259" w:lineRule="auto"/>
        <w:ind w:left="851"/>
        <w:rPr>
          <w:sz w:val="21"/>
          <w:szCs w:val="21"/>
        </w:rPr>
      </w:pPr>
      <w:r>
        <w:rPr>
          <w:sz w:val="21"/>
          <w:szCs w:val="21"/>
        </w:rPr>
        <w:t>“</w:t>
      </w:r>
      <w:r w:rsidR="00E001DB" w:rsidRPr="00B82AA5">
        <w:rPr>
          <w:sz w:val="21"/>
          <w:szCs w:val="21"/>
        </w:rPr>
        <w:t>A score of ‘4 – Excellent’ required bidders to first fully meet the requirements of a ‘3–Good’, and in addition, to demonstrate elements expressly identified within the ‘4’ descriptor.</w:t>
      </w:r>
    </w:p>
    <w:p w14:paraId="75098793" w14:textId="5A8529B7" w:rsidR="00C75345" w:rsidRDefault="00274D28" w:rsidP="00274D28">
      <w:pPr>
        <w:spacing w:after="120" w:line="259" w:lineRule="auto"/>
        <w:ind w:left="851"/>
        <w:rPr>
          <w:sz w:val="21"/>
          <w:szCs w:val="21"/>
        </w:rPr>
      </w:pPr>
      <w:r>
        <w:rPr>
          <w:sz w:val="21"/>
          <w:szCs w:val="21"/>
        </w:rPr>
        <w:t>“</w:t>
      </w:r>
      <w:r w:rsidR="00E001DB" w:rsidRPr="00B82AA5">
        <w:rPr>
          <w:sz w:val="21"/>
          <w:szCs w:val="21"/>
        </w:rPr>
        <w:t>The methodology explicitly used “and/or” throughout the ‘4 – Excellent’ criteria. It very transparently set out that there was more than one valid route by which a bidder could achieve a score of 4. No single element carried greater weight or priority over another. However, where ‘and/or’ statements were present, at least one of those elements had to be evidenced within the response for a score of 4 to be awarded.</w:t>
      </w:r>
    </w:p>
    <w:p w14:paraId="4C0E4418" w14:textId="75052950" w:rsidR="00C75345" w:rsidRDefault="00274D28" w:rsidP="00274D28">
      <w:pPr>
        <w:spacing w:after="120" w:line="259" w:lineRule="auto"/>
        <w:ind w:left="851"/>
        <w:rPr>
          <w:sz w:val="21"/>
          <w:szCs w:val="21"/>
        </w:rPr>
      </w:pPr>
      <w:r>
        <w:rPr>
          <w:sz w:val="21"/>
          <w:szCs w:val="21"/>
        </w:rPr>
        <w:t>“</w:t>
      </w:r>
      <w:r w:rsidR="00E001DB" w:rsidRPr="00B82AA5">
        <w:rPr>
          <w:sz w:val="21"/>
          <w:szCs w:val="21"/>
        </w:rPr>
        <w:t>This was clearly and expressly stated within the published scoring methodology made available to all bidders in advance of submission. The methodology was applied exactly as published.</w:t>
      </w:r>
    </w:p>
    <w:p w14:paraId="5ECD9255" w14:textId="11651E51" w:rsidR="00C75345" w:rsidRDefault="00274D28" w:rsidP="00274D28">
      <w:pPr>
        <w:spacing w:after="120" w:line="259" w:lineRule="auto"/>
        <w:ind w:left="851"/>
        <w:rPr>
          <w:sz w:val="21"/>
          <w:szCs w:val="21"/>
        </w:rPr>
      </w:pPr>
      <w:r>
        <w:rPr>
          <w:sz w:val="21"/>
          <w:szCs w:val="21"/>
        </w:rPr>
        <w:t>“</w:t>
      </w:r>
      <w:r w:rsidR="00E001DB" w:rsidRPr="00B82AA5">
        <w:rPr>
          <w:sz w:val="21"/>
          <w:szCs w:val="21"/>
        </w:rPr>
        <w:t>Accordingly, a score of 3 was awarded where a response met the full requirements of a ‘Good’ submission but did not evidence any of the additional elements required as defined within the ‘4 – Excellent’ criteria.</w:t>
      </w:r>
    </w:p>
    <w:p w14:paraId="66137A4D" w14:textId="7D578131" w:rsidR="005B5789" w:rsidRPr="00B82AA5" w:rsidRDefault="00274D28" w:rsidP="00274D28">
      <w:pPr>
        <w:spacing w:line="259" w:lineRule="auto"/>
        <w:ind w:left="851"/>
        <w:rPr>
          <w:sz w:val="21"/>
          <w:szCs w:val="21"/>
          <w:highlight w:val="yellow"/>
        </w:rPr>
      </w:pPr>
      <w:r>
        <w:rPr>
          <w:sz w:val="21"/>
          <w:szCs w:val="21"/>
        </w:rPr>
        <w:lastRenderedPageBreak/>
        <w:t>“</w:t>
      </w:r>
      <w:r w:rsidR="00E001DB" w:rsidRPr="00B82AA5">
        <w:rPr>
          <w:sz w:val="21"/>
          <w:szCs w:val="21"/>
        </w:rPr>
        <w:t xml:space="preserve">Where a bidder received a score of 3 (or 0, 1 or 2), the decision summary provided specific examples of how the response </w:t>
      </w:r>
      <w:r w:rsidR="00E001DB" w:rsidRPr="00C75345">
        <w:rPr>
          <w:b/>
          <w:bCs/>
          <w:sz w:val="21"/>
          <w:szCs w:val="21"/>
          <w:u w:val="single"/>
        </w:rPr>
        <w:t>could have</w:t>
      </w:r>
      <w:r w:rsidR="00E001DB" w:rsidRPr="00B82AA5">
        <w:rPr>
          <w:sz w:val="21"/>
          <w:szCs w:val="21"/>
        </w:rPr>
        <w:t xml:space="preserve"> been strengthened to achieve a higher score, which strengthens the rationale for the award of the 3, whilst also helping the bidder to understand what was lacking to have been awarded a 4. This is normal practice and was intended to support bidders in understanding how their responses could be improved in future procurements.</w:t>
      </w:r>
      <w:r w:rsidR="00151193" w:rsidRPr="00B82AA5">
        <w:rPr>
          <w:sz w:val="21"/>
          <w:szCs w:val="21"/>
        </w:rPr>
        <w:t>”</w:t>
      </w:r>
      <w:r w:rsidR="00C75345">
        <w:rPr>
          <w:sz w:val="21"/>
          <w:szCs w:val="21"/>
        </w:rPr>
        <w:t xml:space="preserve"> [emphasis </w:t>
      </w:r>
      <w:r w:rsidR="00300E83">
        <w:rPr>
          <w:sz w:val="21"/>
          <w:szCs w:val="21"/>
        </w:rPr>
        <w:t>in original</w:t>
      </w:r>
      <w:r w:rsidR="00C75345">
        <w:rPr>
          <w:sz w:val="21"/>
          <w:szCs w:val="21"/>
        </w:rPr>
        <w:t>]</w:t>
      </w:r>
      <w:r w:rsidR="00C75345">
        <w:rPr>
          <w:rStyle w:val="FootnoteReference"/>
          <w:sz w:val="21"/>
          <w:szCs w:val="21"/>
        </w:rPr>
        <w:footnoteReference w:id="25"/>
      </w:r>
    </w:p>
    <w:p w14:paraId="5F58B49A" w14:textId="43EAEF40" w:rsidR="006C74A2" w:rsidRPr="00931274" w:rsidRDefault="006C74A2" w:rsidP="006C74A2">
      <w:pPr>
        <w:pStyle w:val="ListParagraph"/>
        <w:spacing w:after="120"/>
      </w:pPr>
      <w:bookmarkStart w:id="16" w:name="_Ref228977533"/>
      <w:r>
        <w:t xml:space="preserve">The Panel notes that NCA’s feedback to Endocare </w:t>
      </w:r>
      <w:r w:rsidR="00015D91">
        <w:t xml:space="preserve">in </w:t>
      </w:r>
      <w:r w:rsidR="00040F79">
        <w:t>its</w:t>
      </w:r>
      <w:r w:rsidR="00015D91">
        <w:t xml:space="preserve"> tender outcome letter </w:t>
      </w:r>
      <w:r w:rsidRPr="00931274">
        <w:t>included statements such as:</w:t>
      </w:r>
      <w:bookmarkEnd w:id="16"/>
    </w:p>
    <w:p w14:paraId="69156E1B" w14:textId="2A3ED4D7" w:rsidR="006C74A2" w:rsidRPr="00931274" w:rsidRDefault="006C74A2" w:rsidP="006C74A2">
      <w:pPr>
        <w:spacing w:line="259" w:lineRule="auto"/>
        <w:ind w:left="851"/>
        <w:rPr>
          <w:sz w:val="21"/>
          <w:szCs w:val="21"/>
        </w:rPr>
      </w:pPr>
      <w:r w:rsidRPr="00931274">
        <w:rPr>
          <w:sz w:val="21"/>
          <w:szCs w:val="21"/>
        </w:rPr>
        <w:t>“</w:t>
      </w:r>
      <w:r>
        <w:rPr>
          <w:sz w:val="21"/>
          <w:szCs w:val="21"/>
        </w:rPr>
        <w:t xml:space="preserve">[Endocare’s answer] </w:t>
      </w:r>
      <w:r w:rsidRPr="00931274">
        <w:rPr>
          <w:sz w:val="21"/>
          <w:szCs w:val="21"/>
        </w:rPr>
        <w:t>did not exceed the contracting authorit</w:t>
      </w:r>
      <w:r>
        <w:rPr>
          <w:sz w:val="21"/>
          <w:szCs w:val="21"/>
        </w:rPr>
        <w:t xml:space="preserve">y’s </w:t>
      </w:r>
      <w:r w:rsidRPr="00931274">
        <w:rPr>
          <w:sz w:val="21"/>
          <w:szCs w:val="21"/>
        </w:rPr>
        <w:t>specified requirements and/or expectations which in line with the scoring methodology is required to score a 4."</w:t>
      </w:r>
      <w:r w:rsidR="006367FD">
        <w:rPr>
          <w:rStyle w:val="FootnoteReference"/>
          <w:sz w:val="21"/>
          <w:szCs w:val="21"/>
        </w:rPr>
        <w:footnoteReference w:id="26"/>
      </w:r>
    </w:p>
    <w:p w14:paraId="2EB299ED" w14:textId="77777777" w:rsidR="00FC4656" w:rsidRDefault="006C74A2" w:rsidP="006C74A2">
      <w:pPr>
        <w:pStyle w:val="ListParagraph"/>
      </w:pPr>
      <w:r>
        <w:t xml:space="preserve">The Panel </w:t>
      </w:r>
      <w:r w:rsidR="0020004D">
        <w:t xml:space="preserve">further </w:t>
      </w:r>
      <w:r>
        <w:t>note</w:t>
      </w:r>
      <w:r w:rsidR="0020004D">
        <w:t>s</w:t>
      </w:r>
      <w:r>
        <w:t xml:space="preserve"> that NCA’s feedback</w:t>
      </w:r>
      <w:r w:rsidR="00D06D9B">
        <w:t xml:space="preserve"> to Endocare</w:t>
      </w:r>
      <w:r w:rsidR="00EE3B49">
        <w:t xml:space="preserve"> which</w:t>
      </w:r>
      <w:r>
        <w:t xml:space="preserve">, </w:t>
      </w:r>
      <w:r w:rsidR="00D06D9B">
        <w:t>in effect,</w:t>
      </w:r>
      <w:r>
        <w:t xml:space="preserve"> says that bidders must exceed the contracting authority’s requirements and/or expectations to score a 4</w:t>
      </w:r>
      <w:r w:rsidR="00BA1254">
        <w:t>,</w:t>
      </w:r>
      <w:r>
        <w:t xml:space="preserve"> is consistent with NCA’s response to Endocare’s representations </w:t>
      </w:r>
      <w:r w:rsidR="00FC4656">
        <w:t xml:space="preserve">(see paragraph 40). </w:t>
      </w:r>
    </w:p>
    <w:p w14:paraId="762DECCE" w14:textId="269CD1D2" w:rsidR="006C74A2" w:rsidRDefault="00FC4656" w:rsidP="006C74A2">
      <w:pPr>
        <w:pStyle w:val="ListParagraph"/>
      </w:pPr>
      <w:r w:rsidRPr="00FC4656">
        <w:t>The Panel notes that NCA’s explanation to the Panel about how it applied the scoring methodology (i.e. that “A score of ‘4 – Excellent’ required bidders to first fully meet the requirements of a ‘3–Good’, and in addition, to demonstrate elements expressly identified within the ‘4’ descriptor” (see paragraph 41)) is not consistent with the tender documentation, tender outcome letters or NCA’s response to Endocare’s representations.</w:t>
      </w:r>
    </w:p>
    <w:p w14:paraId="6828EB09" w14:textId="70A4617C" w:rsidR="002D1655" w:rsidRDefault="000A4A90" w:rsidP="008B4C5C">
      <w:pPr>
        <w:pStyle w:val="ListParagraph"/>
      </w:pPr>
      <w:r w:rsidRPr="000A4A90">
        <w:t>T</w:t>
      </w:r>
      <w:r w:rsidR="00E001DB" w:rsidRPr="00931274">
        <w:t>he Panel</w:t>
      </w:r>
      <w:r w:rsidR="006C74A2">
        <w:t xml:space="preserve"> </w:t>
      </w:r>
      <w:r w:rsidR="002E5170">
        <w:t xml:space="preserve">reviewed the </w:t>
      </w:r>
      <w:r w:rsidR="0089324C">
        <w:t xml:space="preserve">definition </w:t>
      </w:r>
      <w:r w:rsidR="00C0345D">
        <w:t xml:space="preserve">for a score of 4 that was published </w:t>
      </w:r>
      <w:r w:rsidR="005D3DE6">
        <w:t>in the tender documentation</w:t>
      </w:r>
      <w:r w:rsidR="00A7444F">
        <w:t xml:space="preserve"> and compared this to NCA’s explanation to Endocare</w:t>
      </w:r>
      <w:r w:rsidR="005D3DE6">
        <w:t>. The Panel note</w:t>
      </w:r>
      <w:r w:rsidR="00274A8B">
        <w:t>s</w:t>
      </w:r>
      <w:r w:rsidR="005D3DE6">
        <w:t xml:space="preserve"> that </w:t>
      </w:r>
      <w:r w:rsidR="00CB54A2">
        <w:t>th</w:t>
      </w:r>
      <w:r w:rsidR="002D6738">
        <w:t>e</w:t>
      </w:r>
      <w:r w:rsidR="004C31E4">
        <w:t xml:space="preserve"> definition </w:t>
      </w:r>
      <w:r w:rsidR="002D6738">
        <w:t xml:space="preserve">for a score of 4 </w:t>
      </w:r>
      <w:r w:rsidR="004C31E4">
        <w:t>include</w:t>
      </w:r>
      <w:r w:rsidR="002D6738">
        <w:t>s</w:t>
      </w:r>
      <w:r w:rsidR="004C31E4">
        <w:t xml:space="preserve"> </w:t>
      </w:r>
      <w:r w:rsidR="00315A47">
        <w:t>multiple “and/or” statements</w:t>
      </w:r>
      <w:r w:rsidR="004C31E4">
        <w:t>, which result</w:t>
      </w:r>
      <w:r w:rsidR="006032C7">
        <w:t>s</w:t>
      </w:r>
      <w:r w:rsidR="004C31E4">
        <w:t xml:space="preserve"> in </w:t>
      </w:r>
      <w:r w:rsidR="00B10633">
        <w:t xml:space="preserve">many </w:t>
      </w:r>
      <w:r w:rsidR="004C31E4">
        <w:t xml:space="preserve">possible </w:t>
      </w:r>
      <w:r w:rsidR="0089324C">
        <w:t xml:space="preserve">pathways for an answer to </w:t>
      </w:r>
      <w:r w:rsidR="00721C53">
        <w:t xml:space="preserve">achieve </w:t>
      </w:r>
      <w:r w:rsidR="0089324C">
        <w:t xml:space="preserve">a score of 4. </w:t>
      </w:r>
      <w:r w:rsidR="00613B53">
        <w:t>More specifically, t</w:t>
      </w:r>
      <w:r w:rsidR="00560A3D">
        <w:t xml:space="preserve">he Panel identified 637 possible combinations of the factors </w:t>
      </w:r>
      <w:r w:rsidR="004E1BFC">
        <w:t xml:space="preserve">set out </w:t>
      </w:r>
      <w:r w:rsidR="00560A3D">
        <w:t xml:space="preserve">in the definition that </w:t>
      </w:r>
      <w:r w:rsidR="00E4282F">
        <w:t xml:space="preserve">would result in </w:t>
      </w:r>
      <w:r w:rsidR="00560A3D">
        <w:t xml:space="preserve">an answer </w:t>
      </w:r>
      <w:r w:rsidR="001C60A8">
        <w:t>being eligible for a score of 4</w:t>
      </w:r>
      <w:r w:rsidR="00560A3D">
        <w:t>.</w:t>
      </w:r>
    </w:p>
    <w:p w14:paraId="5AE415BB" w14:textId="1525F619" w:rsidR="0048373E" w:rsidRDefault="000B5FBC" w:rsidP="00616D2E">
      <w:pPr>
        <w:pStyle w:val="ListParagraph"/>
      </w:pPr>
      <w:r>
        <w:t>The Panel further note</w:t>
      </w:r>
      <w:r w:rsidR="00551600">
        <w:t>s</w:t>
      </w:r>
      <w:r>
        <w:t xml:space="preserve"> that answers d</w:t>
      </w:r>
      <w:r w:rsidR="0040180D">
        <w:t>o</w:t>
      </w:r>
      <w:r>
        <w:t xml:space="preserve"> not</w:t>
      </w:r>
      <w:r w:rsidR="00ED0497">
        <w:t>, in fact,</w:t>
      </w:r>
      <w:r>
        <w:t xml:space="preserve"> </w:t>
      </w:r>
      <w:r w:rsidR="001652A3">
        <w:t xml:space="preserve">have </w:t>
      </w:r>
      <w:r>
        <w:t xml:space="preserve">to </w:t>
      </w:r>
      <w:r w:rsidR="00616D2E">
        <w:t xml:space="preserve">“exceed the Contracting Authority’s </w:t>
      </w:r>
      <w:r w:rsidR="001652A3">
        <w:t xml:space="preserve">specified </w:t>
      </w:r>
      <w:r w:rsidR="00616D2E">
        <w:t xml:space="preserve">requirements and/or expectations” or be “considered likely to offer added value” to qualify for a score of 4. For example, an answer </w:t>
      </w:r>
      <w:r w:rsidR="00BA78B7">
        <w:t xml:space="preserve">would be eligible </w:t>
      </w:r>
      <w:r w:rsidR="00616D2E">
        <w:t xml:space="preserve">for a score of 4 if it </w:t>
      </w:r>
      <w:r w:rsidR="004C46FD">
        <w:t>“</w:t>
      </w:r>
      <w:r w:rsidR="001315C1">
        <w:t xml:space="preserve">supports </w:t>
      </w:r>
      <w:r w:rsidR="004C46FD">
        <w:t>an excellent degree of confidence in the Bidder’s ability to deliver”</w:t>
      </w:r>
      <w:r w:rsidR="00CC16C7">
        <w:t>, “is tailored to the Contracting Authorit</w:t>
      </w:r>
      <w:r w:rsidR="00F04634">
        <w:t xml:space="preserve">y’s </w:t>
      </w:r>
      <w:r w:rsidR="00CC16C7">
        <w:t xml:space="preserve">needs”, </w:t>
      </w:r>
      <w:r w:rsidR="00335521">
        <w:t xml:space="preserve">and </w:t>
      </w:r>
      <w:r w:rsidR="00141D39">
        <w:t>“is well evidenced</w:t>
      </w:r>
      <w:r w:rsidR="00335521" w:rsidRPr="00335521">
        <w:t xml:space="preserve">, and of a quality that </w:t>
      </w:r>
      <w:r w:rsidR="00141D39">
        <w:t>provides a very high certainty of delivery”</w:t>
      </w:r>
      <w:r w:rsidR="004E0D6C">
        <w:t>.</w:t>
      </w:r>
    </w:p>
    <w:p w14:paraId="7A069198" w14:textId="652B3A66" w:rsidR="00100757" w:rsidRDefault="00100757" w:rsidP="008B4C5C">
      <w:pPr>
        <w:pStyle w:val="ListParagraph"/>
      </w:pPr>
      <w:r>
        <w:t xml:space="preserve">The Panel </w:t>
      </w:r>
      <w:r w:rsidR="00435D18">
        <w:t>therefore</w:t>
      </w:r>
      <w:r>
        <w:t xml:space="preserve"> </w:t>
      </w:r>
      <w:r w:rsidR="00FA0575">
        <w:t>is of the view</w:t>
      </w:r>
      <w:r>
        <w:t xml:space="preserve"> that </w:t>
      </w:r>
      <w:r w:rsidR="00A2739E">
        <w:t>NCA’s</w:t>
      </w:r>
      <w:r>
        <w:t xml:space="preserve"> </w:t>
      </w:r>
      <w:r w:rsidR="001D19D4">
        <w:t>feedback</w:t>
      </w:r>
      <w:r w:rsidR="008E2D13">
        <w:t xml:space="preserve"> to Endocare (see paragraph</w:t>
      </w:r>
      <w:r w:rsidR="00FA0575">
        <w:t> </w:t>
      </w:r>
      <w:r w:rsidR="004367E6">
        <w:t>42</w:t>
      </w:r>
      <w:r w:rsidR="008E2D13">
        <w:t>)</w:t>
      </w:r>
      <w:r w:rsidR="001D19D4">
        <w:t>, its response to Endocare’s representations</w:t>
      </w:r>
      <w:r w:rsidR="008E2D13">
        <w:t xml:space="preserve"> (see paragraph </w:t>
      </w:r>
      <w:r w:rsidR="004367E6">
        <w:t>40</w:t>
      </w:r>
      <w:r w:rsidR="008E2D13">
        <w:t>)</w:t>
      </w:r>
      <w:r w:rsidR="001D19D4">
        <w:t xml:space="preserve"> and its </w:t>
      </w:r>
      <w:r>
        <w:t xml:space="preserve">explanation </w:t>
      </w:r>
      <w:r w:rsidR="001D19D4">
        <w:t>to the Panel</w:t>
      </w:r>
      <w:r w:rsidR="008E2D13">
        <w:t xml:space="preserve"> (see paragraph </w:t>
      </w:r>
      <w:r w:rsidR="004367E6">
        <w:t>41)</w:t>
      </w:r>
      <w:r w:rsidR="001D19D4">
        <w:t xml:space="preserve"> </w:t>
      </w:r>
      <w:r w:rsidR="00371025">
        <w:t>are</w:t>
      </w:r>
      <w:r>
        <w:t xml:space="preserve"> not consistent with the definition </w:t>
      </w:r>
      <w:r w:rsidR="001267E1">
        <w:t xml:space="preserve">of a score of 4 </w:t>
      </w:r>
      <w:r w:rsidR="00977E6E">
        <w:t xml:space="preserve">set out </w:t>
      </w:r>
      <w:r>
        <w:t xml:space="preserve">in the tender documentation. </w:t>
      </w:r>
      <w:r w:rsidR="00FB2C0B">
        <w:t xml:space="preserve">This is because it is not necessary for </w:t>
      </w:r>
      <w:r>
        <w:t>a</w:t>
      </w:r>
      <w:r w:rsidR="00FB2C0B">
        <w:t>n</w:t>
      </w:r>
      <w:r>
        <w:t xml:space="preserve"> answer to </w:t>
      </w:r>
      <w:r w:rsidR="005108C3">
        <w:t>exceed NCA’s requirements or expectations</w:t>
      </w:r>
      <w:r w:rsidR="001C2027">
        <w:t>, or demonstrate added value,</w:t>
      </w:r>
      <w:r w:rsidR="005108C3">
        <w:t xml:space="preserve"> to </w:t>
      </w:r>
      <w:r w:rsidR="00FB2C0B">
        <w:t xml:space="preserve">be eligible for </w:t>
      </w:r>
      <w:r w:rsidR="00DC5918">
        <w:t>a score of 4</w:t>
      </w:r>
      <w:r w:rsidR="005108C3">
        <w:t>.</w:t>
      </w:r>
      <w:r w:rsidR="00C96353">
        <w:t xml:space="preserve"> </w:t>
      </w:r>
      <w:r w:rsidR="00C96353" w:rsidRPr="00C96353">
        <w:t>It is also not necessary for bidders to “first fully meet the requirements of a ‘3–Good’, and in addition, to demonstrate elements expressly identified within the ‘4’ descriptor”, to be eligible for a score of 4.</w:t>
      </w:r>
    </w:p>
    <w:p w14:paraId="7DB2E19F" w14:textId="1B9268A2" w:rsidR="001061B1" w:rsidRDefault="00FC4C38" w:rsidP="001061B1">
      <w:pPr>
        <w:pStyle w:val="ListParagraph"/>
        <w:spacing w:after="120"/>
      </w:pPr>
      <w:r>
        <w:lastRenderedPageBreak/>
        <w:t xml:space="preserve">NCA told the Panel that it applied its interpretation of the definition for a score of 4 consistently </w:t>
      </w:r>
      <w:r w:rsidR="001061B1">
        <w:t xml:space="preserve">and uniformly </w:t>
      </w:r>
      <w:r>
        <w:t>across bidders</w:t>
      </w:r>
      <w:r w:rsidR="001061B1">
        <w:t>, saying that:</w:t>
      </w:r>
    </w:p>
    <w:p w14:paraId="52868247" w14:textId="139AAFAB" w:rsidR="001061B1" w:rsidRPr="001061B1" w:rsidRDefault="001061B1" w:rsidP="001061B1">
      <w:pPr>
        <w:spacing w:after="120" w:line="259" w:lineRule="auto"/>
        <w:ind w:left="851"/>
        <w:rPr>
          <w:sz w:val="21"/>
          <w:szCs w:val="21"/>
        </w:rPr>
      </w:pPr>
      <w:r w:rsidRPr="001061B1">
        <w:rPr>
          <w:sz w:val="21"/>
          <w:szCs w:val="21"/>
        </w:rPr>
        <w:t>“individual evaluator scoring demonstrated a high level of alignment, with approximately 60% alignment on average (meaning that the score awarded by each evaluator independently was the same), and one question showing 70% alignment, meaning evaluators independently awarded the same score in the majority of cases</w:t>
      </w:r>
      <w:r w:rsidR="004B1D29">
        <w:rPr>
          <w:sz w:val="21"/>
          <w:szCs w:val="21"/>
        </w:rPr>
        <w:t xml:space="preserve"> …</w:t>
      </w:r>
    </w:p>
    <w:p w14:paraId="0D40BED4" w14:textId="77777777" w:rsidR="00607F62" w:rsidRPr="001061B1" w:rsidRDefault="00607F62" w:rsidP="001061B1">
      <w:pPr>
        <w:spacing w:line="259" w:lineRule="auto"/>
        <w:ind w:left="851"/>
        <w:rPr>
          <w:sz w:val="21"/>
          <w:szCs w:val="21"/>
        </w:rPr>
      </w:pPr>
      <w:bookmarkStart w:id="17" w:name="_Ref227935771"/>
      <w:r w:rsidRPr="001061B1">
        <w:rPr>
          <w:sz w:val="21"/>
          <w:szCs w:val="21"/>
        </w:rPr>
        <w:t>“consensus scores were agreed [during moderation sessions] and the moderator ensured that each score was fully aligned with the published methodology and supported by clear, tangible justification. Feedback focused explicitly on identifying which elements of the published criteria were absent and what would have been required for the response to achieve a higher score”.</w:t>
      </w:r>
      <w:r w:rsidRPr="001061B1">
        <w:rPr>
          <w:rStyle w:val="FootnoteReference"/>
          <w:sz w:val="21"/>
          <w:szCs w:val="21"/>
        </w:rPr>
        <w:footnoteReference w:id="27"/>
      </w:r>
    </w:p>
    <w:bookmarkEnd w:id="17"/>
    <w:p w14:paraId="1E378B6B" w14:textId="235FEECD" w:rsidR="00F417BD" w:rsidRDefault="00FC4C38" w:rsidP="008B4C5C">
      <w:pPr>
        <w:pStyle w:val="ListParagraph"/>
      </w:pPr>
      <w:r>
        <w:t>The Panel notes that</w:t>
      </w:r>
      <w:r w:rsidR="000129BF">
        <w:t>,</w:t>
      </w:r>
      <w:r>
        <w:t xml:space="preserve"> even if </w:t>
      </w:r>
      <w:r w:rsidR="000A3218">
        <w:t>NCA applied its interpretation of the definition for a score of 4 consistently and uniformly across bidders</w:t>
      </w:r>
      <w:r>
        <w:t xml:space="preserve">, </w:t>
      </w:r>
      <w:r w:rsidR="009376A3">
        <w:t xml:space="preserve">there was still a mismatch between what bidders were told in the tender documentation about what was necessary to be awarded a score of 4 and </w:t>
      </w:r>
      <w:r w:rsidR="00FE08B5">
        <w:t xml:space="preserve">the </w:t>
      </w:r>
      <w:r w:rsidR="00DB5DD0">
        <w:t>apparent</w:t>
      </w:r>
      <w:r w:rsidR="00B42180">
        <w:t>,</w:t>
      </w:r>
      <w:r w:rsidR="00DB5DD0">
        <w:t xml:space="preserve"> but unrecorded</w:t>
      </w:r>
      <w:r w:rsidR="00B42180">
        <w:t>,</w:t>
      </w:r>
      <w:r w:rsidR="00FE08B5">
        <w:t xml:space="preserve"> definition that was, in practice, applied by NCA. </w:t>
      </w:r>
      <w:r w:rsidR="00130195">
        <w:t xml:space="preserve">This meant that some answers which </w:t>
      </w:r>
      <w:r w:rsidR="007B4B4A">
        <w:t xml:space="preserve">were </w:t>
      </w:r>
      <w:r w:rsidR="008D7B58">
        <w:t xml:space="preserve">potentially </w:t>
      </w:r>
      <w:r w:rsidR="007B4B4A">
        <w:t xml:space="preserve">eligible </w:t>
      </w:r>
      <w:r w:rsidR="00130195">
        <w:t xml:space="preserve">for a score of 4 </w:t>
      </w:r>
      <w:r w:rsidR="006F460E">
        <w:t xml:space="preserve">according to </w:t>
      </w:r>
      <w:r w:rsidR="004E0E7C">
        <w:t xml:space="preserve">the </w:t>
      </w:r>
      <w:r w:rsidR="00130195">
        <w:t xml:space="preserve">definition </w:t>
      </w:r>
      <w:r w:rsidR="006F460E">
        <w:t xml:space="preserve">set out </w:t>
      </w:r>
      <w:r w:rsidR="00130195">
        <w:t xml:space="preserve">in the tender documentation </w:t>
      </w:r>
      <w:r w:rsidR="007A0123">
        <w:t xml:space="preserve">may not have been </w:t>
      </w:r>
      <w:r w:rsidR="00130195">
        <w:t>awarded that score.</w:t>
      </w:r>
    </w:p>
    <w:p w14:paraId="2E511EDD" w14:textId="32A6BD4A" w:rsidR="000A3218" w:rsidRDefault="00A200D6" w:rsidP="000A3218">
      <w:pPr>
        <w:pStyle w:val="ListParagraph"/>
      </w:pPr>
      <w:r>
        <w:t xml:space="preserve">The Panel </w:t>
      </w:r>
      <w:r w:rsidR="00432329">
        <w:t>also</w:t>
      </w:r>
      <w:r>
        <w:t xml:space="preserve"> </w:t>
      </w:r>
      <w:r w:rsidR="00960559">
        <w:t xml:space="preserve">considered whether </w:t>
      </w:r>
      <w:r w:rsidR="00F06A5F">
        <w:t xml:space="preserve">the training that </w:t>
      </w:r>
      <w:r w:rsidR="00452D1D">
        <w:t>NCA</w:t>
      </w:r>
      <w:r w:rsidR="007A0123">
        <w:t xml:space="preserve"> provided to </w:t>
      </w:r>
      <w:r w:rsidR="00F06A5F">
        <w:t xml:space="preserve">its </w:t>
      </w:r>
      <w:r w:rsidR="007A0123">
        <w:t>evaluators</w:t>
      </w:r>
      <w:r w:rsidR="00F269E5">
        <w:t xml:space="preserve"> could or should have</w:t>
      </w:r>
      <w:r w:rsidR="005C2744">
        <w:t xml:space="preserve"> </w:t>
      </w:r>
      <w:r w:rsidR="00C27DAC">
        <w:t xml:space="preserve">clarified their understanding </w:t>
      </w:r>
      <w:r w:rsidR="002C7006">
        <w:t>of how to apply the scoring</w:t>
      </w:r>
      <w:r w:rsidR="00DF0440">
        <w:t xml:space="preserve"> definition</w:t>
      </w:r>
      <w:r w:rsidR="00F06A5F">
        <w:t>.</w:t>
      </w:r>
      <w:r w:rsidR="00F04D61">
        <w:t xml:space="preserve"> </w:t>
      </w:r>
      <w:r w:rsidR="00F06A5F">
        <w:t>The Panel</w:t>
      </w:r>
      <w:r w:rsidR="00366B2F">
        <w:t xml:space="preserve"> </w:t>
      </w:r>
      <w:r w:rsidR="009231A1">
        <w:t>notes</w:t>
      </w:r>
      <w:r w:rsidR="00F06A5F">
        <w:t xml:space="preserve"> that </w:t>
      </w:r>
      <w:r w:rsidR="00F04D61">
        <w:t>t</w:t>
      </w:r>
      <w:r w:rsidR="00A80139">
        <w:t>he training did not provide any guidance that was specific to the scoring matrix used in this provider selection process</w:t>
      </w:r>
      <w:r w:rsidR="00081866">
        <w:t>.</w:t>
      </w:r>
      <w:r w:rsidR="00081866" w:rsidRPr="006C1A58">
        <w:rPr>
          <w:vertAlign w:val="superscript"/>
        </w:rPr>
        <w:t xml:space="preserve"> </w:t>
      </w:r>
      <w:r w:rsidR="006C1A58" w:rsidRPr="006C1A58">
        <w:rPr>
          <w:vertAlign w:val="superscript"/>
        </w:rPr>
        <w:footnoteReference w:id="28"/>
      </w:r>
      <w:r w:rsidR="00081866">
        <w:t xml:space="preserve"> </w:t>
      </w:r>
      <w:r w:rsidR="008C4AF1">
        <w:t>NCA told the Panel that “</w:t>
      </w:r>
      <w:r w:rsidR="008C4AF1" w:rsidRPr="008C4AF1">
        <w:t>evaluators were issued with the actual scoring methodology for this procurement 7 working days prior to the opening of the evaluation window</w:t>
      </w:r>
      <w:r w:rsidR="008C4AF1">
        <w:t>”.</w:t>
      </w:r>
      <w:r w:rsidR="00F526A6">
        <w:rPr>
          <w:rStyle w:val="FootnoteReference"/>
        </w:rPr>
        <w:footnoteReference w:id="29"/>
      </w:r>
      <w:r w:rsidR="008C4AF1">
        <w:t xml:space="preserve"> </w:t>
      </w:r>
      <w:r w:rsidR="00081866">
        <w:t>T</w:t>
      </w:r>
      <w:r w:rsidR="007A0123">
        <w:t xml:space="preserve">he Panel </w:t>
      </w:r>
      <w:r w:rsidR="00366B2F">
        <w:t>therefore</w:t>
      </w:r>
      <w:r w:rsidR="007A0123">
        <w:t xml:space="preserve"> </w:t>
      </w:r>
      <w:r w:rsidR="002F6C94">
        <w:t xml:space="preserve">has doubts about whether </w:t>
      </w:r>
      <w:r w:rsidR="009D4533">
        <w:t xml:space="preserve">NCA’s training </w:t>
      </w:r>
      <w:r w:rsidR="002F6C94">
        <w:t>was likely to have resulted in evaluators having a</w:t>
      </w:r>
      <w:r w:rsidR="0054419C">
        <w:t>n</w:t>
      </w:r>
      <w:r w:rsidR="005E773A">
        <w:t xml:space="preserve"> accurate and comprehensive</w:t>
      </w:r>
      <w:r w:rsidR="007C1B0F">
        <w:t xml:space="preserve"> understanding</w:t>
      </w:r>
      <w:r w:rsidR="004126DA">
        <w:t xml:space="preserve"> </w:t>
      </w:r>
      <w:r w:rsidR="00633A9D" w:rsidRPr="00633A9D">
        <w:t>of the definition of a score of 4</w:t>
      </w:r>
      <w:r w:rsidR="00633A9D">
        <w:t xml:space="preserve">, that </w:t>
      </w:r>
      <w:r w:rsidR="005A420D">
        <w:t xml:space="preserve">would </w:t>
      </w:r>
      <w:r w:rsidR="00917B92">
        <w:t xml:space="preserve">enable </w:t>
      </w:r>
      <w:r w:rsidR="004A2757">
        <w:t>them</w:t>
      </w:r>
      <w:r w:rsidR="00917B92">
        <w:t xml:space="preserve"> to apply </w:t>
      </w:r>
      <w:r w:rsidR="002F6C94">
        <w:t xml:space="preserve">a consistent interpretation of the </w:t>
      </w:r>
      <w:r w:rsidR="00B83AAE">
        <w:t>definition</w:t>
      </w:r>
      <w:r w:rsidR="00241445">
        <w:t xml:space="preserve">, especially given that </w:t>
      </w:r>
      <w:r w:rsidR="00D858A9">
        <w:t>th</w:t>
      </w:r>
      <w:r w:rsidR="004521BD">
        <w:t xml:space="preserve">e definition which evaluators had to apply </w:t>
      </w:r>
      <w:r w:rsidR="00D858A9">
        <w:t xml:space="preserve">was </w:t>
      </w:r>
      <w:r w:rsidR="004521BD">
        <w:t>particularly complex</w:t>
      </w:r>
      <w:r w:rsidR="000A3218">
        <w:t>.</w:t>
      </w:r>
    </w:p>
    <w:p w14:paraId="3C03101A" w14:textId="650E55E5" w:rsidR="00D55B4A" w:rsidRDefault="0027294D" w:rsidP="00F23726">
      <w:pPr>
        <w:pStyle w:val="ListParagraph"/>
      </w:pPr>
      <w:r>
        <w:t>In summary</w:t>
      </w:r>
      <w:r w:rsidR="00F23726">
        <w:t>, the Panel</w:t>
      </w:r>
      <w:r w:rsidR="004E0533">
        <w:t xml:space="preserve"> finds </w:t>
      </w:r>
      <w:r w:rsidR="00F23726">
        <w:t xml:space="preserve">that </w:t>
      </w:r>
      <w:r>
        <w:t>NCA</w:t>
      </w:r>
      <w:r w:rsidR="004E0533">
        <w:t xml:space="preserve">, by </w:t>
      </w:r>
      <w:r w:rsidR="00D55B4A">
        <w:t>not apply</w:t>
      </w:r>
      <w:r w:rsidR="004E0533">
        <w:t>ing</w:t>
      </w:r>
      <w:r w:rsidR="00D55B4A">
        <w:t xml:space="preserve"> the scoring definitions </w:t>
      </w:r>
      <w:r w:rsidR="008F3EA0">
        <w:t>set out in the tender documentation when evaluating bidders’ proposals, breached</w:t>
      </w:r>
      <w:r w:rsidR="004E0533">
        <w:t xml:space="preserve"> the PSR regulations </w:t>
      </w:r>
      <w:r w:rsidR="008419ED">
        <w:t>including</w:t>
      </w:r>
      <w:r w:rsidR="008F3EA0">
        <w:t xml:space="preserve"> </w:t>
      </w:r>
      <w:r w:rsidR="004E0533">
        <w:t xml:space="preserve">Regulation 4 </w:t>
      </w:r>
      <w:r w:rsidR="000866C9">
        <w:t xml:space="preserve">which obliges commissioners </w:t>
      </w:r>
      <w:r w:rsidR="008F3EA0">
        <w:t>to act transparently and fairly</w:t>
      </w:r>
      <w:r w:rsidR="000866C9">
        <w:t xml:space="preserve"> and Regulation 11(5) which requires commissioner</w:t>
      </w:r>
      <w:r w:rsidR="00596AC8">
        <w:t>s</w:t>
      </w:r>
      <w:r w:rsidR="000866C9">
        <w:t xml:space="preserve"> to assess any offers received in accordance with the contract award criteria.</w:t>
      </w:r>
    </w:p>
    <w:p w14:paraId="1BA36D2D" w14:textId="2C629A92" w:rsidR="001E320B" w:rsidRPr="00A41D12" w:rsidRDefault="00A41D12" w:rsidP="00536461">
      <w:pPr>
        <w:keepNext/>
        <w:spacing w:before="240"/>
        <w:rPr>
          <w:b/>
          <w:bCs/>
        </w:rPr>
      </w:pPr>
      <w:r w:rsidRPr="00A41D12">
        <w:rPr>
          <w:b/>
          <w:bCs/>
        </w:rPr>
        <w:t xml:space="preserve">7.1.2 </w:t>
      </w:r>
      <w:r>
        <w:rPr>
          <w:b/>
          <w:bCs/>
        </w:rPr>
        <w:t xml:space="preserve">Whether NCA failed </w:t>
      </w:r>
      <w:r w:rsidR="001E320B" w:rsidRPr="00A41D12">
        <w:rPr>
          <w:b/>
          <w:bCs/>
        </w:rPr>
        <w:t>to consider relevant evidence</w:t>
      </w:r>
    </w:p>
    <w:p w14:paraId="561ACB52" w14:textId="31DB8F8D" w:rsidR="001C6EFE" w:rsidRDefault="004B4CE2" w:rsidP="00A031E6">
      <w:pPr>
        <w:pStyle w:val="ListParagraph"/>
      </w:pPr>
      <w:r w:rsidRPr="004B4CE2">
        <w:t>Endocare, in its representations to the Panel, raised concerns that NCA had “failed to take into account material evidence contained within the tender”</w:t>
      </w:r>
      <w:r>
        <w:t xml:space="preserve"> </w:t>
      </w:r>
      <w:r w:rsidR="001469C6">
        <w:t xml:space="preserve">when </w:t>
      </w:r>
      <w:r w:rsidR="001C6EFE">
        <w:t>evaluat</w:t>
      </w:r>
      <w:r w:rsidR="001469C6">
        <w:t>ing</w:t>
      </w:r>
      <w:r w:rsidR="001C6EFE">
        <w:t xml:space="preserve"> Endocare’s </w:t>
      </w:r>
      <w:r w:rsidR="00257F2D">
        <w:t xml:space="preserve">proposal </w:t>
      </w:r>
      <w:r w:rsidR="001C6EFE">
        <w:t xml:space="preserve">(see paragraph </w:t>
      </w:r>
      <w:r w:rsidR="004367E6">
        <w:t>33</w:t>
      </w:r>
      <w:r w:rsidR="001C6EFE">
        <w:t>).</w:t>
      </w:r>
    </w:p>
    <w:p w14:paraId="3B0DB688" w14:textId="32177557" w:rsidR="00305EFB" w:rsidRDefault="00305EFB" w:rsidP="0007063D">
      <w:pPr>
        <w:pStyle w:val="ListParagraph"/>
        <w:spacing w:after="120"/>
      </w:pPr>
      <w:r>
        <w:lastRenderedPageBreak/>
        <w:t>Endocare</w:t>
      </w:r>
      <w:r w:rsidR="001469C6">
        <w:t xml:space="preserve"> raised similar concerns</w:t>
      </w:r>
      <w:r>
        <w:t xml:space="preserve"> </w:t>
      </w:r>
      <w:r w:rsidR="7D9C3F94">
        <w:t xml:space="preserve">in </w:t>
      </w:r>
      <w:r>
        <w:t xml:space="preserve">its </w:t>
      </w:r>
      <w:r w:rsidR="001469C6">
        <w:t xml:space="preserve">earlier </w:t>
      </w:r>
      <w:r>
        <w:t>representations to NCA, sa</w:t>
      </w:r>
      <w:r w:rsidR="001469C6">
        <w:t>ying</w:t>
      </w:r>
      <w:r>
        <w:t xml:space="preserve"> that:</w:t>
      </w:r>
    </w:p>
    <w:p w14:paraId="333456EA" w14:textId="039111DE" w:rsidR="00305EFB" w:rsidRPr="00305EFB" w:rsidRDefault="00305EFB" w:rsidP="00E12F0E">
      <w:pPr>
        <w:spacing w:after="120" w:line="259" w:lineRule="auto"/>
        <w:ind w:left="851"/>
        <w:rPr>
          <w:sz w:val="21"/>
          <w:szCs w:val="21"/>
        </w:rPr>
      </w:pPr>
      <w:r w:rsidRPr="00305EFB">
        <w:rPr>
          <w:sz w:val="21"/>
          <w:szCs w:val="21"/>
        </w:rPr>
        <w:t>“Throughout the Decision Summary, material evidence submitted by Endocare is not referenced, incorrectly summarised, or substituted with assumptions about what would exceed expectations. Examples provided by Endocare include extensive quality KPIs and demonstrated withdrawal time performance, contradicting the suggestion that these were absent.</w:t>
      </w:r>
    </w:p>
    <w:p w14:paraId="600372A5" w14:textId="067050D7" w:rsidR="00305EFB" w:rsidRDefault="00305EFB" w:rsidP="00E12F0E">
      <w:pPr>
        <w:spacing w:line="259" w:lineRule="auto"/>
        <w:ind w:left="851"/>
        <w:rPr>
          <w:sz w:val="21"/>
          <w:szCs w:val="21"/>
        </w:rPr>
      </w:pPr>
      <w:r w:rsidRPr="00305EFB">
        <w:rPr>
          <w:sz w:val="21"/>
          <w:szCs w:val="21"/>
        </w:rPr>
        <w:t>“Endocare’s submission referenced PSIRF alignment, governance structure, risk escalation processes, and clinical engagement, yet the Decision Summary does not recognise these. Endocare’s continuous improvement processes including DNA analysis, demographic trends and bowel prep analysis appears to have been disregarded.</w:t>
      </w:r>
      <w:r>
        <w:rPr>
          <w:sz w:val="21"/>
          <w:szCs w:val="21"/>
        </w:rPr>
        <w:t>”</w:t>
      </w:r>
      <w:r w:rsidR="00221CA1">
        <w:rPr>
          <w:rStyle w:val="FootnoteReference"/>
          <w:sz w:val="21"/>
          <w:szCs w:val="21"/>
        </w:rPr>
        <w:footnoteReference w:id="30"/>
      </w:r>
    </w:p>
    <w:p w14:paraId="418E519C" w14:textId="05AC0046" w:rsidR="00305EFB" w:rsidRDefault="005C626D" w:rsidP="00A031E6">
      <w:pPr>
        <w:pStyle w:val="ListParagraph"/>
      </w:pPr>
      <w:r>
        <w:t>NCA, i</w:t>
      </w:r>
      <w:r w:rsidR="00305EFB">
        <w:t>n respon</w:t>
      </w:r>
      <w:r w:rsidR="00CA5FEB">
        <w:t>ding</w:t>
      </w:r>
      <w:r w:rsidR="00305EFB">
        <w:t xml:space="preserve"> to Endocare’s concerns, said that</w:t>
      </w:r>
      <w:r w:rsidR="00221CA1">
        <w:t xml:space="preserve"> its review “</w:t>
      </w:r>
      <w:r w:rsidR="00221CA1" w:rsidRPr="00221CA1">
        <w:t>did not find evidence that</w:t>
      </w:r>
      <w:r w:rsidR="00AD0930">
        <w:t xml:space="preserve"> </w:t>
      </w:r>
      <w:r w:rsidR="00221CA1" w:rsidRPr="00221CA1">
        <w:t>Endocare’s</w:t>
      </w:r>
      <w:r w:rsidR="00AD0930">
        <w:t xml:space="preserve"> </w:t>
      </w:r>
      <w:r w:rsidR="00221CA1" w:rsidRPr="00221CA1">
        <w:t>submission was overlooked or insufficiently considered.</w:t>
      </w:r>
      <w:r w:rsidR="00AD0930">
        <w:t xml:space="preserve"> </w:t>
      </w:r>
      <w:r w:rsidR="00221CA1" w:rsidRPr="00221CA1">
        <w:t>Evaluation records and feedback</w:t>
      </w:r>
      <w:r w:rsidR="00AD0930">
        <w:t xml:space="preserve"> </w:t>
      </w:r>
      <w:r w:rsidR="00221CA1" w:rsidRPr="00221CA1">
        <w:t>demonstrate</w:t>
      </w:r>
      <w:r w:rsidR="00AD0930">
        <w:t xml:space="preserve"> </w:t>
      </w:r>
      <w:r w:rsidR="00221CA1" w:rsidRPr="00221CA1">
        <w:t>detailed engagement with the submission. Disagreement with the outcome does not</w:t>
      </w:r>
      <w:r w:rsidR="00AD0930">
        <w:t xml:space="preserve"> </w:t>
      </w:r>
      <w:r w:rsidR="00221CA1" w:rsidRPr="00221CA1">
        <w:t>indicate</w:t>
      </w:r>
      <w:r w:rsidR="00AD0930">
        <w:t xml:space="preserve"> </w:t>
      </w:r>
      <w:r w:rsidR="00221CA1" w:rsidRPr="00221CA1">
        <w:t>a failure to consider the submission”</w:t>
      </w:r>
      <w:r w:rsidR="00221CA1">
        <w:t>.</w:t>
      </w:r>
      <w:r w:rsidR="00221CA1">
        <w:rPr>
          <w:rStyle w:val="FootnoteReference"/>
        </w:rPr>
        <w:footnoteReference w:id="31"/>
      </w:r>
    </w:p>
    <w:p w14:paraId="3E3C8907" w14:textId="55B31FC4" w:rsidR="002E1713" w:rsidRDefault="00AD0930" w:rsidP="00A031E6">
      <w:pPr>
        <w:pStyle w:val="ListParagraph"/>
      </w:pPr>
      <w:r>
        <w:t>The Panel, h</w:t>
      </w:r>
      <w:r w:rsidR="001538D8">
        <w:t xml:space="preserve">aving reviewed </w:t>
      </w:r>
      <w:r w:rsidR="004F483E">
        <w:t>NCA’s</w:t>
      </w:r>
      <w:r w:rsidR="00AF6522">
        <w:t xml:space="preserve"> </w:t>
      </w:r>
      <w:r w:rsidR="006D1453">
        <w:t xml:space="preserve">evaluator comments, </w:t>
      </w:r>
      <w:r w:rsidR="00AF6522">
        <w:t>moderation notes</w:t>
      </w:r>
      <w:r w:rsidR="004F483E">
        <w:t xml:space="preserve"> </w:t>
      </w:r>
      <w:r w:rsidR="006D1453">
        <w:t xml:space="preserve">and </w:t>
      </w:r>
      <w:r w:rsidR="004F483E">
        <w:t>moderated feedback to Endocare</w:t>
      </w:r>
      <w:r w:rsidR="00E6649C" w:rsidRPr="00836132">
        <w:t xml:space="preserve">, </w:t>
      </w:r>
      <w:r w:rsidR="000C7008">
        <w:t xml:space="preserve">has not seen </w:t>
      </w:r>
      <w:r w:rsidR="00FA7E81">
        <w:t xml:space="preserve">evidence </w:t>
      </w:r>
      <w:r w:rsidR="00B961F3">
        <w:t xml:space="preserve">to suggest that </w:t>
      </w:r>
      <w:bookmarkStart w:id="18" w:name="_Ref228365127"/>
      <w:r w:rsidR="00F3104B">
        <w:t xml:space="preserve">NCA “failed to take into </w:t>
      </w:r>
      <w:r w:rsidR="004E40F3">
        <w:t>account material evidence contained within the tender”</w:t>
      </w:r>
      <w:r w:rsidR="00905F72">
        <w:t xml:space="preserve">. The Panel’s view is </w:t>
      </w:r>
      <w:r w:rsidR="00354607" w:rsidRPr="00E22E98">
        <w:t>that the feedback provided by NCA</w:t>
      </w:r>
      <w:r w:rsidR="00354607">
        <w:t xml:space="preserve"> </w:t>
      </w:r>
      <w:r w:rsidR="00354607" w:rsidRPr="00E22E98">
        <w:t xml:space="preserve">is </w:t>
      </w:r>
      <w:r w:rsidR="00820AC7" w:rsidRPr="00E22E98">
        <w:t>in</w:t>
      </w:r>
      <w:r w:rsidR="00354607" w:rsidRPr="00E22E98">
        <w:t xml:space="preserve"> keeping with the PSR Statutory Guidance, which states that "relevant authorities may also choose to give feedback to unsuccessful providers on what they did well and what they could have done to improve their bid</w:t>
      </w:r>
      <w:r w:rsidR="00BA52A2">
        <w:t>”</w:t>
      </w:r>
      <w:r w:rsidR="00354607" w:rsidRPr="00E22E98">
        <w:t>.</w:t>
      </w:r>
    </w:p>
    <w:bookmarkEnd w:id="18"/>
    <w:p w14:paraId="21CB3BF1" w14:textId="72022AD3" w:rsidR="000B6E5A" w:rsidRPr="00237CA2" w:rsidRDefault="00B56473" w:rsidP="00237CA2">
      <w:pPr>
        <w:pStyle w:val="ListParagraph"/>
        <w:rPr>
          <w:rFonts w:cs="Arial"/>
        </w:rPr>
      </w:pPr>
      <w:r>
        <w:t>In summary</w:t>
      </w:r>
      <w:r w:rsidR="000B6E5A">
        <w:t xml:space="preserve">, the Panel’s view is that </w:t>
      </w:r>
      <w:r w:rsidR="000B6E5A">
        <w:rPr>
          <w:rFonts w:cs="Arial"/>
        </w:rPr>
        <w:t>the evidence does not support a conclusion that NCA failed to consider relevant evidence when evaluating and scoring Endocare’s proposal.</w:t>
      </w:r>
      <w:r w:rsidR="00D153EB">
        <w:rPr>
          <w:rStyle w:val="FootnoteReference"/>
          <w:rFonts w:cs="Arial"/>
        </w:rPr>
        <w:footnoteReference w:id="32"/>
      </w:r>
      <w:r>
        <w:rPr>
          <w:rFonts w:cs="Arial"/>
        </w:rPr>
        <w:t xml:space="preserve"> </w:t>
      </w:r>
      <w:r w:rsidR="006B4D79">
        <w:rPr>
          <w:rFonts w:cs="Arial"/>
        </w:rPr>
        <w:t>As a result, t</w:t>
      </w:r>
      <w:r>
        <w:rPr>
          <w:rFonts w:cs="Arial"/>
        </w:rPr>
        <w:t>he Panel finds that NCA, in evaluating and scoring Endocare’s proposal</w:t>
      </w:r>
      <w:r w:rsidR="00237CA2">
        <w:rPr>
          <w:rFonts w:cs="Arial"/>
        </w:rPr>
        <w:t>,</w:t>
      </w:r>
      <w:r w:rsidR="00A5023F">
        <w:rPr>
          <w:rFonts w:cs="Arial"/>
        </w:rPr>
        <w:t xml:space="preserve"> did not </w:t>
      </w:r>
      <w:r w:rsidR="005B5333">
        <w:rPr>
          <w:rFonts w:cs="Arial"/>
        </w:rPr>
        <w:t xml:space="preserve">breach the PSR regulations as a result of failing </w:t>
      </w:r>
      <w:r w:rsidR="00A5023F">
        <w:rPr>
          <w:rFonts w:cs="Arial"/>
        </w:rPr>
        <w:t>to consider relevant evidence</w:t>
      </w:r>
      <w:r w:rsidR="00237CA2">
        <w:rPr>
          <w:rFonts w:cs="Arial"/>
        </w:rPr>
        <w:t xml:space="preserve">, </w:t>
      </w:r>
      <w:r w:rsidR="00237CA2" w:rsidRPr="00237CA2">
        <w:rPr>
          <w:rFonts w:cs="Arial"/>
        </w:rPr>
        <w:t>and in particular Regulation 4 which obliges commissioners to act transparently and fairly and Regulation 11(5) which requires commissioner</w:t>
      </w:r>
      <w:r w:rsidR="00596AC8">
        <w:rPr>
          <w:rFonts w:cs="Arial"/>
        </w:rPr>
        <w:t>s</w:t>
      </w:r>
      <w:r w:rsidR="00237CA2" w:rsidRPr="00237CA2">
        <w:rPr>
          <w:rFonts w:cs="Arial"/>
        </w:rPr>
        <w:t xml:space="preserve"> to assess any offers received in accordance with the contract award criteria.</w:t>
      </w:r>
    </w:p>
    <w:p w14:paraId="7037728C" w14:textId="3E362555" w:rsidR="00672061" w:rsidRPr="00A41D12" w:rsidRDefault="00A41D12" w:rsidP="00E12F0E">
      <w:pPr>
        <w:keepNext/>
        <w:spacing w:before="240"/>
        <w:rPr>
          <w:b/>
          <w:bCs/>
        </w:rPr>
      </w:pPr>
      <w:r w:rsidRPr="00A41D12">
        <w:rPr>
          <w:b/>
          <w:bCs/>
        </w:rPr>
        <w:t xml:space="preserve">7.1.3 Whether NCA relied </w:t>
      </w:r>
      <w:r w:rsidR="00672061" w:rsidRPr="00A41D12">
        <w:rPr>
          <w:b/>
          <w:bCs/>
        </w:rPr>
        <w:t>on undisclosed criteria</w:t>
      </w:r>
    </w:p>
    <w:p w14:paraId="21D77903" w14:textId="5A1D5560" w:rsidR="004E771C" w:rsidRPr="004E771C" w:rsidRDefault="004E771C" w:rsidP="00A031E6">
      <w:pPr>
        <w:pStyle w:val="ListParagraph"/>
        <w:rPr>
          <w:lang w:eastAsia="en-GB"/>
        </w:rPr>
      </w:pPr>
      <w:r w:rsidRPr="004E771C">
        <w:rPr>
          <w:lang w:eastAsia="en-GB"/>
        </w:rPr>
        <w:t xml:space="preserve">Endocare, in its representations to the Panel, raised concerns </w:t>
      </w:r>
      <w:r>
        <w:rPr>
          <w:lang w:eastAsia="en-GB"/>
        </w:rPr>
        <w:t>that NCA</w:t>
      </w:r>
      <w:r w:rsidRPr="004E771C">
        <w:rPr>
          <w:lang w:eastAsia="en-GB"/>
        </w:rPr>
        <w:t xml:space="preserve"> “relied on criteria that were not included in the specification or evaluation rubric”</w:t>
      </w:r>
      <w:r>
        <w:rPr>
          <w:lang w:eastAsia="en-GB"/>
        </w:rPr>
        <w:t xml:space="preserve"> </w:t>
      </w:r>
      <w:r w:rsidR="00D57411">
        <w:rPr>
          <w:lang w:eastAsia="en-GB"/>
        </w:rPr>
        <w:t xml:space="preserve">when </w:t>
      </w:r>
      <w:r>
        <w:rPr>
          <w:lang w:eastAsia="en-GB"/>
        </w:rPr>
        <w:t>evaluatin</w:t>
      </w:r>
      <w:r w:rsidR="00D57411">
        <w:rPr>
          <w:lang w:eastAsia="en-GB"/>
        </w:rPr>
        <w:t>g</w:t>
      </w:r>
      <w:r>
        <w:rPr>
          <w:lang w:eastAsia="en-GB"/>
        </w:rPr>
        <w:t xml:space="preserve"> Endocare’s bid</w:t>
      </w:r>
      <w:r w:rsidRPr="004E771C">
        <w:rPr>
          <w:lang w:eastAsia="en-GB"/>
        </w:rPr>
        <w:t xml:space="preserve"> (see paragraph </w:t>
      </w:r>
      <w:r w:rsidR="004367E6">
        <w:rPr>
          <w:lang w:eastAsia="en-GB"/>
        </w:rPr>
        <w:t>33</w:t>
      </w:r>
      <w:r w:rsidRPr="004E771C">
        <w:rPr>
          <w:lang w:eastAsia="en-GB"/>
        </w:rPr>
        <w:t>).</w:t>
      </w:r>
    </w:p>
    <w:p w14:paraId="24613631" w14:textId="426FD3BA" w:rsidR="00E661D3" w:rsidRPr="00E661D3" w:rsidRDefault="00D57411" w:rsidP="00A948AC">
      <w:pPr>
        <w:pStyle w:val="ListParagraph"/>
        <w:spacing w:after="120"/>
      </w:pPr>
      <w:r>
        <w:t>Endocare</w:t>
      </w:r>
      <w:r w:rsidR="00D23D8C">
        <w:t xml:space="preserve"> raised similar concerns </w:t>
      </w:r>
      <w:r>
        <w:t>i</w:t>
      </w:r>
      <w:r w:rsidR="00E661D3" w:rsidRPr="00E661D3">
        <w:t xml:space="preserve">n its </w:t>
      </w:r>
      <w:r>
        <w:t xml:space="preserve">earlier </w:t>
      </w:r>
      <w:r w:rsidR="00E661D3" w:rsidRPr="00E661D3">
        <w:t xml:space="preserve">representations to NCA, </w:t>
      </w:r>
      <w:r w:rsidR="00D23D8C">
        <w:t>saying</w:t>
      </w:r>
      <w:r w:rsidR="00E661D3" w:rsidRPr="00E661D3">
        <w:t xml:space="preserve"> that:</w:t>
      </w:r>
    </w:p>
    <w:p w14:paraId="54F1C99A" w14:textId="2E6CCAAD" w:rsidR="00E661D3" w:rsidRPr="00E661D3" w:rsidRDefault="00E661D3" w:rsidP="00A948AC">
      <w:pPr>
        <w:spacing w:after="120" w:line="259" w:lineRule="auto"/>
        <w:ind w:left="851"/>
        <w:rPr>
          <w:rFonts w:cs="Arial"/>
          <w:sz w:val="21"/>
          <w:szCs w:val="21"/>
        </w:rPr>
      </w:pPr>
      <w:r w:rsidRPr="00E661D3">
        <w:rPr>
          <w:rFonts w:cs="Arial"/>
          <w:sz w:val="21"/>
          <w:szCs w:val="21"/>
        </w:rPr>
        <w:t>“The Decision Summary repeatedly referred to evidence that was not required by the specification and in some cases relates to specialist modules irrelevant to the described services. For instance, BORN Barrett’s and HIGAN modules relate to advanced cancer pathways, not general insourcing endoscopy. GIRFT and advanced pathway redesign references, while helpful, are not mandatory within the scoring rubric</w:t>
      </w:r>
      <w:r w:rsidR="00D23D8C">
        <w:rPr>
          <w:rFonts w:cs="Arial"/>
          <w:sz w:val="21"/>
          <w:szCs w:val="21"/>
        </w:rPr>
        <w:t xml:space="preserve"> …</w:t>
      </w:r>
    </w:p>
    <w:p w14:paraId="1B21A204" w14:textId="70F52060" w:rsidR="00E661D3" w:rsidRPr="00E661D3" w:rsidRDefault="00E661D3" w:rsidP="00A948AC">
      <w:pPr>
        <w:spacing w:line="259" w:lineRule="auto"/>
        <w:ind w:left="851"/>
        <w:rPr>
          <w:rFonts w:cs="Arial"/>
          <w:sz w:val="21"/>
          <w:szCs w:val="21"/>
        </w:rPr>
      </w:pPr>
      <w:r w:rsidRPr="00E661D3">
        <w:rPr>
          <w:rFonts w:cs="Arial"/>
          <w:sz w:val="21"/>
          <w:szCs w:val="21"/>
        </w:rPr>
        <w:lastRenderedPageBreak/>
        <w:t>“Endocare’s bid appears to have been marked down for not providing evidence outside the scope of the ITT. The ITT rubric required equal weighting of sub</w:t>
      </w:r>
      <w:r w:rsidRPr="00E661D3">
        <w:rPr>
          <w:rFonts w:ascii="Cambria Math" w:hAnsi="Cambria Math" w:cs="Cambria Math"/>
          <w:sz w:val="21"/>
          <w:szCs w:val="21"/>
        </w:rPr>
        <w:t>‑</w:t>
      </w:r>
      <w:r w:rsidRPr="00E661D3">
        <w:rPr>
          <w:rFonts w:cs="Arial"/>
          <w:sz w:val="21"/>
          <w:szCs w:val="21"/>
        </w:rPr>
        <w:t>criteria and allowed ‘Excellent’ scoring where responses exceeded requirements. Endocare’s submission clearly exceeded multiple requirements, with structured governance, quantified data and detailed processes. The Decision Summary substituted irrelevant criteria (BORN/HIGAN) and overlooked core evidence.”</w:t>
      </w:r>
      <w:r>
        <w:rPr>
          <w:rStyle w:val="FootnoteReference"/>
          <w:rFonts w:cs="Arial"/>
          <w:sz w:val="21"/>
          <w:szCs w:val="21"/>
        </w:rPr>
        <w:footnoteReference w:id="33"/>
      </w:r>
    </w:p>
    <w:p w14:paraId="0CC4EC00" w14:textId="1D9E62BC" w:rsidR="002177E0" w:rsidRPr="00184991" w:rsidRDefault="003517D9" w:rsidP="003517D9">
      <w:pPr>
        <w:pStyle w:val="ListParagraph"/>
        <w:rPr>
          <w:rFonts w:cs="Arial"/>
        </w:rPr>
      </w:pPr>
      <w:r>
        <w:t>The Panel</w:t>
      </w:r>
      <w:r w:rsidR="00D06D00">
        <w:t xml:space="preserve">, having reviewed </w:t>
      </w:r>
      <w:r w:rsidR="00184991">
        <w:t>NCA’s evaluator comments, moderation notes and moderated feedback to Endocare</w:t>
      </w:r>
      <w:r w:rsidR="00184991" w:rsidRPr="00836132">
        <w:t>,</w:t>
      </w:r>
      <w:r>
        <w:t xml:space="preserve"> notes </w:t>
      </w:r>
      <w:r w:rsidR="001E7C4A" w:rsidRPr="00827154">
        <w:t xml:space="preserve">that completion of </w:t>
      </w:r>
      <w:r w:rsidR="001E7C4A" w:rsidRPr="00184991">
        <w:rPr>
          <w:rFonts w:cs="Arial"/>
        </w:rPr>
        <w:t xml:space="preserve">BORN Barrett’s and HIGAN modules were cited by NCA in its feedback to Endocare as examples </w:t>
      </w:r>
      <w:r w:rsidR="00D4654C" w:rsidRPr="00184991">
        <w:rPr>
          <w:rFonts w:cs="Arial"/>
        </w:rPr>
        <w:t>“which could have been included in order to exceed expectations”</w:t>
      </w:r>
      <w:r w:rsidR="002177E0" w:rsidRPr="00184991">
        <w:rPr>
          <w:rFonts w:cs="Arial"/>
        </w:rPr>
        <w:t>, and further notes that p</w:t>
      </w:r>
      <w:r w:rsidR="001E7C4A" w:rsidRPr="00184991">
        <w:rPr>
          <w:rFonts w:cs="Arial"/>
        </w:rPr>
        <w:t>roviding example</w:t>
      </w:r>
      <w:r w:rsidR="002177E0" w:rsidRPr="00184991">
        <w:rPr>
          <w:rFonts w:cs="Arial"/>
        </w:rPr>
        <w:t>s</w:t>
      </w:r>
      <w:r w:rsidR="001E7C4A" w:rsidRPr="00184991">
        <w:rPr>
          <w:rFonts w:cs="Arial"/>
        </w:rPr>
        <w:t xml:space="preserve"> of information that could justify a higher score does not amount to the application of an undisclosed criterion.</w:t>
      </w:r>
    </w:p>
    <w:p w14:paraId="462BF2B1" w14:textId="5831CB6D" w:rsidR="00785B48" w:rsidRPr="00ED2BA5" w:rsidRDefault="002600A0" w:rsidP="00643C51">
      <w:pPr>
        <w:pStyle w:val="ListParagraph"/>
      </w:pPr>
      <w:r>
        <w:rPr>
          <w:rFonts w:cs="Arial"/>
        </w:rPr>
        <w:t>The Panel’s view is that the evidence does not support a conclusion that NCA relied on undisclosed criteria when evaluating and scoring Endocare’s p</w:t>
      </w:r>
      <w:r w:rsidR="000B6E5A">
        <w:rPr>
          <w:rFonts w:cs="Arial"/>
        </w:rPr>
        <w:t>roposal.</w:t>
      </w:r>
      <w:r w:rsidR="00544221">
        <w:rPr>
          <w:rStyle w:val="FootnoteReference"/>
          <w:rFonts w:cs="Arial"/>
        </w:rPr>
        <w:footnoteReference w:id="34"/>
      </w:r>
      <w:r w:rsidR="005B5333">
        <w:rPr>
          <w:rFonts w:cs="Arial"/>
        </w:rPr>
        <w:t xml:space="preserve"> </w:t>
      </w:r>
      <w:r w:rsidR="00643C51" w:rsidRPr="00643C51">
        <w:rPr>
          <w:rFonts w:cs="Arial"/>
        </w:rPr>
        <w:t>As a result, t</w:t>
      </w:r>
      <w:r w:rsidR="005B5333" w:rsidRPr="00643C51">
        <w:rPr>
          <w:rFonts w:cs="Arial"/>
        </w:rPr>
        <w:t>he Panel finds that NCA, in evaluating and scoring Endocare’s proposal</w:t>
      </w:r>
      <w:r w:rsidR="003D439F" w:rsidRPr="00643C51">
        <w:rPr>
          <w:rFonts w:cs="Arial"/>
        </w:rPr>
        <w:t>,</w:t>
      </w:r>
      <w:r w:rsidR="005B5333" w:rsidRPr="00643C51">
        <w:rPr>
          <w:rFonts w:cs="Arial"/>
        </w:rPr>
        <w:t xml:space="preserve"> did not breach the PSR regulations as a result of relying on undisclosed criteria</w:t>
      </w:r>
      <w:r w:rsidR="00ED2BA5">
        <w:t>,</w:t>
      </w:r>
      <w:r w:rsidR="00ED2BA5" w:rsidRPr="00ED2BA5">
        <w:t xml:space="preserve"> </w:t>
      </w:r>
      <w:r w:rsidR="00ED2BA5" w:rsidRPr="00643C51">
        <w:rPr>
          <w:rFonts w:cs="Arial"/>
        </w:rPr>
        <w:t>and in particular Regulation 4 which obliges commissioners to act transparently and fairly and Regulation 11(5) which requires commissioner</w:t>
      </w:r>
      <w:r w:rsidR="00596AC8">
        <w:rPr>
          <w:rFonts w:cs="Arial"/>
        </w:rPr>
        <w:t>s</w:t>
      </w:r>
      <w:r w:rsidR="00ED2BA5" w:rsidRPr="00643C51">
        <w:rPr>
          <w:rFonts w:cs="Arial"/>
        </w:rPr>
        <w:t xml:space="preserve"> to assess any offers received in accordance with the contract award criteria.</w:t>
      </w:r>
    </w:p>
    <w:p w14:paraId="4C7FC4DB" w14:textId="2B051F1C" w:rsidR="002311A2" w:rsidRPr="00CC3F7C" w:rsidRDefault="00540EB0" w:rsidP="00E20EF5">
      <w:pPr>
        <w:pStyle w:val="Heading2"/>
      </w:pPr>
      <w:bookmarkStart w:id="19" w:name="_Toc230780612"/>
      <w:r w:rsidRPr="00CC3F7C">
        <w:t xml:space="preserve">NCA’s </w:t>
      </w:r>
      <w:r w:rsidR="005D7B66">
        <w:t>evaluation and scoring of</w:t>
      </w:r>
      <w:r w:rsidR="00E113AD" w:rsidRPr="00CC3F7C">
        <w:t xml:space="preserve"> bidd</w:t>
      </w:r>
      <w:r w:rsidR="00CC3F7C" w:rsidRPr="00CC3F7C">
        <w:t>ers’ commercial offers</w:t>
      </w:r>
      <w:bookmarkEnd w:id="19"/>
    </w:p>
    <w:p w14:paraId="76260A95" w14:textId="4567B187" w:rsidR="009123F1" w:rsidRDefault="005D6A07" w:rsidP="00BA5A91">
      <w:pPr>
        <w:pStyle w:val="ListParagraph"/>
        <w:contextualSpacing/>
      </w:pPr>
      <w:r>
        <w:t xml:space="preserve">This section sets out the Panel’s assessment of </w:t>
      </w:r>
      <w:r w:rsidR="008B4DBA">
        <w:t xml:space="preserve">whether NCA </w:t>
      </w:r>
      <w:r w:rsidR="00F45964">
        <w:t>breached the PSR regulations when</w:t>
      </w:r>
      <w:r w:rsidR="00F55F7F">
        <w:t xml:space="preserve"> </w:t>
      </w:r>
      <w:r w:rsidR="005D7B66">
        <w:t>evaluating and scoring</w:t>
      </w:r>
      <w:r w:rsidR="0014103D">
        <w:t xml:space="preserve"> bidders’ commercial offers</w:t>
      </w:r>
      <w:r w:rsidR="008F0A0E">
        <w:t>.</w:t>
      </w:r>
    </w:p>
    <w:p w14:paraId="4A0D1676" w14:textId="13F37B38" w:rsidR="00982975" w:rsidRDefault="00982975" w:rsidP="00BA5A91">
      <w:pPr>
        <w:pStyle w:val="ListParagraph"/>
        <w:numPr>
          <w:ilvl w:val="0"/>
          <w:numId w:val="27"/>
        </w:numPr>
        <w:contextualSpacing/>
      </w:pPr>
      <w:r>
        <w:t xml:space="preserve">Section 7.2.1 sets out </w:t>
      </w:r>
      <w:r w:rsidR="00ED3C98">
        <w:t>relevant background to the submission and evaluation of bidders’ commercial offers</w:t>
      </w:r>
      <w:r w:rsidR="00933AA8">
        <w:t>;</w:t>
      </w:r>
    </w:p>
    <w:p w14:paraId="53F4C5F9" w14:textId="0391B615" w:rsidR="00933AA8" w:rsidRDefault="00ED3C98" w:rsidP="00933AA8">
      <w:pPr>
        <w:pStyle w:val="ListParagraph"/>
        <w:numPr>
          <w:ilvl w:val="0"/>
          <w:numId w:val="25"/>
        </w:numPr>
        <w:ind w:left="1418"/>
        <w:contextualSpacing/>
      </w:pPr>
      <w:r>
        <w:t>Section 7.2.2</w:t>
      </w:r>
      <w:r w:rsidR="00933AA8">
        <w:t xml:space="preserve"> discusses NCA’s evaluation and scoring of bidders’ commercial offers; and</w:t>
      </w:r>
    </w:p>
    <w:p w14:paraId="28BF2BD8" w14:textId="3A4B3CC3" w:rsidR="00ED3C98" w:rsidRDefault="00BA5A91" w:rsidP="00933AA8">
      <w:pPr>
        <w:pStyle w:val="ListParagraph"/>
        <w:numPr>
          <w:ilvl w:val="0"/>
          <w:numId w:val="27"/>
        </w:numPr>
      </w:pPr>
      <w:r>
        <w:t xml:space="preserve">Section 7.2.3 </w:t>
      </w:r>
      <w:r w:rsidR="00933AA8">
        <w:t>discusses NCA</w:t>
      </w:r>
      <w:r w:rsidR="00CF2BBA">
        <w:t>’s</w:t>
      </w:r>
      <w:r w:rsidR="00933AA8">
        <w:t xml:space="preserve"> clarification of bidders’ commercial offers.</w:t>
      </w:r>
    </w:p>
    <w:p w14:paraId="42273997" w14:textId="5EC47229" w:rsidR="00933AA8" w:rsidRPr="00933AA8" w:rsidRDefault="00933AA8" w:rsidP="00933AA8">
      <w:pPr>
        <w:keepNext/>
        <w:spacing w:before="240" w:after="120"/>
        <w:rPr>
          <w:b/>
          <w:bCs/>
        </w:rPr>
      </w:pPr>
      <w:r w:rsidRPr="00933AA8">
        <w:rPr>
          <w:b/>
          <w:bCs/>
        </w:rPr>
        <w:t>7.2.1 Background to the submission and evaluation of bidders’ commercial offers</w:t>
      </w:r>
    </w:p>
    <w:p w14:paraId="42B848CB" w14:textId="6DE8C081" w:rsidR="005A7DA3" w:rsidRPr="00F3672F" w:rsidRDefault="0071125C" w:rsidP="00A031E6">
      <w:pPr>
        <w:pStyle w:val="ListParagraph"/>
        <w:spacing w:after="120"/>
      </w:pPr>
      <w:r>
        <w:t>Bidders, i</w:t>
      </w:r>
      <w:r w:rsidR="00EB5691">
        <w:t>n submitting their commercial offer</w:t>
      </w:r>
      <w:r w:rsidR="00D303F1">
        <w:t>s</w:t>
      </w:r>
      <w:r>
        <w:t xml:space="preserve"> to NCA (i.e. their response to Q08 in the tender documentation)</w:t>
      </w:r>
      <w:r w:rsidR="00EB5691">
        <w:t>,</w:t>
      </w:r>
      <w:r w:rsidR="00982BD5" w:rsidRPr="00F3672F">
        <w:t xml:space="preserve"> were asked to submit two prices, </w:t>
      </w:r>
      <w:r w:rsidR="00982BD5">
        <w:t xml:space="preserve">each </w:t>
      </w:r>
      <w:r w:rsidR="00982BD5" w:rsidRPr="00F3672F">
        <w:t xml:space="preserve">expressed as </w:t>
      </w:r>
      <w:r w:rsidR="00982BD5">
        <w:t xml:space="preserve">a </w:t>
      </w:r>
      <w:r w:rsidR="00982BD5" w:rsidRPr="00F3672F">
        <w:t>discount to the NHS tariff</w:t>
      </w:r>
      <w:r w:rsidR="00982BD5">
        <w:t>, first,</w:t>
      </w:r>
      <w:r w:rsidR="00982BD5" w:rsidRPr="00F3672F">
        <w:t xml:space="preserve"> </w:t>
      </w:r>
      <w:r w:rsidR="00751C2C" w:rsidRPr="00F3672F">
        <w:t xml:space="preserve">for </w:t>
      </w:r>
      <w:r w:rsidR="00982BD5" w:rsidRPr="00F3672F">
        <w:t>outpatient</w:t>
      </w:r>
      <w:r w:rsidR="00982BD5">
        <w:t xml:space="preserve"> services,</w:t>
      </w:r>
      <w:r w:rsidR="00982BD5" w:rsidRPr="00F3672F">
        <w:t xml:space="preserve"> and </w:t>
      </w:r>
      <w:r w:rsidR="00982BD5">
        <w:t xml:space="preserve">second, </w:t>
      </w:r>
      <w:r w:rsidR="00751C2C">
        <w:t xml:space="preserve">for </w:t>
      </w:r>
      <w:r w:rsidR="00982BD5" w:rsidRPr="00F3672F">
        <w:t>diagnostic</w:t>
      </w:r>
      <w:r w:rsidR="00982BD5">
        <w:t xml:space="preserve"> services</w:t>
      </w:r>
      <w:r w:rsidR="00982BD5" w:rsidRPr="00F3672F">
        <w:t>.</w:t>
      </w:r>
      <w:r w:rsidR="003E21B6">
        <w:rPr>
          <w:rStyle w:val="FootnoteReference"/>
          <w:sz w:val="21"/>
          <w:szCs w:val="21"/>
        </w:rPr>
        <w:footnoteReference w:id="35"/>
      </w:r>
      <w:r w:rsidR="00982BD5">
        <w:t xml:space="preserve"> </w:t>
      </w:r>
      <w:r w:rsidR="004F6BD5">
        <w:t xml:space="preserve">The </w:t>
      </w:r>
      <w:r w:rsidR="003A222C">
        <w:t>commercial offer</w:t>
      </w:r>
      <w:r w:rsidR="00D92663">
        <w:t xml:space="preserve"> from bidders</w:t>
      </w:r>
      <w:r w:rsidR="00A1507A">
        <w:t xml:space="preserve"> w</w:t>
      </w:r>
      <w:r w:rsidR="00D92663">
        <w:t>as</w:t>
      </w:r>
      <w:r w:rsidR="00A1507A">
        <w:t xml:space="preserve"> </w:t>
      </w:r>
      <w:r w:rsidR="00891597">
        <w:t xml:space="preserve">weighted at 30% in the overall assessment, </w:t>
      </w:r>
      <w:r w:rsidR="0080593D">
        <w:t xml:space="preserve">with </w:t>
      </w:r>
      <w:r w:rsidR="00713DED">
        <w:t xml:space="preserve">equal weightings applied to </w:t>
      </w:r>
      <w:r w:rsidR="008A1A65">
        <w:t>bidders’</w:t>
      </w:r>
      <w:r w:rsidR="00713DED">
        <w:t xml:space="preserve"> </w:t>
      </w:r>
      <w:r w:rsidR="00751C2C">
        <w:t xml:space="preserve">proposed discounts for </w:t>
      </w:r>
      <w:r w:rsidR="003D5651">
        <w:t xml:space="preserve">outpatients and </w:t>
      </w:r>
      <w:r w:rsidR="005A7DA3" w:rsidRPr="00F3672F">
        <w:t>diagnostics</w:t>
      </w:r>
      <w:r w:rsidR="005019D7">
        <w:t xml:space="preserve"> services</w:t>
      </w:r>
      <w:r w:rsidR="00E75099">
        <w:t>.</w:t>
      </w:r>
      <w:r w:rsidR="005A7DA3">
        <w:rPr>
          <w:rStyle w:val="FootnoteReference"/>
        </w:rPr>
        <w:footnoteReference w:id="36"/>
      </w:r>
    </w:p>
    <w:p w14:paraId="77779C68" w14:textId="76EB3251" w:rsidR="001851D9" w:rsidRPr="00C8302D" w:rsidRDefault="001851D9" w:rsidP="001851D9">
      <w:pPr>
        <w:pStyle w:val="ListParagraph"/>
        <w:spacing w:after="120"/>
      </w:pPr>
      <w:bookmarkStart w:id="20" w:name="_Ref228274242"/>
      <w:r w:rsidRPr="00C8302D">
        <w:t>NCA’s methodology for scoring bidders’ commercial offers</w:t>
      </w:r>
      <w:r w:rsidR="001D6E89">
        <w:t>, as set out in the tender documentation,</w:t>
      </w:r>
      <w:r w:rsidRPr="00C8302D">
        <w:t xml:space="preserve"> was as follows:</w:t>
      </w:r>
    </w:p>
    <w:p w14:paraId="42B83B9D" w14:textId="77777777" w:rsidR="001851D9" w:rsidRPr="00C8302D" w:rsidRDefault="001851D9" w:rsidP="001851D9">
      <w:pPr>
        <w:spacing w:after="120" w:line="259" w:lineRule="auto"/>
        <w:ind w:left="851"/>
        <w:rPr>
          <w:sz w:val="21"/>
          <w:szCs w:val="21"/>
        </w:rPr>
      </w:pPr>
      <w:r w:rsidRPr="00C8302D">
        <w:rPr>
          <w:sz w:val="21"/>
          <w:szCs w:val="21"/>
        </w:rPr>
        <w:t>“Tender prices will be scored on a comparative basis, with the highest discount offered receiving 100% of the available marks available. All other Tenders will be compared against that highest discount tender using the below formula:</w:t>
      </w:r>
    </w:p>
    <w:p w14:paraId="30D3DD5D" w14:textId="77777777" w:rsidR="001851D9" w:rsidRPr="00C8302D" w:rsidRDefault="001851D9" w:rsidP="001851D9">
      <w:pPr>
        <w:spacing w:after="120" w:line="259" w:lineRule="auto"/>
        <w:ind w:left="851"/>
        <w:rPr>
          <w:sz w:val="21"/>
          <w:szCs w:val="21"/>
        </w:rPr>
      </w:pPr>
      <w:r w:rsidRPr="00C8302D">
        <w:rPr>
          <w:sz w:val="21"/>
          <w:szCs w:val="21"/>
        </w:rPr>
        <w:lastRenderedPageBreak/>
        <w:t>(A / B) x100</w:t>
      </w:r>
    </w:p>
    <w:p w14:paraId="4ADFFEC5" w14:textId="77777777" w:rsidR="001851D9" w:rsidRPr="00C8302D" w:rsidRDefault="001851D9" w:rsidP="001851D9">
      <w:pPr>
        <w:spacing w:line="259" w:lineRule="auto"/>
        <w:ind w:left="851"/>
        <w:contextualSpacing/>
        <w:rPr>
          <w:sz w:val="21"/>
          <w:szCs w:val="21"/>
        </w:rPr>
      </w:pPr>
      <w:r w:rsidRPr="00C8302D">
        <w:rPr>
          <w:sz w:val="21"/>
          <w:szCs w:val="21"/>
        </w:rPr>
        <w:t>A = Discount % of the tender being scored</w:t>
      </w:r>
    </w:p>
    <w:p w14:paraId="0E3D9812" w14:textId="77777777" w:rsidR="001851D9" w:rsidRPr="00C8302D" w:rsidRDefault="001851D9" w:rsidP="001851D9">
      <w:pPr>
        <w:spacing w:after="120" w:line="259" w:lineRule="auto"/>
        <w:ind w:left="851"/>
        <w:rPr>
          <w:sz w:val="21"/>
          <w:szCs w:val="21"/>
        </w:rPr>
      </w:pPr>
      <w:r w:rsidRPr="00C8302D">
        <w:rPr>
          <w:sz w:val="21"/>
          <w:szCs w:val="21"/>
        </w:rPr>
        <w:t>B = Highest discount % submitted at tender</w:t>
      </w:r>
    </w:p>
    <w:p w14:paraId="6BFFAF79" w14:textId="77777777" w:rsidR="001851D9" w:rsidRPr="00C8302D" w:rsidRDefault="001851D9" w:rsidP="001851D9">
      <w:pPr>
        <w:spacing w:line="259" w:lineRule="auto"/>
        <w:ind w:left="851"/>
        <w:rPr>
          <w:sz w:val="21"/>
          <w:szCs w:val="21"/>
        </w:rPr>
      </w:pPr>
      <w:r w:rsidRPr="00C8302D">
        <w:rPr>
          <w:sz w:val="21"/>
          <w:szCs w:val="21"/>
        </w:rPr>
        <w:t>The individual diagnostic and outpatient scores will then be combined to provide the final score</w:t>
      </w:r>
      <w:r>
        <w:rPr>
          <w:sz w:val="21"/>
          <w:szCs w:val="21"/>
        </w:rPr>
        <w:t>.</w:t>
      </w:r>
      <w:r w:rsidRPr="00C8302D">
        <w:rPr>
          <w:sz w:val="21"/>
          <w:szCs w:val="21"/>
        </w:rPr>
        <w:t>”</w:t>
      </w:r>
      <w:r>
        <w:rPr>
          <w:rStyle w:val="FootnoteReference"/>
          <w:sz w:val="21"/>
          <w:szCs w:val="21"/>
        </w:rPr>
        <w:footnoteReference w:id="37"/>
      </w:r>
    </w:p>
    <w:p w14:paraId="74142DA9" w14:textId="6A32C13F" w:rsidR="001D6E89" w:rsidRDefault="001D6E89" w:rsidP="006D6F4F">
      <w:pPr>
        <w:pStyle w:val="ListParagraph"/>
      </w:pPr>
      <w:r>
        <w:t xml:space="preserve">NCA sought confirmation or clarification in relation to bidders’ </w:t>
      </w:r>
      <w:r w:rsidR="00CA13EF">
        <w:t>commercial offers on three occasions during the evaluation process</w:t>
      </w:r>
      <w:r w:rsidR="008075F8">
        <w:t>.</w:t>
      </w:r>
    </w:p>
    <w:p w14:paraId="6646BCEC" w14:textId="0ABD5C22" w:rsidR="006D6F4F" w:rsidRPr="00B33B12" w:rsidRDefault="008075F8" w:rsidP="006D6F4F">
      <w:pPr>
        <w:pStyle w:val="ListParagraph"/>
      </w:pPr>
      <w:r>
        <w:t>First, o</w:t>
      </w:r>
      <w:r w:rsidR="006D6F4F" w:rsidRPr="00B33B12">
        <w:t xml:space="preserve">n 11 November 2025, NCA </w:t>
      </w:r>
      <w:r w:rsidR="006D6F4F">
        <w:t>ask</w:t>
      </w:r>
      <w:r>
        <w:t xml:space="preserve">ed </w:t>
      </w:r>
      <w:r w:rsidR="006D6F4F" w:rsidRPr="00B33B12">
        <w:t>bidders to “confirm that the percentage discounts offered in [their] submission [</w:t>
      </w:r>
      <w:r w:rsidR="006D6F4F">
        <w:t>were</w:t>
      </w:r>
      <w:r w:rsidR="006D6F4F" w:rsidRPr="00B33B12">
        <w:t>] the overall discounts from NHS Payment Scheme</w:t>
      </w:r>
      <w:r w:rsidR="006D6F4F" w:rsidRPr="00B33B12">
        <w:rPr>
          <w:rStyle w:val="FootnoteReference"/>
        </w:rPr>
        <w:footnoteReference w:id="38"/>
      </w:r>
      <w:r w:rsidR="006D6F4F" w:rsidRPr="00B33B12">
        <w:t xml:space="preserve"> (in layman terms, the discount % off of tariff) prices”. </w:t>
      </w:r>
      <w:r w:rsidR="006D6F4F">
        <w:t>In response, a</w:t>
      </w:r>
      <w:r w:rsidR="006D6F4F" w:rsidRPr="00B33B12">
        <w:t xml:space="preserve">ll </w:t>
      </w:r>
      <w:r w:rsidR="006D6F4F">
        <w:t xml:space="preserve">twelve </w:t>
      </w:r>
      <w:r w:rsidR="006D6F4F" w:rsidRPr="00B33B12">
        <w:t xml:space="preserve">bidders </w:t>
      </w:r>
      <w:r w:rsidR="006D6F4F">
        <w:t>provided this confirmation</w:t>
      </w:r>
      <w:r w:rsidR="006D6F4F" w:rsidRPr="00B33B12">
        <w:t>.</w:t>
      </w:r>
      <w:r w:rsidR="006D6F4F">
        <w:rPr>
          <w:rStyle w:val="FootnoteReference"/>
        </w:rPr>
        <w:footnoteReference w:id="39"/>
      </w:r>
    </w:p>
    <w:p w14:paraId="42CA92B6" w14:textId="18714E95" w:rsidR="006D6F4F" w:rsidRDefault="008075F8" w:rsidP="006D6F4F">
      <w:pPr>
        <w:pStyle w:val="ListParagraph"/>
      </w:pPr>
      <w:r>
        <w:t>Second, o</w:t>
      </w:r>
      <w:r w:rsidR="006D6F4F" w:rsidRPr="008806E7">
        <w:t xml:space="preserve">n 21 November 2025, NCA </w:t>
      </w:r>
      <w:r w:rsidR="006D6F4F">
        <w:t xml:space="preserve">sought further confirmation from </w:t>
      </w:r>
      <w:r w:rsidR="0011334D">
        <w:t xml:space="preserve">all twelve </w:t>
      </w:r>
      <w:r w:rsidR="006D6F4F">
        <w:t xml:space="preserve">bidders in relation to the discounts that were being offered, </w:t>
      </w:r>
      <w:r w:rsidR="00DF1956">
        <w:t>saying</w:t>
      </w:r>
      <w:r w:rsidR="006D6F4F">
        <w:t xml:space="preserve"> that large discounts </w:t>
      </w:r>
      <w:r w:rsidR="00DF1956">
        <w:t xml:space="preserve">had been </w:t>
      </w:r>
      <w:r w:rsidR="006D6F4F">
        <w:t>offered</w:t>
      </w:r>
      <w:r w:rsidR="00191574">
        <w:t>,</w:t>
      </w:r>
      <w:r w:rsidR="006D6F4F">
        <w:t xml:space="preserve"> caus</w:t>
      </w:r>
      <w:r w:rsidR="00191574">
        <w:t>ing</w:t>
      </w:r>
      <w:r w:rsidR="006D6F4F">
        <w:t xml:space="preserve"> </w:t>
      </w:r>
      <w:r w:rsidR="00DF1956">
        <w:t xml:space="preserve">it to </w:t>
      </w:r>
      <w:r w:rsidR="006D6F4F">
        <w:t>doubt whether its requirements had been interpreted correctly. Bidders were given the option of resubmitting their proposed discounts or confirming that they did not wish to make any changes.</w:t>
      </w:r>
    </w:p>
    <w:p w14:paraId="706B15F3" w14:textId="0DD6ED69" w:rsidR="006D6F4F" w:rsidRPr="006C4105" w:rsidRDefault="006D6F4F" w:rsidP="006D6F4F">
      <w:pPr>
        <w:pStyle w:val="ListParagraph"/>
      </w:pPr>
      <w:r>
        <w:t xml:space="preserve">In </w:t>
      </w:r>
      <w:r w:rsidRPr="00786B98">
        <w:t xml:space="preserve">response, Endocare reduced its proposed discount for outpatient services by </w:t>
      </w:r>
      <w:r w:rsidR="00884852" w:rsidRPr="00884852">
        <w:t>[</w:t>
      </w:r>
      <w:r w:rsidR="00D222D9" w:rsidRPr="009E03BD">
        <w:sym w:font="Wingdings" w:char="F022"/>
      </w:r>
      <w:r w:rsidR="00884852" w:rsidRPr="00884852">
        <w:t>]</w:t>
      </w:r>
      <w:r w:rsidR="00DD0D65">
        <w:rPr>
          <w:rStyle w:val="FootnoteReference"/>
        </w:rPr>
        <w:footnoteReference w:id="40"/>
      </w:r>
      <w:r w:rsidRPr="00786B98">
        <w:t xml:space="preserve"> percentage points and for diagnostics by </w:t>
      </w:r>
      <w:r w:rsidR="000B5E41">
        <w:t>[</w:t>
      </w:r>
      <w:r w:rsidR="000B5E41" w:rsidRPr="009E03BD">
        <w:sym w:font="Wingdings" w:char="F022"/>
      </w:r>
      <w:r w:rsidR="000B5E41">
        <w:t>]</w:t>
      </w:r>
      <w:r w:rsidRPr="00786B98">
        <w:t xml:space="preserve"> percentage points. Venture increased its proposed discounts for both diagnostics and outpatient services by </w:t>
      </w:r>
      <w:r w:rsidR="000B5E41">
        <w:t>[</w:t>
      </w:r>
      <w:r w:rsidR="000B5E41" w:rsidRPr="009E03BD">
        <w:sym w:font="Wingdings" w:char="F022"/>
      </w:r>
      <w:r w:rsidR="000B5E41">
        <w:t>]</w:t>
      </w:r>
      <w:r w:rsidRPr="00786B98">
        <w:t xml:space="preserve"> percentage points. Of the remaining ten bidders, </w:t>
      </w:r>
      <w:r w:rsidR="004A103D" w:rsidRPr="00786B98">
        <w:t xml:space="preserve">six </w:t>
      </w:r>
      <w:r w:rsidRPr="00786B98">
        <w:t>reduced their proposed discounts</w:t>
      </w:r>
      <w:r w:rsidR="004A103D">
        <w:t xml:space="preserve"> and</w:t>
      </w:r>
      <w:r w:rsidRPr="008806E7">
        <w:t xml:space="preserve"> four bidders did not change their </w:t>
      </w:r>
      <w:r w:rsidRPr="006C4105">
        <w:t>offer</w:t>
      </w:r>
      <w:r>
        <w:t>.</w:t>
      </w:r>
      <w:r w:rsidRPr="006C4105">
        <w:rPr>
          <w:rStyle w:val="FootnoteReference"/>
        </w:rPr>
        <w:footnoteReference w:id="41"/>
      </w:r>
    </w:p>
    <w:p w14:paraId="5735F034" w14:textId="6A9ADE0C" w:rsidR="006D6F4F" w:rsidRDefault="006D6F4F" w:rsidP="006D6F4F">
      <w:pPr>
        <w:pStyle w:val="ListParagraph"/>
      </w:pPr>
      <w:bookmarkStart w:id="21" w:name="_Ref228980020"/>
      <w:r w:rsidRPr="003F366C">
        <w:t>NCA told the Panel that</w:t>
      </w:r>
      <w:r>
        <w:t>,</w:t>
      </w:r>
      <w:r w:rsidRPr="003F366C">
        <w:t xml:space="preserve"> </w:t>
      </w:r>
      <w:r>
        <w:t>after receiving these responses,</w:t>
      </w:r>
      <w:r w:rsidRPr="003F366C">
        <w:t xml:space="preserve"> it carried out </w:t>
      </w:r>
      <w:r>
        <w:t>a</w:t>
      </w:r>
      <w:r w:rsidRPr="003F366C">
        <w:t xml:space="preserve"> </w:t>
      </w:r>
      <w:r w:rsidR="009B5F5C">
        <w:t>cost</w:t>
      </w:r>
      <w:r w:rsidR="009B5F5C" w:rsidRPr="003F366C">
        <w:t xml:space="preserve"> </w:t>
      </w:r>
      <w:r w:rsidRPr="003F366C">
        <w:t xml:space="preserve">modelling </w:t>
      </w:r>
      <w:r>
        <w:t xml:space="preserve">exercise </w:t>
      </w:r>
      <w:r w:rsidRPr="003F366C">
        <w:t>to “gauge any indication of unsustainable bids”.</w:t>
      </w:r>
      <w:r w:rsidRPr="003F366C">
        <w:rPr>
          <w:rStyle w:val="FootnoteReference"/>
        </w:rPr>
        <w:footnoteReference w:id="42"/>
      </w:r>
      <w:r w:rsidRPr="003F366C">
        <w:t xml:space="preserve"> </w:t>
      </w:r>
      <w:r>
        <w:t xml:space="preserve">In this </w:t>
      </w:r>
      <w:r w:rsidR="009B5F5C">
        <w:t xml:space="preserve">cost </w:t>
      </w:r>
      <w:r>
        <w:t>model</w:t>
      </w:r>
      <w:r w:rsidR="001612DF">
        <w:t>ling</w:t>
      </w:r>
      <w:r w:rsidR="00FE5A1E">
        <w:t xml:space="preserve"> exercise</w:t>
      </w:r>
      <w:r>
        <w:t>, NCA estimated the likely cost of service provision based on its own data</w:t>
      </w:r>
      <w:r w:rsidR="00FE5A1E">
        <w:t>,</w:t>
      </w:r>
      <w:r w:rsidR="006A5C7C">
        <w:rPr>
          <w:rStyle w:val="FootnoteReference"/>
        </w:rPr>
        <w:footnoteReference w:id="43"/>
      </w:r>
      <w:r>
        <w:t xml:space="preserve"> </w:t>
      </w:r>
      <w:r w:rsidR="00B04EF7">
        <w:t xml:space="preserve">“informed by </w:t>
      </w:r>
      <w:r w:rsidR="00E3016C">
        <w:t xml:space="preserve">a </w:t>
      </w:r>
      <w:r w:rsidR="00B04EF7">
        <w:t>number of assumptions drawn from the Trust’s knowledge and experience of this market”</w:t>
      </w:r>
      <w:r w:rsidR="00827879">
        <w:rPr>
          <w:rStyle w:val="FootnoteReference"/>
        </w:rPr>
        <w:footnoteReference w:id="44"/>
      </w:r>
      <w:r w:rsidR="00E3016C">
        <w:t xml:space="preserve">, </w:t>
      </w:r>
      <w:r>
        <w:t>and</w:t>
      </w:r>
      <w:r w:rsidR="006616BB">
        <w:t xml:space="preserve"> </w:t>
      </w:r>
      <w:r>
        <w:t xml:space="preserve">compared this to the proposed discounts offered by bidders. NCA told the Panel that this analysis indicated that seven bidders, including Endocare and Venture, were likely to incur a loss on the DDIS as their proposed prices would not </w:t>
      </w:r>
      <w:r w:rsidR="00103A8F">
        <w:t xml:space="preserve">generate </w:t>
      </w:r>
      <w:r>
        <w:t>revenue sufficient to cover the cost of service provision (as modelled by NCA).</w:t>
      </w:r>
      <w:bookmarkEnd w:id="21"/>
    </w:p>
    <w:p w14:paraId="4B4CEE81" w14:textId="6BEEAE03" w:rsidR="006D6F4F" w:rsidRPr="003F366C" w:rsidRDefault="00103A8F" w:rsidP="006D6F4F">
      <w:pPr>
        <w:pStyle w:val="ListParagraph"/>
      </w:pPr>
      <w:bookmarkStart w:id="22" w:name="_Ref228869051"/>
      <w:r>
        <w:t>Finally, o</w:t>
      </w:r>
      <w:r w:rsidR="006D6F4F" w:rsidRPr="003F366C">
        <w:t xml:space="preserve">n 2 December 2025, </w:t>
      </w:r>
      <w:r w:rsidR="000E2198">
        <w:t xml:space="preserve">the </w:t>
      </w:r>
      <w:r w:rsidR="000E2198" w:rsidRPr="003F366C">
        <w:t>seven bidders</w:t>
      </w:r>
      <w:r w:rsidR="000E2198">
        <w:t xml:space="preserve"> </w:t>
      </w:r>
      <w:r w:rsidR="005123C2">
        <w:t xml:space="preserve">that </w:t>
      </w:r>
      <w:r w:rsidR="5D0DAD34">
        <w:t xml:space="preserve">NCA </w:t>
      </w:r>
      <w:r w:rsidR="005123C2">
        <w:t>determined</w:t>
      </w:r>
      <w:r w:rsidR="5D0DAD34">
        <w:t xml:space="preserve"> to be at risk of </w:t>
      </w:r>
      <w:r w:rsidR="477A504C">
        <w:t>mak</w:t>
      </w:r>
      <w:r w:rsidR="7384A63F">
        <w:t>ing</w:t>
      </w:r>
      <w:r w:rsidR="477A504C">
        <w:t xml:space="preserve"> </w:t>
      </w:r>
      <w:r w:rsidR="00582ED3">
        <w:t xml:space="preserve">losses on the DDIS </w:t>
      </w:r>
      <w:r w:rsidR="005123C2">
        <w:t xml:space="preserve">contract </w:t>
      </w:r>
      <w:r w:rsidR="00582ED3">
        <w:t>(</w:t>
      </w:r>
      <w:r w:rsidR="1A2ED7C7">
        <w:t xml:space="preserve">based on its own data and </w:t>
      </w:r>
      <w:r w:rsidR="00A236B9">
        <w:t xml:space="preserve">baseline </w:t>
      </w:r>
      <w:r w:rsidR="00B553BB">
        <w:t>cost</w:t>
      </w:r>
      <w:r w:rsidR="00A236B9">
        <w:t xml:space="preserve"> </w:t>
      </w:r>
      <w:r w:rsidR="00B553BB">
        <w:t>assumptions</w:t>
      </w:r>
      <w:r w:rsidR="6AA82B51">
        <w:t xml:space="preserve">, </w:t>
      </w:r>
      <w:r w:rsidR="00A236B9">
        <w:t xml:space="preserve">see paragraph </w:t>
      </w:r>
      <w:r w:rsidR="007E2AE9">
        <w:t>6</w:t>
      </w:r>
      <w:r w:rsidR="0094172E">
        <w:t>8</w:t>
      </w:r>
      <w:r w:rsidR="00582ED3">
        <w:t xml:space="preserve">) </w:t>
      </w:r>
      <w:r w:rsidR="000E2198">
        <w:t>w</w:t>
      </w:r>
      <w:r w:rsidR="00582ED3">
        <w:t xml:space="preserve">ere asked </w:t>
      </w:r>
      <w:r w:rsidR="006D6F4F">
        <w:t xml:space="preserve">several </w:t>
      </w:r>
      <w:r w:rsidR="006D6F4F" w:rsidRPr="003F366C">
        <w:t>further clarification questions</w:t>
      </w:r>
      <w:r w:rsidR="006D6F4F">
        <w:t xml:space="preserve">. NCA told the Panel that these clarifications “enabled a financially sustainable contract </w:t>
      </w:r>
      <w:r w:rsidR="006D6F4F">
        <w:lastRenderedPageBreak/>
        <w:t>to be identified for award”</w:t>
      </w:r>
      <w:r w:rsidR="006D6F4F">
        <w:rPr>
          <w:rStyle w:val="FootnoteReference"/>
        </w:rPr>
        <w:footnoteReference w:id="45"/>
      </w:r>
      <w:r w:rsidR="006D6F4F">
        <w:t xml:space="preserve"> with the seven bidders all given </w:t>
      </w:r>
      <w:r w:rsidR="006D6F4F" w:rsidRPr="003F366C">
        <w:t xml:space="preserve">the option </w:t>
      </w:r>
      <w:r w:rsidR="006D6F4F">
        <w:t>of</w:t>
      </w:r>
      <w:r w:rsidR="006D6F4F" w:rsidRPr="003F366C">
        <w:t xml:space="preserve"> </w:t>
      </w:r>
      <w:r w:rsidR="006D6F4F">
        <w:t xml:space="preserve">confirming or reducing </w:t>
      </w:r>
      <w:r w:rsidR="006D6F4F" w:rsidRPr="003F366C">
        <w:t xml:space="preserve">their </w:t>
      </w:r>
      <w:r w:rsidR="006D6F4F">
        <w:t>proposed discounts</w:t>
      </w:r>
      <w:r w:rsidR="006D6F4F" w:rsidRPr="003F366C">
        <w:t xml:space="preserve">. </w:t>
      </w:r>
      <w:r w:rsidR="006D6F4F" w:rsidRPr="00410FCC">
        <w:t>Neither Endocare nor Venture chose to reduce their proposed discounts.</w:t>
      </w:r>
      <w:r w:rsidR="006D6F4F" w:rsidRPr="003F366C">
        <w:rPr>
          <w:rStyle w:val="FootnoteReference"/>
        </w:rPr>
        <w:footnoteReference w:id="46"/>
      </w:r>
      <w:bookmarkEnd w:id="22"/>
    </w:p>
    <w:bookmarkEnd w:id="20"/>
    <w:p w14:paraId="2FF59F55" w14:textId="246A3682" w:rsidR="007363DC" w:rsidRPr="00DF14BD" w:rsidRDefault="00DF14BD" w:rsidP="007363DC">
      <w:pPr>
        <w:keepNext/>
        <w:spacing w:before="240"/>
        <w:rPr>
          <w:b/>
          <w:bCs/>
        </w:rPr>
      </w:pPr>
      <w:r w:rsidRPr="00DF14BD">
        <w:rPr>
          <w:b/>
          <w:bCs/>
        </w:rPr>
        <w:t>7.2.</w:t>
      </w:r>
      <w:r w:rsidR="001851D9">
        <w:rPr>
          <w:b/>
          <w:bCs/>
        </w:rPr>
        <w:t>2</w:t>
      </w:r>
      <w:r w:rsidRPr="00DF14BD">
        <w:rPr>
          <w:b/>
          <w:bCs/>
        </w:rPr>
        <w:t xml:space="preserve"> </w:t>
      </w:r>
      <w:r w:rsidR="007363DC" w:rsidRPr="00DF14BD">
        <w:rPr>
          <w:b/>
          <w:bCs/>
        </w:rPr>
        <w:t xml:space="preserve">NCA’s scoring of </w:t>
      </w:r>
      <w:r w:rsidR="00692AD2">
        <w:rPr>
          <w:b/>
          <w:bCs/>
        </w:rPr>
        <w:t xml:space="preserve">bidders’ </w:t>
      </w:r>
      <w:r w:rsidR="007363DC" w:rsidRPr="00DF14BD">
        <w:rPr>
          <w:b/>
          <w:bCs/>
        </w:rPr>
        <w:t>commercial offers</w:t>
      </w:r>
    </w:p>
    <w:p w14:paraId="599D995F" w14:textId="3C98A159" w:rsidR="00187B12" w:rsidRPr="002C633A" w:rsidRDefault="00187B12" w:rsidP="00187B12">
      <w:pPr>
        <w:pStyle w:val="ListParagraph"/>
        <w:spacing w:after="120"/>
      </w:pPr>
      <w:r>
        <w:t>Endocare, i</w:t>
      </w:r>
      <w:r w:rsidRPr="002C633A">
        <w:t xml:space="preserve">n its representations to NCA, raised concerns that </w:t>
      </w:r>
      <w:r>
        <w:t xml:space="preserve">its response to </w:t>
      </w:r>
      <w:r w:rsidR="00581DF3">
        <w:t xml:space="preserve">the </w:t>
      </w:r>
      <w:r>
        <w:t xml:space="preserve">clarification questions </w:t>
      </w:r>
      <w:r w:rsidR="00581DF3">
        <w:t xml:space="preserve">concerning its commercial offer </w:t>
      </w:r>
      <w:r>
        <w:t>was not reflected in the score it was awarded</w:t>
      </w:r>
      <w:r w:rsidR="00581DF3">
        <w:t xml:space="preserve">. </w:t>
      </w:r>
      <w:r w:rsidR="00AC0FEF">
        <w:t>Endocare</w:t>
      </w:r>
      <w:r w:rsidR="00581DF3">
        <w:t xml:space="preserve"> also raised concerns </w:t>
      </w:r>
      <w:r>
        <w:t>that the clarification process conferred an unfair advantage on the successful bidder</w:t>
      </w:r>
      <w:r w:rsidRPr="002C633A">
        <w:t>.</w:t>
      </w:r>
      <w:r>
        <w:t xml:space="preserve"> </w:t>
      </w:r>
      <w:r w:rsidRPr="002C633A">
        <w:t xml:space="preserve">More specifically, Endocare </w:t>
      </w:r>
      <w:r>
        <w:t xml:space="preserve">told NCA </w:t>
      </w:r>
      <w:r w:rsidRPr="002C633A">
        <w:t>that:</w:t>
      </w:r>
    </w:p>
    <w:p w14:paraId="0E11C85A" w14:textId="77777777" w:rsidR="00187B12" w:rsidRPr="002C633A" w:rsidRDefault="00187B12" w:rsidP="00187B12">
      <w:pPr>
        <w:spacing w:after="120" w:line="259" w:lineRule="auto"/>
        <w:ind w:left="851"/>
        <w:rPr>
          <w:sz w:val="21"/>
          <w:szCs w:val="21"/>
        </w:rPr>
      </w:pPr>
      <w:r w:rsidRPr="002C633A">
        <w:rPr>
          <w:sz w:val="21"/>
          <w:szCs w:val="21"/>
        </w:rPr>
        <w:t xml:space="preserve">“NCA raised concerns about the financial sustainability of Endocare’s discounts, Endocare subsequently provided detailed clarifications, demonstrated accurate cost modelling based on incumbent experience, confirmed that quality and safety could be maintained and explained their efficiency mechanisms. NCA expressly confirmed in writing (Exhibit MG4) on 9 December 2025 that: </w:t>
      </w:r>
      <w:r>
        <w:rPr>
          <w:sz w:val="21"/>
          <w:szCs w:val="21"/>
        </w:rPr>
        <w:t>‘</w:t>
      </w:r>
      <w:r w:rsidRPr="002C633A">
        <w:rPr>
          <w:sz w:val="21"/>
          <w:szCs w:val="21"/>
        </w:rPr>
        <w:t>The Trust feels reassured by the details provided and has no further requests for information</w:t>
      </w:r>
      <w:r>
        <w:rPr>
          <w:sz w:val="21"/>
          <w:szCs w:val="21"/>
        </w:rPr>
        <w:t>’.</w:t>
      </w:r>
      <w:r w:rsidRPr="002C633A">
        <w:rPr>
          <w:sz w:val="21"/>
          <w:szCs w:val="21"/>
        </w:rPr>
        <w:t xml:space="preserve"> These assurances do not appear to have been reflected in the scoring despite directly addressing the criteria.</w:t>
      </w:r>
    </w:p>
    <w:p w14:paraId="5B3FDB51" w14:textId="77777777" w:rsidR="00187B12" w:rsidRPr="002C633A" w:rsidRDefault="00187B12" w:rsidP="00187B12">
      <w:pPr>
        <w:spacing w:line="259" w:lineRule="auto"/>
        <w:ind w:left="851"/>
        <w:rPr>
          <w:sz w:val="21"/>
          <w:szCs w:val="21"/>
          <w:highlight w:val="yellow"/>
        </w:rPr>
      </w:pPr>
      <w:r w:rsidRPr="002C633A">
        <w:rPr>
          <w:sz w:val="21"/>
          <w:szCs w:val="21"/>
        </w:rPr>
        <w:t>“Endocare has concerns that the request for them to adjust their discounts was done in order for the successful bidder to be given an opportunity to improve their discounts suggesting that a decision regarding the award of the Contract had already been made</w:t>
      </w:r>
      <w:r>
        <w:rPr>
          <w:sz w:val="21"/>
          <w:szCs w:val="21"/>
        </w:rPr>
        <w:t>.”</w:t>
      </w:r>
      <w:r>
        <w:rPr>
          <w:rStyle w:val="FootnoteReference"/>
          <w:sz w:val="21"/>
          <w:szCs w:val="21"/>
        </w:rPr>
        <w:footnoteReference w:id="47"/>
      </w:r>
    </w:p>
    <w:p w14:paraId="3BCD9C3A" w14:textId="77777777" w:rsidR="00187B12" w:rsidRPr="00154357" w:rsidRDefault="00187B12" w:rsidP="00187B12">
      <w:pPr>
        <w:pStyle w:val="ListParagraph"/>
        <w:spacing w:after="120"/>
      </w:pPr>
      <w:r w:rsidRPr="00154357">
        <w:t>NCA, in responding to Endocare’s concerns, said that:</w:t>
      </w:r>
    </w:p>
    <w:p w14:paraId="59EF22D4" w14:textId="77777777" w:rsidR="00187B12" w:rsidRPr="00145784" w:rsidRDefault="00187B12" w:rsidP="00187B12">
      <w:pPr>
        <w:spacing w:after="120" w:line="259" w:lineRule="auto"/>
        <w:ind w:left="851"/>
        <w:rPr>
          <w:sz w:val="21"/>
          <w:szCs w:val="21"/>
        </w:rPr>
      </w:pPr>
      <w:r w:rsidRPr="00154357">
        <w:rPr>
          <w:sz w:val="21"/>
          <w:szCs w:val="21"/>
        </w:rPr>
        <w:t>“The financial viability clarification issued on 2nd December 2025 was sent to all bidders who, following detailed cost modelling,</w:t>
      </w:r>
      <w:r>
        <w:rPr>
          <w:sz w:val="21"/>
          <w:szCs w:val="21"/>
        </w:rPr>
        <w:t xml:space="preserve"> </w:t>
      </w:r>
      <w:r w:rsidRPr="00154357">
        <w:rPr>
          <w:sz w:val="21"/>
          <w:szCs w:val="21"/>
        </w:rPr>
        <w:t>indicated</w:t>
      </w:r>
      <w:r>
        <w:rPr>
          <w:sz w:val="21"/>
          <w:szCs w:val="21"/>
        </w:rPr>
        <w:t xml:space="preserve"> </w:t>
      </w:r>
      <w:r w:rsidRPr="00154357">
        <w:rPr>
          <w:sz w:val="21"/>
          <w:szCs w:val="21"/>
        </w:rPr>
        <w:t xml:space="preserve">a potential lossmaking position. In line with PSR requirements, this clarification was necessary to obtain assurance of each bidder’s </w:t>
      </w:r>
      <w:r w:rsidRPr="00145784">
        <w:rPr>
          <w:sz w:val="21"/>
          <w:szCs w:val="21"/>
        </w:rPr>
        <w:t>financial sustainability. The same request was issued uniformly to seven bidders, including both Endocare and the successful provider.</w:t>
      </w:r>
    </w:p>
    <w:p w14:paraId="4617FCFA" w14:textId="77777777" w:rsidR="00187B12" w:rsidRPr="00145784" w:rsidRDefault="00187B12" w:rsidP="00187B12">
      <w:pPr>
        <w:spacing w:after="120" w:line="259" w:lineRule="auto"/>
        <w:ind w:left="851"/>
        <w:rPr>
          <w:sz w:val="21"/>
          <w:szCs w:val="21"/>
        </w:rPr>
      </w:pPr>
      <w:r w:rsidRPr="00145784">
        <w:rPr>
          <w:sz w:val="21"/>
          <w:szCs w:val="21"/>
        </w:rPr>
        <w:t>“The successful bidder did not amend their discount percentage in response to this clarification.</w:t>
      </w:r>
    </w:p>
    <w:p w14:paraId="2150D41F" w14:textId="77777777" w:rsidR="00187B12" w:rsidRPr="00154357" w:rsidRDefault="00187B12" w:rsidP="00187B12">
      <w:pPr>
        <w:spacing w:after="120" w:line="259" w:lineRule="auto"/>
        <w:ind w:left="851"/>
        <w:rPr>
          <w:b/>
          <w:bCs/>
          <w:sz w:val="21"/>
          <w:szCs w:val="21"/>
        </w:rPr>
      </w:pPr>
      <w:r>
        <w:rPr>
          <w:sz w:val="21"/>
          <w:szCs w:val="21"/>
        </w:rPr>
        <w:t>“</w:t>
      </w:r>
      <w:r w:rsidRPr="00154357">
        <w:rPr>
          <w:sz w:val="21"/>
          <w:szCs w:val="21"/>
        </w:rPr>
        <w:t>Endocare’s</w:t>
      </w:r>
      <w:r>
        <w:rPr>
          <w:sz w:val="21"/>
          <w:szCs w:val="21"/>
        </w:rPr>
        <w:t xml:space="preserve"> </w:t>
      </w:r>
      <w:r w:rsidRPr="00154357">
        <w:rPr>
          <w:sz w:val="21"/>
          <w:szCs w:val="21"/>
        </w:rPr>
        <w:t>score accurately reflects the discount percentage they</w:t>
      </w:r>
      <w:r>
        <w:rPr>
          <w:sz w:val="21"/>
          <w:szCs w:val="21"/>
        </w:rPr>
        <w:t xml:space="preserve"> </w:t>
      </w:r>
      <w:r w:rsidRPr="00154357">
        <w:rPr>
          <w:sz w:val="21"/>
          <w:szCs w:val="21"/>
        </w:rPr>
        <w:t>submitted, assessed strictly in accordance with</w:t>
      </w:r>
      <w:r>
        <w:rPr>
          <w:sz w:val="21"/>
          <w:szCs w:val="21"/>
        </w:rPr>
        <w:t xml:space="preserve"> </w:t>
      </w:r>
      <w:r w:rsidRPr="00154357">
        <w:rPr>
          <w:sz w:val="21"/>
          <w:szCs w:val="21"/>
        </w:rPr>
        <w:t>the commercial</w:t>
      </w:r>
      <w:r>
        <w:rPr>
          <w:sz w:val="21"/>
          <w:szCs w:val="21"/>
        </w:rPr>
        <w:t xml:space="preserve"> </w:t>
      </w:r>
      <w:r w:rsidRPr="00154357">
        <w:rPr>
          <w:sz w:val="21"/>
          <w:szCs w:val="21"/>
        </w:rPr>
        <w:t>methodology</w:t>
      </w:r>
      <w:r>
        <w:rPr>
          <w:sz w:val="21"/>
          <w:szCs w:val="21"/>
        </w:rPr>
        <w:t xml:space="preserve"> </w:t>
      </w:r>
      <w:r w:rsidRPr="00154357">
        <w:rPr>
          <w:sz w:val="21"/>
          <w:szCs w:val="21"/>
        </w:rPr>
        <w:t>set out in the ITT. This scoring is wholly independent</w:t>
      </w:r>
      <w:r>
        <w:rPr>
          <w:sz w:val="21"/>
          <w:szCs w:val="21"/>
        </w:rPr>
        <w:t xml:space="preserve"> </w:t>
      </w:r>
      <w:r w:rsidRPr="00154357">
        <w:rPr>
          <w:sz w:val="21"/>
          <w:szCs w:val="21"/>
        </w:rPr>
        <w:t>of any quality criteria, as commercial and quality evaluations were conducted entirely in isolation and have no bearing on one another.</w:t>
      </w:r>
    </w:p>
    <w:p w14:paraId="34E65FCF" w14:textId="77777777" w:rsidR="00187B12" w:rsidRDefault="00187B12" w:rsidP="00187B12">
      <w:pPr>
        <w:spacing w:line="259" w:lineRule="auto"/>
        <w:ind w:left="851"/>
        <w:rPr>
          <w:sz w:val="21"/>
          <w:szCs w:val="21"/>
        </w:rPr>
      </w:pPr>
      <w:r>
        <w:rPr>
          <w:sz w:val="21"/>
          <w:szCs w:val="21"/>
        </w:rPr>
        <w:t>“</w:t>
      </w:r>
      <w:r w:rsidRPr="00154357">
        <w:rPr>
          <w:sz w:val="21"/>
          <w:szCs w:val="21"/>
        </w:rPr>
        <w:t>The</w:t>
      </w:r>
      <w:r>
        <w:rPr>
          <w:sz w:val="21"/>
          <w:szCs w:val="21"/>
        </w:rPr>
        <w:t xml:space="preserve"> </w:t>
      </w:r>
      <w:r w:rsidRPr="00154357">
        <w:rPr>
          <w:sz w:val="21"/>
          <w:szCs w:val="21"/>
        </w:rPr>
        <w:t xml:space="preserve">[NCA </w:t>
      </w:r>
      <w:r>
        <w:rPr>
          <w:sz w:val="21"/>
          <w:szCs w:val="21"/>
        </w:rPr>
        <w:t xml:space="preserve">representations </w:t>
      </w:r>
      <w:r w:rsidRPr="00154357">
        <w:rPr>
          <w:sz w:val="21"/>
          <w:szCs w:val="21"/>
        </w:rPr>
        <w:t>review]</w:t>
      </w:r>
      <w:r>
        <w:rPr>
          <w:sz w:val="21"/>
          <w:szCs w:val="21"/>
        </w:rPr>
        <w:t xml:space="preserve"> </w:t>
      </w:r>
      <w:r w:rsidRPr="00154357">
        <w:rPr>
          <w:sz w:val="21"/>
          <w:szCs w:val="21"/>
        </w:rPr>
        <w:t>panel is satisfied that the financial viability request was made solely to seek assurance about the financial sustainability of suppliers to deliver this contract, as it is the Trust’s responsibility to do.”</w:t>
      </w:r>
      <w:r>
        <w:rPr>
          <w:rStyle w:val="FootnoteReference"/>
          <w:sz w:val="21"/>
          <w:szCs w:val="21"/>
        </w:rPr>
        <w:footnoteReference w:id="48"/>
      </w:r>
    </w:p>
    <w:p w14:paraId="712E82EB" w14:textId="1DF94A5D" w:rsidR="00264AAC" w:rsidRDefault="00264AAC" w:rsidP="007363DC">
      <w:pPr>
        <w:pStyle w:val="ListParagraph"/>
      </w:pPr>
      <w:r>
        <w:t>The Panel has considered both aspects of the concerns raised by Endocare</w:t>
      </w:r>
      <w:r w:rsidR="00B978C1">
        <w:t>, namely: (i) that its response to NCA’s clarification questions was not reflected in the score that it was awarded for its commercial offer</w:t>
      </w:r>
      <w:r w:rsidR="001F3B0C">
        <w:t xml:space="preserve"> (see paragraph</w:t>
      </w:r>
      <w:r w:rsidR="00E84CFC">
        <w:t xml:space="preserve"> </w:t>
      </w:r>
      <w:r w:rsidR="00CD7C20">
        <w:t>7</w:t>
      </w:r>
      <w:r w:rsidR="0094172E">
        <w:t>3</w:t>
      </w:r>
      <w:r w:rsidR="001F3B0C">
        <w:t>)</w:t>
      </w:r>
      <w:r w:rsidR="00B978C1">
        <w:t xml:space="preserve">; and (ii) that </w:t>
      </w:r>
      <w:r w:rsidR="001F3B0C">
        <w:t xml:space="preserve">NCA’s clarification questions conferred an unfair advantage on the successful bidder (see paragraphs </w:t>
      </w:r>
      <w:r w:rsidR="00CD7C20">
        <w:t>7</w:t>
      </w:r>
      <w:r w:rsidR="0094172E">
        <w:t>4</w:t>
      </w:r>
      <w:r w:rsidR="000E13BC">
        <w:t xml:space="preserve"> to </w:t>
      </w:r>
      <w:r w:rsidR="00CD7C20">
        <w:t>7</w:t>
      </w:r>
      <w:r w:rsidR="0094172E">
        <w:t>8</w:t>
      </w:r>
      <w:r w:rsidR="001F3B0C">
        <w:t>).</w:t>
      </w:r>
    </w:p>
    <w:p w14:paraId="24323AAA" w14:textId="23839726" w:rsidR="00DC1575" w:rsidRDefault="00B51BFC" w:rsidP="00FF23B3">
      <w:pPr>
        <w:pStyle w:val="ListParagraph"/>
      </w:pPr>
      <w:bookmarkStart w:id="23" w:name="_Ref228974414"/>
      <w:r>
        <w:lastRenderedPageBreak/>
        <w:t xml:space="preserve">Regarding Endocare’s concern that the assurances it provided to NCA regarding its commercial offer </w:t>
      </w:r>
      <w:r w:rsidR="00B071B4">
        <w:t>“</w:t>
      </w:r>
      <w:r w:rsidR="007363DC" w:rsidRPr="00E22E98">
        <w:t>do not appear to have been reflected in the scoring despite directly addressing the criteria”</w:t>
      </w:r>
      <w:r w:rsidR="00B071B4">
        <w:t xml:space="preserve">, the Panel notes that NCA’s scoring methodology for </w:t>
      </w:r>
      <w:r w:rsidR="003C014E">
        <w:t xml:space="preserve">commercial offers involved the application of </w:t>
      </w:r>
      <w:r w:rsidR="0085108E">
        <w:t>the formula set out at paragraph</w:t>
      </w:r>
      <w:r w:rsidR="00CD7C20">
        <w:t xml:space="preserve"> 6</w:t>
      </w:r>
      <w:r w:rsidR="002001C3">
        <w:t>3</w:t>
      </w:r>
      <w:r w:rsidR="0085108E">
        <w:t>.</w:t>
      </w:r>
      <w:r w:rsidR="00DC1575">
        <w:t xml:space="preserve"> </w:t>
      </w:r>
      <w:r w:rsidR="007363DC" w:rsidRPr="00AE1DBB">
        <w:t xml:space="preserve">The Panel’s view is that </w:t>
      </w:r>
      <w:r w:rsidR="003206F9" w:rsidRPr="00AE1DBB">
        <w:t>NCA</w:t>
      </w:r>
      <w:r w:rsidR="00814C8E" w:rsidRPr="00AE1DBB">
        <w:t xml:space="preserve"> correctly applied </w:t>
      </w:r>
      <w:r w:rsidR="004A3128">
        <w:t>this</w:t>
      </w:r>
      <w:r w:rsidR="00814C8E" w:rsidRPr="00AE1DBB">
        <w:t xml:space="preserve"> </w:t>
      </w:r>
      <w:r w:rsidR="004A3128">
        <w:t xml:space="preserve">formula for </w:t>
      </w:r>
      <w:r w:rsidR="003206F9" w:rsidRPr="00AE1DBB">
        <w:t xml:space="preserve">scoring </w:t>
      </w:r>
      <w:r w:rsidR="009D7158">
        <w:t xml:space="preserve">to all </w:t>
      </w:r>
      <w:r w:rsidR="00814C8E" w:rsidRPr="00AE1DBB">
        <w:t>bidders’</w:t>
      </w:r>
      <w:r w:rsidR="009811D7" w:rsidRPr="00AE1DBB">
        <w:t xml:space="preserve"> commercial offers</w:t>
      </w:r>
      <w:r w:rsidR="00FF23B3" w:rsidRPr="00AE1DBB">
        <w:t>.</w:t>
      </w:r>
      <w:bookmarkEnd w:id="23"/>
      <w:r w:rsidR="00EC37CA">
        <w:t xml:space="preserve"> As a result, the Panel finds that NCA, </w:t>
      </w:r>
      <w:r w:rsidR="002E5CE0">
        <w:t xml:space="preserve">in </w:t>
      </w:r>
      <w:r w:rsidR="00B25B6A">
        <w:t xml:space="preserve">scoring </w:t>
      </w:r>
      <w:r w:rsidR="0039694A">
        <w:t>bidders’</w:t>
      </w:r>
      <w:r w:rsidR="006A4776">
        <w:t xml:space="preserve"> commercial offer</w:t>
      </w:r>
      <w:r w:rsidR="0039694A">
        <w:t>s</w:t>
      </w:r>
      <w:r w:rsidR="006A4776">
        <w:t xml:space="preserve">, </w:t>
      </w:r>
      <w:r w:rsidR="0039694A">
        <w:t>did not breach the PSR regulations</w:t>
      </w:r>
      <w:r w:rsidR="00F5521D">
        <w:t xml:space="preserve">, </w:t>
      </w:r>
      <w:r w:rsidR="00043063">
        <w:t>and in particular</w:t>
      </w:r>
      <w:r w:rsidR="00F5521D">
        <w:t xml:space="preserve"> Regulation 11(</w:t>
      </w:r>
      <w:r w:rsidR="00043063">
        <w:t>5), which required NCA to assess “</w:t>
      </w:r>
      <w:r w:rsidR="00043063" w:rsidRPr="00043063">
        <w:t>offers received in accordance with the contract or framework award criteria</w:t>
      </w:r>
      <w:r w:rsidR="00043063">
        <w:t>”</w:t>
      </w:r>
      <w:r w:rsidR="0039694A">
        <w:t>.</w:t>
      </w:r>
    </w:p>
    <w:p w14:paraId="33ED901F" w14:textId="6EEC4FC0" w:rsidR="00DF14BD" w:rsidRPr="00DF14BD" w:rsidRDefault="007363DC" w:rsidP="00764BD4">
      <w:pPr>
        <w:keepNext/>
        <w:spacing w:before="240"/>
        <w:rPr>
          <w:b/>
          <w:bCs/>
        </w:rPr>
      </w:pPr>
      <w:r>
        <w:rPr>
          <w:b/>
          <w:bCs/>
        </w:rPr>
        <w:t>7.2.</w:t>
      </w:r>
      <w:r w:rsidR="006048C7">
        <w:rPr>
          <w:b/>
          <w:bCs/>
        </w:rPr>
        <w:t>3</w:t>
      </w:r>
      <w:r>
        <w:rPr>
          <w:b/>
          <w:bCs/>
        </w:rPr>
        <w:t xml:space="preserve"> </w:t>
      </w:r>
      <w:r w:rsidR="00760094" w:rsidRPr="00DF14BD">
        <w:rPr>
          <w:b/>
          <w:bCs/>
        </w:rPr>
        <w:t>NCA’s</w:t>
      </w:r>
      <w:r w:rsidR="00FB6366">
        <w:rPr>
          <w:b/>
          <w:bCs/>
        </w:rPr>
        <w:t xml:space="preserve"> clarif</w:t>
      </w:r>
      <w:r w:rsidR="00DE19F7">
        <w:rPr>
          <w:b/>
          <w:bCs/>
        </w:rPr>
        <w:t xml:space="preserve">ication </w:t>
      </w:r>
      <w:r w:rsidR="004C47B3">
        <w:rPr>
          <w:b/>
          <w:bCs/>
        </w:rPr>
        <w:t xml:space="preserve">and confirmation </w:t>
      </w:r>
      <w:r w:rsidR="00DE19F7">
        <w:rPr>
          <w:b/>
          <w:bCs/>
        </w:rPr>
        <w:t xml:space="preserve">of </w:t>
      </w:r>
      <w:r w:rsidR="00FB6366">
        <w:rPr>
          <w:b/>
          <w:bCs/>
        </w:rPr>
        <w:t>bidders’ commercial offers</w:t>
      </w:r>
    </w:p>
    <w:p w14:paraId="42274DA8" w14:textId="0A4B02CC" w:rsidR="003E2BF8" w:rsidRDefault="00A158AA" w:rsidP="003E2BF8">
      <w:pPr>
        <w:pStyle w:val="ListParagraph"/>
      </w:pPr>
      <w:bookmarkStart w:id="24" w:name="_Ref228875643"/>
      <w:bookmarkStart w:id="25" w:name="_Ref227318593"/>
      <w:r>
        <w:t xml:space="preserve">Endocare told the Panel that </w:t>
      </w:r>
      <w:r w:rsidRPr="002F6724">
        <w:t>it had concerns that NCA’s clarification</w:t>
      </w:r>
      <w:r w:rsidR="004C47B3">
        <w:t xml:space="preserve"> questions about bidders’ commercial offers</w:t>
      </w:r>
      <w:r w:rsidRPr="002F6724">
        <w:t xml:space="preserve"> were a means </w:t>
      </w:r>
      <w:r w:rsidR="0096574C">
        <w:t>of</w:t>
      </w:r>
      <w:r w:rsidRPr="002F6724">
        <w:t xml:space="preserve"> NCA “allowing other providers to improve their prices because Endocare was the most competitively priced”.</w:t>
      </w:r>
      <w:r>
        <w:t xml:space="preserve"> </w:t>
      </w:r>
      <w:r w:rsidR="003E2BF8">
        <w:t xml:space="preserve">Endocare </w:t>
      </w:r>
      <w:r>
        <w:t xml:space="preserve">also </w:t>
      </w:r>
      <w:r w:rsidR="003E2BF8">
        <w:t>told the Panel that “even though we did a proper financial analysis, we know the finances behind running that service … [NCA] were implying we would be making a loss … we [were] put under pressure really to reduce that discount”.</w:t>
      </w:r>
      <w:r w:rsidR="003E2BF8">
        <w:rPr>
          <w:rStyle w:val="FootnoteReference"/>
        </w:rPr>
        <w:footnoteReference w:id="49"/>
      </w:r>
      <w:bookmarkEnd w:id="24"/>
    </w:p>
    <w:p w14:paraId="5A7D70FD" w14:textId="75D8C55F" w:rsidR="00D8406E" w:rsidRDefault="00D8406E" w:rsidP="00D8406E">
      <w:pPr>
        <w:pStyle w:val="ListParagraph"/>
      </w:pPr>
      <w:r w:rsidRPr="00023B2F">
        <w:t>NCA told the Panel that</w:t>
      </w:r>
      <w:r>
        <w:t xml:space="preserve"> it</w:t>
      </w:r>
      <w:r w:rsidR="006B47A4">
        <w:t xml:space="preserve"> </w:t>
      </w:r>
      <w:r w:rsidR="0045309F">
        <w:t xml:space="preserve">sought </w:t>
      </w:r>
      <w:r>
        <w:t>clarification</w:t>
      </w:r>
      <w:r w:rsidR="00AF06B4">
        <w:t xml:space="preserve"> and </w:t>
      </w:r>
      <w:r w:rsidR="0045309F">
        <w:t xml:space="preserve">confirmation from bidders </w:t>
      </w:r>
      <w:r w:rsidR="00AF06B4">
        <w:t>regarding</w:t>
      </w:r>
      <w:r w:rsidR="00802C95" w:rsidRPr="008806E7">
        <w:t xml:space="preserve"> their commercial offer</w:t>
      </w:r>
      <w:r w:rsidR="00DE0F15">
        <w:t>s</w:t>
      </w:r>
      <w:r w:rsidR="003D5613">
        <w:t xml:space="preserve"> </w:t>
      </w:r>
      <w:bookmarkStart w:id="26" w:name="_Ref227327726"/>
      <w:bookmarkEnd w:id="25"/>
      <w:r>
        <w:t xml:space="preserve">because </w:t>
      </w:r>
      <w:r w:rsidRPr="00023B2F">
        <w:t>“there were some significant discount levels provided within the commercial bids</w:t>
      </w:r>
      <w:r>
        <w:t xml:space="preserve"> …</w:t>
      </w:r>
      <w:r w:rsidR="00DD07EE">
        <w:t xml:space="preserve"> </w:t>
      </w:r>
      <w:r w:rsidR="0096574C">
        <w:t>a</w:t>
      </w:r>
      <w:r w:rsidRPr="00023B2F">
        <w:t>nd the reason that we did that was to ensure that the commercial bids accurately reflected the trust requirements which were published, as well as being financially sustainable”.</w:t>
      </w:r>
      <w:r w:rsidRPr="00023B2F">
        <w:rPr>
          <w:rStyle w:val="FootnoteReference"/>
        </w:rPr>
        <w:footnoteReference w:id="50"/>
      </w:r>
    </w:p>
    <w:p w14:paraId="19646E0F" w14:textId="71E71AF7" w:rsidR="00D8406E" w:rsidRPr="00023B2F" w:rsidRDefault="00D8406E" w:rsidP="00D8406E">
      <w:pPr>
        <w:pStyle w:val="ListParagraph"/>
      </w:pPr>
      <w:r>
        <w:t xml:space="preserve">NCA </w:t>
      </w:r>
      <w:r w:rsidR="00E96859">
        <w:t>also told the Panel</w:t>
      </w:r>
      <w:r>
        <w:t xml:space="preserve"> that “all bidders were communicated with equally and treated fairly through this process” and that “any bidder who indicated a loss position as a result of [NCA’s] cost modelling” </w:t>
      </w:r>
      <w:r w:rsidR="006335D4">
        <w:t xml:space="preserve">was </w:t>
      </w:r>
      <w:r>
        <w:t>issued the final set of clarification questions on 2</w:t>
      </w:r>
      <w:r w:rsidR="00E96859">
        <w:t> </w:t>
      </w:r>
      <w:r>
        <w:t xml:space="preserve">December 2025. NCA </w:t>
      </w:r>
      <w:r w:rsidR="00E96859">
        <w:t>further</w:t>
      </w:r>
      <w:r>
        <w:t xml:space="preserve"> told the Panel that “w</w:t>
      </w:r>
      <w:r w:rsidRPr="00C55B19">
        <w:t xml:space="preserve">e strongly believe that undertaking these clarifications were proportionate due diligence to carry out, particularly when securing </w:t>
      </w:r>
      <w:r>
        <w:t>a</w:t>
      </w:r>
      <w:r w:rsidRPr="00C55B19">
        <w:t xml:space="preserve"> financially sustainable offer</w:t>
      </w:r>
      <w:r>
        <w:t>” and that these were “aligned to PSR”.</w:t>
      </w:r>
      <w:r>
        <w:rPr>
          <w:rStyle w:val="FootnoteReference"/>
        </w:rPr>
        <w:footnoteReference w:id="51"/>
      </w:r>
    </w:p>
    <w:bookmarkEnd w:id="26"/>
    <w:p w14:paraId="18275C3D" w14:textId="1BB8ACAB" w:rsidR="000772C4" w:rsidRDefault="00BA39AF" w:rsidP="00D37995">
      <w:pPr>
        <w:pStyle w:val="ListParagraph"/>
      </w:pPr>
      <w:r>
        <w:t>The Panel notes that, contrary to Endocare’s representations, its commercial offer was not the most competitively priced</w:t>
      </w:r>
      <w:r w:rsidR="00F62BE2">
        <w:t xml:space="preserve">, and </w:t>
      </w:r>
      <w:r w:rsidR="00465F9F">
        <w:t xml:space="preserve">the evidence </w:t>
      </w:r>
      <w:r w:rsidR="00D673D7">
        <w:t xml:space="preserve">does not support a conclusion </w:t>
      </w:r>
      <w:r w:rsidR="00991B30">
        <w:t>that NCA’s clarifications were intended to confer any advantage on any particular bidder</w:t>
      </w:r>
      <w:r w:rsidR="00BA659D">
        <w:t>.</w:t>
      </w:r>
    </w:p>
    <w:p w14:paraId="188188C4" w14:textId="7D79E0EA" w:rsidR="00CA775B" w:rsidRPr="00B85C67" w:rsidRDefault="00EC13A2" w:rsidP="00D37995">
      <w:pPr>
        <w:pStyle w:val="ListParagraph"/>
      </w:pPr>
      <w:bookmarkStart w:id="27" w:name="_Ref229036122"/>
      <w:r w:rsidRPr="00B85C67">
        <w:t xml:space="preserve">The Panel has, however, looked in further detail at </w:t>
      </w:r>
      <w:r w:rsidR="000C660C" w:rsidRPr="00B85C67">
        <w:t xml:space="preserve">another </w:t>
      </w:r>
      <w:r w:rsidRPr="00B85C67">
        <w:t xml:space="preserve">aspect of the clarification process used by </w:t>
      </w:r>
      <w:r w:rsidR="00360D63" w:rsidRPr="00B85C67" w:rsidDel="003E2BF8">
        <w:t>NCA</w:t>
      </w:r>
      <w:r w:rsidR="000772C4" w:rsidRPr="00B85C67">
        <w:t xml:space="preserve"> with respect</w:t>
      </w:r>
      <w:r w:rsidR="00AA6C3B" w:rsidRPr="00B85C67" w:rsidDel="003E2BF8">
        <w:t xml:space="preserve"> to </w:t>
      </w:r>
      <w:r w:rsidR="000772C4" w:rsidRPr="00B85C67">
        <w:t>bidders’ commercial offers</w:t>
      </w:r>
      <w:r w:rsidR="00BD1968" w:rsidRPr="00B85C67">
        <w:t>,</w:t>
      </w:r>
      <w:r w:rsidR="009E0E4E" w:rsidRPr="00B85C67">
        <w:t xml:space="preserve"> namely</w:t>
      </w:r>
      <w:r w:rsidR="00BD1968" w:rsidRPr="00B85C67">
        <w:t xml:space="preserve"> </w:t>
      </w:r>
      <w:r w:rsidR="00B82AA4" w:rsidRPr="00B85C67">
        <w:t>NCA</w:t>
      </w:r>
      <w:r w:rsidR="009E0E4E" w:rsidRPr="00B85C67">
        <w:t xml:space="preserve">’s </w:t>
      </w:r>
      <w:r w:rsidR="009B5F5C" w:rsidRPr="00B85C67">
        <w:t xml:space="preserve">cost </w:t>
      </w:r>
      <w:r w:rsidR="00FC16CA" w:rsidRPr="00B85C67">
        <w:t xml:space="preserve">modelling and analysis of the </w:t>
      </w:r>
      <w:r w:rsidR="00EF4BF7" w:rsidRPr="00B85C67">
        <w:t xml:space="preserve">financial </w:t>
      </w:r>
      <w:r w:rsidR="004D5274" w:rsidRPr="00B85C67">
        <w:t xml:space="preserve">sustainability of </w:t>
      </w:r>
      <w:r w:rsidR="00C54D5D" w:rsidRPr="00B85C67">
        <w:t>bidders’ commercial offers</w:t>
      </w:r>
      <w:bookmarkEnd w:id="27"/>
      <w:r w:rsidR="006F128C" w:rsidRPr="00B85C67">
        <w:t>.</w:t>
      </w:r>
    </w:p>
    <w:p w14:paraId="41D1D44C" w14:textId="618A6E0C" w:rsidR="00310785" w:rsidRDefault="00163D35" w:rsidP="00310785">
      <w:pPr>
        <w:pStyle w:val="ListParagraph"/>
      </w:pPr>
      <w:bookmarkStart w:id="28" w:name="_Ref228880613"/>
      <w:r>
        <w:t>T</w:t>
      </w:r>
      <w:r w:rsidR="00310785">
        <w:t xml:space="preserve">o test the sustainability and viability of bidders’ </w:t>
      </w:r>
      <w:r w:rsidR="00AD31BD">
        <w:t>commercial</w:t>
      </w:r>
      <w:r w:rsidR="00310785">
        <w:t xml:space="preserve"> offers, NCA </w:t>
      </w:r>
      <w:r w:rsidR="00310785" w:rsidRPr="00D16F1C">
        <w:t xml:space="preserve">modelled the cost of </w:t>
      </w:r>
      <w:r w:rsidR="00310785">
        <w:t>service</w:t>
      </w:r>
      <w:r w:rsidR="00530CE1">
        <w:t xml:space="preserve"> provision</w:t>
      </w:r>
      <w:r w:rsidR="00310785">
        <w:t xml:space="preserve"> </w:t>
      </w:r>
      <w:r w:rsidR="00971394">
        <w:t xml:space="preserve">based on its own </w:t>
      </w:r>
      <w:r w:rsidR="00CB5D82">
        <w:t xml:space="preserve">data and </w:t>
      </w:r>
      <w:r w:rsidR="003E73E7">
        <w:t>baseline cost assumptions</w:t>
      </w:r>
      <w:r w:rsidR="00310785">
        <w:t xml:space="preserve"> </w:t>
      </w:r>
      <w:r w:rsidR="00310785" w:rsidRPr="00D16F1C">
        <w:t xml:space="preserve">and compared this to the </w:t>
      </w:r>
      <w:r w:rsidR="00530CE1">
        <w:t xml:space="preserve">discounted </w:t>
      </w:r>
      <w:r w:rsidR="00310785" w:rsidRPr="00D16F1C">
        <w:t>price</w:t>
      </w:r>
      <w:r w:rsidR="00530CE1">
        <w:t>s</w:t>
      </w:r>
      <w:r w:rsidR="00310785">
        <w:t xml:space="preserve"> offered </w:t>
      </w:r>
      <w:r w:rsidR="00530CE1">
        <w:t>by</w:t>
      </w:r>
      <w:r w:rsidR="00310785">
        <w:t xml:space="preserve"> bidders</w:t>
      </w:r>
      <w:bookmarkEnd w:id="28"/>
      <w:r w:rsidR="001E3A69">
        <w:t xml:space="preserve"> (see paragraph </w:t>
      </w:r>
      <w:r w:rsidR="004753D5">
        <w:t>6</w:t>
      </w:r>
      <w:r w:rsidR="002001C3">
        <w:t>8</w:t>
      </w:r>
      <w:r w:rsidR="001E3A69">
        <w:t>)</w:t>
      </w:r>
      <w:r w:rsidR="00310785" w:rsidRPr="00D16F1C">
        <w:t>.</w:t>
      </w:r>
    </w:p>
    <w:p w14:paraId="7D444A38" w14:textId="76B7A4C8" w:rsidR="00635983" w:rsidRDefault="00635983" w:rsidP="00635983">
      <w:pPr>
        <w:pStyle w:val="ListParagraph"/>
      </w:pPr>
      <w:r>
        <w:t xml:space="preserve">NCA </w:t>
      </w:r>
      <w:r w:rsidR="007316DE">
        <w:t>told</w:t>
      </w:r>
      <w:r>
        <w:t xml:space="preserve"> Endocare that it had concerns that Endocare’s commercial offer was “financial</w:t>
      </w:r>
      <w:r w:rsidR="00D2387C">
        <w:t>ly</w:t>
      </w:r>
      <w:r>
        <w:t xml:space="preserve"> unviable and unsustainable”, saying that its modelling “indicated a </w:t>
      </w:r>
      <w:r>
        <w:lastRenderedPageBreak/>
        <w:t>significant loss on Outpatients and a loss on Diagnostics”.</w:t>
      </w:r>
      <w:r>
        <w:rPr>
          <w:rStyle w:val="FootnoteReference"/>
        </w:rPr>
        <w:footnoteReference w:id="52"/>
      </w:r>
      <w:r>
        <w:t xml:space="preserve"> NCA</w:t>
      </w:r>
      <w:r w:rsidR="00D2387C">
        <w:t xml:space="preserve"> communicated in similar terms </w:t>
      </w:r>
      <w:r>
        <w:t xml:space="preserve">to the other </w:t>
      </w:r>
      <w:r w:rsidR="00D2387C">
        <w:t xml:space="preserve">six </w:t>
      </w:r>
      <w:r>
        <w:t xml:space="preserve">bidders </w:t>
      </w:r>
      <w:r w:rsidR="00D2387C">
        <w:t xml:space="preserve">where NCA’s analysis indicated that </w:t>
      </w:r>
      <w:r w:rsidR="00C54473">
        <w:t xml:space="preserve">their commercial offer would result in a loss making service </w:t>
      </w:r>
      <w:r>
        <w:t>(see paragraph</w:t>
      </w:r>
      <w:r w:rsidR="00E407CD">
        <w:t xml:space="preserve"> </w:t>
      </w:r>
      <w:r w:rsidR="00F24BF4">
        <w:t>6</w:t>
      </w:r>
      <w:r w:rsidR="002001C3">
        <w:t>9</w:t>
      </w:r>
      <w:r>
        <w:t>).</w:t>
      </w:r>
      <w:r>
        <w:rPr>
          <w:rStyle w:val="FootnoteReference"/>
        </w:rPr>
        <w:footnoteReference w:id="53"/>
      </w:r>
    </w:p>
    <w:p w14:paraId="72859286" w14:textId="650D82B1" w:rsidR="002653C9" w:rsidRDefault="00635983" w:rsidP="005F1E3A">
      <w:pPr>
        <w:pStyle w:val="ListParagraph"/>
      </w:pPr>
      <w:r>
        <w:t xml:space="preserve">The Panel notes that NCA’s </w:t>
      </w:r>
      <w:r w:rsidR="009B5F5C">
        <w:t>cost</w:t>
      </w:r>
      <w:r>
        <w:t xml:space="preserve"> modelling, and the </w:t>
      </w:r>
      <w:r w:rsidR="00BF0DAD">
        <w:t xml:space="preserve">resulting </w:t>
      </w:r>
      <w:r>
        <w:t xml:space="preserve">conclusions </w:t>
      </w:r>
      <w:r w:rsidR="00BF0DAD">
        <w:t xml:space="preserve">about </w:t>
      </w:r>
      <w:r>
        <w:t xml:space="preserve">the sustainability of bidders’ offers, </w:t>
      </w:r>
      <w:r w:rsidR="00C164F0">
        <w:t>was</w:t>
      </w:r>
      <w:r>
        <w:t xml:space="preserve"> based on </w:t>
      </w:r>
      <w:r w:rsidR="00753E1A">
        <w:t xml:space="preserve">NCA’s </w:t>
      </w:r>
      <w:r>
        <w:t>assumptions</w:t>
      </w:r>
      <w:r w:rsidR="00950508" w:rsidRPr="00950508">
        <w:t xml:space="preserve"> </w:t>
      </w:r>
      <w:r w:rsidR="00950508">
        <w:t xml:space="preserve">about </w:t>
      </w:r>
      <w:r w:rsidR="0036209F">
        <w:t xml:space="preserve">a subset of </w:t>
      </w:r>
      <w:r w:rsidR="00950508">
        <w:t>costs bidders would incur in delivering the DDIS</w:t>
      </w:r>
      <w:r w:rsidR="00950221">
        <w:t>.</w:t>
      </w:r>
      <w:r w:rsidR="0002294C">
        <w:rPr>
          <w:rStyle w:val="FootnoteReference"/>
        </w:rPr>
        <w:footnoteReference w:id="54"/>
      </w:r>
      <w:r w:rsidR="00C164F0">
        <w:t xml:space="preserve"> </w:t>
      </w:r>
      <w:r w:rsidR="002653C9">
        <w:t xml:space="preserve">The Panel notes that, to the extent that commissioners are likely to have service viability concerns, it may be more helpful to request information </w:t>
      </w:r>
      <w:r w:rsidR="008D02B7">
        <w:t xml:space="preserve">about the cost of service delivery </w:t>
      </w:r>
      <w:r w:rsidR="00100EA8">
        <w:t>in</w:t>
      </w:r>
      <w:r w:rsidR="002653C9">
        <w:t xml:space="preserve"> bidders</w:t>
      </w:r>
      <w:r w:rsidR="00100EA8">
        <w:t>’ proposals</w:t>
      </w:r>
      <w:r w:rsidR="008C59F7">
        <w:t xml:space="preserve">. This will </w:t>
      </w:r>
      <w:r w:rsidR="00EA7F37">
        <w:t>allow commissioner</w:t>
      </w:r>
      <w:r w:rsidR="008C59F7">
        <w:t>s</w:t>
      </w:r>
      <w:r w:rsidR="00EA7F37">
        <w:t xml:space="preserve"> to form a view o</w:t>
      </w:r>
      <w:r w:rsidR="008C59F7">
        <w:t>n the viability of a provider’s proposal without the commissioner having to make its own assumptions about service delivery costs</w:t>
      </w:r>
      <w:r w:rsidR="004A14FA">
        <w:t>, and</w:t>
      </w:r>
      <w:r w:rsidR="00F94A55">
        <w:t xml:space="preserve"> </w:t>
      </w:r>
      <w:r w:rsidR="00F94A55" w:rsidRPr="00F94A55">
        <w:t>enabl</w:t>
      </w:r>
      <w:r w:rsidR="004A14FA">
        <w:t>e</w:t>
      </w:r>
      <w:r w:rsidR="00F94A55" w:rsidRPr="00F94A55">
        <w:t xml:space="preserve"> a functional assessment of costs across pay</w:t>
      </w:r>
      <w:r w:rsidR="004A14FA">
        <w:t xml:space="preserve"> and </w:t>
      </w:r>
      <w:r w:rsidR="00F94A55" w:rsidRPr="00F94A55">
        <w:t xml:space="preserve">non pay </w:t>
      </w:r>
      <w:r w:rsidR="004A14FA">
        <w:t>elements</w:t>
      </w:r>
      <w:r w:rsidR="00F94A55" w:rsidRPr="00F94A55">
        <w:t>, affording a more informed investigation of costs if required</w:t>
      </w:r>
      <w:r w:rsidR="008C59F7">
        <w:t>.</w:t>
      </w:r>
    </w:p>
    <w:p w14:paraId="13101831" w14:textId="071F02F8" w:rsidR="00A3775C" w:rsidRDefault="00874ED1" w:rsidP="00FA5F7A">
      <w:pPr>
        <w:pStyle w:val="ListParagraph"/>
      </w:pPr>
      <w:r>
        <w:t>T</w:t>
      </w:r>
      <w:r w:rsidR="00DE7E2A">
        <w:t>he Panel</w:t>
      </w:r>
      <w:r w:rsidR="00837C3D">
        <w:t xml:space="preserve">’s view </w:t>
      </w:r>
      <w:r w:rsidR="00D1418A">
        <w:t xml:space="preserve">is that NCA’s sense-checking of </w:t>
      </w:r>
      <w:r w:rsidR="00791048">
        <w:t xml:space="preserve">the viability of </w:t>
      </w:r>
      <w:r w:rsidR="00D1418A">
        <w:t>bidders’ commercial offers</w:t>
      </w:r>
      <w:r w:rsidR="00791048">
        <w:t xml:space="preserve"> </w:t>
      </w:r>
      <w:r w:rsidR="00CE1883">
        <w:t xml:space="preserve">in itself </w:t>
      </w:r>
      <w:r w:rsidR="00791048">
        <w:t>does not raise any issues in terms of compliance with the PSR regulations</w:t>
      </w:r>
      <w:r w:rsidR="00EB46F6">
        <w:t>.</w:t>
      </w:r>
      <w:r w:rsidR="0021597E">
        <w:t xml:space="preserve"> However, the Panel notes that there are risks </w:t>
      </w:r>
      <w:r w:rsidR="004E13DE">
        <w:t xml:space="preserve">to the conduct of the provider selection process arising from how a commissioner communicates the results of its own </w:t>
      </w:r>
      <w:r w:rsidR="009B5F5C">
        <w:t xml:space="preserve">cost </w:t>
      </w:r>
      <w:r w:rsidR="004E13DE">
        <w:t xml:space="preserve">modelling and </w:t>
      </w:r>
      <w:r w:rsidR="00B160E7">
        <w:t>the conclusions that are then drawn around the sustainability of bidders’ proposals.</w:t>
      </w:r>
    </w:p>
    <w:p w14:paraId="19C5F714" w14:textId="37737E76" w:rsidR="00C7671C" w:rsidRDefault="00B160E7" w:rsidP="00FA5F7A">
      <w:pPr>
        <w:pStyle w:val="ListParagraph"/>
      </w:pPr>
      <w:r>
        <w:t>T</w:t>
      </w:r>
      <w:r w:rsidR="0012583F">
        <w:t xml:space="preserve">he </w:t>
      </w:r>
      <w:r w:rsidR="00791048">
        <w:t xml:space="preserve">Panel </w:t>
      </w:r>
      <w:r w:rsidR="00DE7E2A">
        <w:t xml:space="preserve">has some concerns about the strength of the conclusions </w:t>
      </w:r>
      <w:r w:rsidR="002802F4">
        <w:t>drawn by NCA</w:t>
      </w:r>
      <w:r w:rsidR="00D67288">
        <w:t xml:space="preserve"> based on its </w:t>
      </w:r>
      <w:r w:rsidR="009B5F5C">
        <w:t xml:space="preserve">cost </w:t>
      </w:r>
      <w:r w:rsidR="00D67288">
        <w:t>modelling</w:t>
      </w:r>
      <w:r w:rsidR="00791048">
        <w:t xml:space="preserve">, </w:t>
      </w:r>
      <w:r w:rsidR="00B53396">
        <w:t xml:space="preserve">in light of </w:t>
      </w:r>
      <w:r w:rsidR="00791048">
        <w:t>the assumptions on which its analysis was based</w:t>
      </w:r>
      <w:r w:rsidR="002802F4">
        <w:t xml:space="preserve">, and how this informed </w:t>
      </w:r>
      <w:r w:rsidR="004615B1">
        <w:t>NCA’s</w:t>
      </w:r>
      <w:r w:rsidR="002802F4">
        <w:t xml:space="preserve"> communications with bidders.</w:t>
      </w:r>
      <w:r w:rsidR="006E4820">
        <w:t xml:space="preserve"> However, the Panel’s view is that no breach of the PSR regulations occurred given that</w:t>
      </w:r>
      <w:r w:rsidR="00A53397">
        <w:t xml:space="preserve"> </w:t>
      </w:r>
      <w:r w:rsidR="00A53397" w:rsidRPr="00A53397">
        <w:t>Endocare and Venture received the same message and had the same opportunity to amend their pricing</w:t>
      </w:r>
      <w:r w:rsidR="00D97A5E">
        <w:t>.</w:t>
      </w:r>
    </w:p>
    <w:p w14:paraId="21CB4469" w14:textId="38E60BE1" w:rsidR="00795D71" w:rsidRDefault="00795D71" w:rsidP="00FA5F7A">
      <w:pPr>
        <w:pStyle w:val="ListParagraph"/>
      </w:pPr>
      <w:r>
        <w:t xml:space="preserve">As a result, </w:t>
      </w:r>
      <w:r w:rsidRPr="00795D71">
        <w:t>the Panel finds that NCA, in seeking clarification and confirmation of bidders’ commercial offers, did not breach the PSR regulations and in particular Regulation 4 which obliges commissioners to act transparently and fairly and Regulation 11(5) which requires commissioner</w:t>
      </w:r>
      <w:r w:rsidR="00596AC8">
        <w:t xml:space="preserve">s </w:t>
      </w:r>
      <w:r w:rsidRPr="00795D71">
        <w:t>to assess any offers received in accordance with the contract award criteria.</w:t>
      </w:r>
    </w:p>
    <w:p w14:paraId="2ED9B809" w14:textId="77777777" w:rsidR="00240E6D" w:rsidRPr="00E136E1" w:rsidRDefault="00240E6D" w:rsidP="00E20EF5">
      <w:pPr>
        <w:pStyle w:val="Heading2"/>
      </w:pPr>
      <w:bookmarkStart w:id="29" w:name="_Toc228986928"/>
      <w:bookmarkStart w:id="30" w:name="_Toc228986929"/>
      <w:bookmarkStart w:id="31" w:name="_Toc228986930"/>
      <w:bookmarkStart w:id="32" w:name="_Toc230780613"/>
      <w:bookmarkEnd w:id="29"/>
      <w:bookmarkEnd w:id="30"/>
      <w:bookmarkEnd w:id="31"/>
      <w:r w:rsidRPr="00E136E1">
        <w:t>NCA’s review of Endocare’s representations</w:t>
      </w:r>
      <w:bookmarkEnd w:id="32"/>
    </w:p>
    <w:p w14:paraId="2B0D4E92" w14:textId="3933DD48" w:rsidR="00240E6D" w:rsidRDefault="001B42B3" w:rsidP="00A031E6">
      <w:pPr>
        <w:pStyle w:val="ListParagraph"/>
      </w:pPr>
      <w:r w:rsidRPr="00CD2C7F">
        <w:t xml:space="preserve">This section sets out the Panel’s assessment of whether </w:t>
      </w:r>
      <w:r w:rsidR="00AD03A4">
        <w:t xml:space="preserve">NCA breached the PSR regulations when </w:t>
      </w:r>
      <w:r w:rsidR="00B529AF">
        <w:t>review</w:t>
      </w:r>
      <w:r w:rsidR="00AD03A4">
        <w:t xml:space="preserve">ing </w:t>
      </w:r>
      <w:r w:rsidR="00A40D8D">
        <w:t>Endocare’s representations about the provider selection process</w:t>
      </w:r>
      <w:r w:rsidRPr="00CD2C7F">
        <w:t>.</w:t>
      </w:r>
      <w:r w:rsidR="00AC08D1">
        <w:t xml:space="preserve"> </w:t>
      </w:r>
      <w:r w:rsidR="002A59C6" w:rsidRPr="00CD2C7F">
        <w:t xml:space="preserve">Endocare </w:t>
      </w:r>
      <w:r w:rsidR="00E20450">
        <w:t xml:space="preserve">told the Panel </w:t>
      </w:r>
      <w:r w:rsidR="0089571C" w:rsidRPr="00CD2C7F">
        <w:t>that NCA had “failed to conduct a fair and transparent review of the representations” and had “acted in a manner giving rise to apparent predetermination</w:t>
      </w:r>
      <w:r w:rsidR="00460F87">
        <w:t>”</w:t>
      </w:r>
      <w:r w:rsidR="0089571C" w:rsidRPr="00CD2C7F">
        <w:t xml:space="preserve"> (see paragraph </w:t>
      </w:r>
      <w:r w:rsidR="007525D3">
        <w:t>33</w:t>
      </w:r>
      <w:r w:rsidR="00F15D6C" w:rsidRPr="00CD2C7F">
        <w:t>).</w:t>
      </w:r>
    </w:p>
    <w:p w14:paraId="66BE5046" w14:textId="337EB453" w:rsidR="007250F5" w:rsidRDefault="00007A95" w:rsidP="00007A95">
      <w:pPr>
        <w:keepNext/>
        <w:rPr>
          <w:b/>
          <w:bCs/>
        </w:rPr>
      </w:pPr>
      <w:r>
        <w:rPr>
          <w:b/>
          <w:bCs/>
        </w:rPr>
        <w:lastRenderedPageBreak/>
        <w:t xml:space="preserve">7.3.1 </w:t>
      </w:r>
      <w:r w:rsidR="00A54F23">
        <w:rPr>
          <w:b/>
          <w:bCs/>
        </w:rPr>
        <w:t>Background</w:t>
      </w:r>
      <w:r w:rsidR="00A031E6">
        <w:rPr>
          <w:b/>
          <w:bCs/>
        </w:rPr>
        <w:t xml:space="preserve"> to NCA’s review of Endocare’s representations</w:t>
      </w:r>
    </w:p>
    <w:p w14:paraId="26FB1BFE" w14:textId="0DF1681F" w:rsidR="00A031E6" w:rsidRDefault="004712A5" w:rsidP="00D37995">
      <w:pPr>
        <w:pStyle w:val="ListParagraph"/>
      </w:pPr>
      <w:r w:rsidRPr="00821BAC">
        <w:t>On 16 January 2026, NCA informed bidders of the outcome of the provider selection process and published an intention to award notice announcing Venture as the successful bidder</w:t>
      </w:r>
      <w:r w:rsidR="00D00848">
        <w:t xml:space="preserve"> (see paragraph</w:t>
      </w:r>
      <w:r w:rsidR="00310BF6">
        <w:t xml:space="preserve"> </w:t>
      </w:r>
      <w:r w:rsidR="007525D3">
        <w:t>30</w:t>
      </w:r>
      <w:r w:rsidR="00D00848">
        <w:t>).</w:t>
      </w:r>
    </w:p>
    <w:p w14:paraId="73C98890" w14:textId="4FAD638B" w:rsidR="00D00848" w:rsidRDefault="00350596" w:rsidP="00EF12BB">
      <w:pPr>
        <w:pStyle w:val="ListParagraph"/>
        <w:spacing w:after="120"/>
      </w:pPr>
      <w:bookmarkStart w:id="33" w:name="_Ref227936481"/>
      <w:r>
        <w:t xml:space="preserve">On 20 January 2026, </w:t>
      </w:r>
      <w:r w:rsidR="00BD1B27">
        <w:t xml:space="preserve">NCA’s </w:t>
      </w:r>
      <w:r w:rsidR="00090C19">
        <w:t xml:space="preserve">Clinical Director emailed </w:t>
      </w:r>
      <w:r w:rsidR="007C1BC7">
        <w:t xml:space="preserve">consultant gastroenterologists </w:t>
      </w:r>
      <w:r w:rsidR="008040F8">
        <w:t xml:space="preserve">at NCA </w:t>
      </w:r>
      <w:r w:rsidR="001002A1">
        <w:t xml:space="preserve">about weekend clinics </w:t>
      </w:r>
      <w:r w:rsidR="003F5904">
        <w:t xml:space="preserve">and also said </w:t>
      </w:r>
      <w:r w:rsidR="008040F8">
        <w:t>that:</w:t>
      </w:r>
      <w:bookmarkEnd w:id="33"/>
    </w:p>
    <w:p w14:paraId="28C322AF" w14:textId="69C79C8A" w:rsidR="009F5349" w:rsidRPr="00D37995" w:rsidRDefault="002D3337" w:rsidP="00120235">
      <w:pPr>
        <w:spacing w:after="120" w:line="259" w:lineRule="auto"/>
        <w:ind w:left="851"/>
      </w:pPr>
      <w:r w:rsidRPr="0027402E">
        <w:rPr>
          <w:sz w:val="21"/>
          <w:szCs w:val="21"/>
        </w:rPr>
        <w:t>“</w:t>
      </w:r>
      <w:r w:rsidR="00D4165D">
        <w:rPr>
          <w:sz w:val="21"/>
          <w:szCs w:val="21"/>
        </w:rPr>
        <w:t>…</w:t>
      </w:r>
      <w:r w:rsidR="00096751">
        <w:rPr>
          <w:sz w:val="21"/>
          <w:szCs w:val="21"/>
        </w:rPr>
        <w:t xml:space="preserve"> </w:t>
      </w:r>
      <w:r w:rsidR="009F5349" w:rsidRPr="0027402E">
        <w:rPr>
          <w:sz w:val="21"/>
          <w:szCs w:val="21"/>
        </w:rPr>
        <w:t xml:space="preserve">getting registered with Venture will be helpful as they will be </w:t>
      </w:r>
      <w:r w:rsidR="00710CD7" w:rsidRPr="0027402E">
        <w:rPr>
          <w:sz w:val="21"/>
          <w:szCs w:val="21"/>
        </w:rPr>
        <w:t>taking over general insourcing work from March 2026 onwards</w:t>
      </w:r>
      <w:r w:rsidR="003C057D" w:rsidRPr="0027402E">
        <w:rPr>
          <w:sz w:val="21"/>
          <w:szCs w:val="21"/>
        </w:rPr>
        <w:t xml:space="preserve"> …</w:t>
      </w:r>
      <w:r w:rsidR="003C057D" w:rsidRPr="00D37995">
        <w:t>”</w:t>
      </w:r>
      <w:r w:rsidR="001233D3">
        <w:rPr>
          <w:rStyle w:val="FootnoteReference"/>
          <w:sz w:val="21"/>
          <w:szCs w:val="21"/>
        </w:rPr>
        <w:footnoteReference w:id="55"/>
      </w:r>
    </w:p>
    <w:p w14:paraId="664E41D6" w14:textId="58C96651" w:rsidR="007F71FC" w:rsidRDefault="007F71FC" w:rsidP="00D37995">
      <w:pPr>
        <w:pStyle w:val="ListParagraph"/>
      </w:pPr>
      <w:r>
        <w:t xml:space="preserve">On 26 January 2026, Endocare </w:t>
      </w:r>
      <w:r w:rsidR="00C46CB2">
        <w:t xml:space="preserve">submitted its representations to NCA about the provider selection process (see paragraph </w:t>
      </w:r>
      <w:r w:rsidR="007525D3">
        <w:t>31</w:t>
      </w:r>
      <w:r w:rsidR="009B4660">
        <w:t>).</w:t>
      </w:r>
    </w:p>
    <w:p w14:paraId="087245B8" w14:textId="31A3152E" w:rsidR="00055203" w:rsidRDefault="00512F26" w:rsidP="001441D5">
      <w:pPr>
        <w:pStyle w:val="ListParagraph"/>
        <w:spacing w:after="120"/>
      </w:pPr>
      <w:r>
        <w:t>NCA</w:t>
      </w:r>
      <w:r w:rsidR="00055203">
        <w:t xml:space="preserve"> </w:t>
      </w:r>
      <w:r w:rsidR="001441D5">
        <w:t>told</w:t>
      </w:r>
      <w:r w:rsidR="00406EA7">
        <w:t xml:space="preserve"> the Panel </w:t>
      </w:r>
      <w:r w:rsidR="001441D5">
        <w:t xml:space="preserve">about </w:t>
      </w:r>
      <w:r w:rsidR="00055203">
        <w:t xml:space="preserve">its </w:t>
      </w:r>
      <w:r w:rsidR="00461754">
        <w:t xml:space="preserve">process for reviewing Endocare’s </w:t>
      </w:r>
      <w:r w:rsidR="00055203">
        <w:t>representations</w:t>
      </w:r>
      <w:r w:rsidR="00C261E2">
        <w:t>, saying</w:t>
      </w:r>
      <w:r w:rsidR="00055203">
        <w:t>:</w:t>
      </w:r>
    </w:p>
    <w:p w14:paraId="1696BA20" w14:textId="1DD24734" w:rsidR="00055203" w:rsidRPr="00DA2DF2" w:rsidRDefault="00055203" w:rsidP="001441D5">
      <w:pPr>
        <w:spacing w:after="120" w:line="22" w:lineRule="atLeast"/>
        <w:ind w:left="851"/>
        <w:rPr>
          <w:rFonts w:cs="Arial"/>
          <w:sz w:val="21"/>
          <w:szCs w:val="21"/>
        </w:rPr>
      </w:pPr>
      <w:r w:rsidRPr="00DA2DF2">
        <w:rPr>
          <w:rFonts w:cs="Arial"/>
          <w:sz w:val="21"/>
          <w:szCs w:val="21"/>
        </w:rPr>
        <w:t>“Upon receipt of Endocare’s representation letter dated 26 January 2026, NCA convened its pre</w:t>
      </w:r>
      <w:r w:rsidRPr="00DA2DF2">
        <w:rPr>
          <w:rFonts w:ascii="Cambria Math" w:hAnsi="Cambria Math" w:cs="Cambria Math"/>
          <w:sz w:val="21"/>
          <w:szCs w:val="21"/>
        </w:rPr>
        <w:t>‑</w:t>
      </w:r>
      <w:r w:rsidRPr="00DA2DF2">
        <w:rPr>
          <w:rFonts w:cs="Arial"/>
          <w:sz w:val="21"/>
          <w:szCs w:val="21"/>
        </w:rPr>
        <w:t>established and pre</w:t>
      </w:r>
      <w:r w:rsidRPr="00DA2DF2">
        <w:rPr>
          <w:rFonts w:ascii="Cambria Math" w:hAnsi="Cambria Math" w:cs="Cambria Math"/>
          <w:sz w:val="21"/>
          <w:szCs w:val="21"/>
        </w:rPr>
        <w:t>‑</w:t>
      </w:r>
      <w:r w:rsidRPr="00DA2DF2">
        <w:rPr>
          <w:rFonts w:cs="Arial"/>
          <w:sz w:val="21"/>
          <w:szCs w:val="21"/>
        </w:rPr>
        <w:t>documented Independent Review Panel. The panel comprised two NCA staff members who had no involvement in the procurement process in any capacity.</w:t>
      </w:r>
    </w:p>
    <w:p w14:paraId="2F6F0C28" w14:textId="4D31DDA5" w:rsidR="00055203" w:rsidRPr="00DA2DF2" w:rsidRDefault="00DA2DF2" w:rsidP="001441D5">
      <w:pPr>
        <w:spacing w:after="120" w:line="22" w:lineRule="atLeast"/>
        <w:ind w:left="851"/>
        <w:contextualSpacing/>
        <w:rPr>
          <w:rFonts w:cs="Arial"/>
          <w:sz w:val="21"/>
          <w:szCs w:val="21"/>
        </w:rPr>
      </w:pPr>
      <w:r w:rsidRPr="00DA2DF2">
        <w:rPr>
          <w:rFonts w:cs="Arial"/>
          <w:sz w:val="21"/>
          <w:szCs w:val="21"/>
        </w:rPr>
        <w:t>“</w:t>
      </w:r>
      <w:r w:rsidR="00055203" w:rsidRPr="00DA2DF2">
        <w:rPr>
          <w:rFonts w:cs="Arial"/>
          <w:sz w:val="21"/>
          <w:szCs w:val="21"/>
        </w:rPr>
        <w:t>The panel members were:</w:t>
      </w:r>
    </w:p>
    <w:p w14:paraId="2739323D" w14:textId="01C6A3F5" w:rsidR="00BE4F15" w:rsidRPr="00DA2DF2" w:rsidRDefault="00BE4F15" w:rsidP="001441D5">
      <w:pPr>
        <w:spacing w:after="120" w:line="22" w:lineRule="atLeast"/>
        <w:ind w:left="851"/>
        <w:contextualSpacing/>
        <w:rPr>
          <w:rFonts w:cs="Arial"/>
          <w:sz w:val="21"/>
          <w:szCs w:val="21"/>
        </w:rPr>
      </w:pPr>
      <w:r w:rsidRPr="00DA2DF2">
        <w:rPr>
          <w:rFonts w:cs="Arial"/>
          <w:sz w:val="21"/>
          <w:szCs w:val="21"/>
        </w:rPr>
        <w:t xml:space="preserve">… </w:t>
      </w:r>
      <w:r w:rsidR="00055203" w:rsidRPr="00DA2DF2">
        <w:rPr>
          <w:rFonts w:cs="Arial"/>
          <w:sz w:val="21"/>
          <w:szCs w:val="21"/>
        </w:rPr>
        <w:t>Interim Head of Strategic Procurement</w:t>
      </w:r>
    </w:p>
    <w:p w14:paraId="7F7633B9" w14:textId="78E26B73" w:rsidR="00055203" w:rsidRPr="00DA2DF2" w:rsidRDefault="00BE4F15" w:rsidP="001441D5">
      <w:pPr>
        <w:spacing w:after="120" w:line="22" w:lineRule="atLeast"/>
        <w:ind w:left="851"/>
        <w:rPr>
          <w:rFonts w:cs="Arial"/>
          <w:sz w:val="21"/>
          <w:szCs w:val="21"/>
        </w:rPr>
      </w:pPr>
      <w:r w:rsidRPr="00DA2DF2">
        <w:rPr>
          <w:rFonts w:cs="Arial"/>
          <w:sz w:val="21"/>
          <w:szCs w:val="21"/>
        </w:rPr>
        <w:t>…</w:t>
      </w:r>
      <w:r w:rsidR="00055203" w:rsidRPr="00DA2DF2">
        <w:rPr>
          <w:rFonts w:cs="Arial"/>
          <w:sz w:val="21"/>
          <w:szCs w:val="21"/>
        </w:rPr>
        <w:t xml:space="preserve"> Procurement Manager</w:t>
      </w:r>
    </w:p>
    <w:p w14:paraId="670CA253" w14:textId="17AE3274" w:rsidR="00055203" w:rsidRPr="00DA2DF2" w:rsidRDefault="00DA2DF2" w:rsidP="001441D5">
      <w:pPr>
        <w:spacing w:after="120" w:line="22" w:lineRule="atLeast"/>
        <w:ind w:left="851"/>
        <w:rPr>
          <w:rFonts w:cs="Arial"/>
          <w:sz w:val="21"/>
          <w:szCs w:val="21"/>
        </w:rPr>
      </w:pPr>
      <w:r w:rsidRPr="00DA2DF2">
        <w:rPr>
          <w:rFonts w:cs="Arial"/>
          <w:sz w:val="21"/>
          <w:szCs w:val="21"/>
        </w:rPr>
        <w:t>“</w:t>
      </w:r>
      <w:r w:rsidR="00BE4F15" w:rsidRPr="00DA2DF2">
        <w:rPr>
          <w:rFonts w:cs="Arial"/>
          <w:sz w:val="21"/>
          <w:szCs w:val="21"/>
        </w:rPr>
        <w:t>B</w:t>
      </w:r>
      <w:r w:rsidR="00055203" w:rsidRPr="00DA2DF2">
        <w:rPr>
          <w:rFonts w:cs="Arial"/>
          <w:sz w:val="21"/>
          <w:szCs w:val="21"/>
        </w:rPr>
        <w:t>oth panel members had completed Conflict of Interest declarations prior to the receipt of representations, and both confirmed that they had no interests to declare.</w:t>
      </w:r>
    </w:p>
    <w:p w14:paraId="6ABC2989" w14:textId="6F99031D" w:rsidR="00055203" w:rsidRPr="00DA2DF2" w:rsidRDefault="00DA2DF2" w:rsidP="001441D5">
      <w:pPr>
        <w:spacing w:after="120" w:line="22" w:lineRule="atLeast"/>
        <w:ind w:left="851"/>
        <w:rPr>
          <w:rFonts w:cs="Arial"/>
          <w:sz w:val="21"/>
          <w:szCs w:val="21"/>
        </w:rPr>
      </w:pPr>
      <w:r w:rsidRPr="00DA2DF2">
        <w:rPr>
          <w:rFonts w:cs="Arial"/>
          <w:sz w:val="21"/>
          <w:szCs w:val="21"/>
        </w:rPr>
        <w:t>“</w:t>
      </w:r>
      <w:r w:rsidR="00055203" w:rsidRPr="00DA2DF2">
        <w:rPr>
          <w:rFonts w:cs="Arial"/>
          <w:sz w:val="21"/>
          <w:szCs w:val="21"/>
        </w:rPr>
        <w:t>Each panel member reviewed Endocare’s representations independently and in full.</w:t>
      </w:r>
      <w:r w:rsidR="00BE4F15" w:rsidRPr="00DA2DF2">
        <w:rPr>
          <w:rFonts w:cs="Arial"/>
          <w:sz w:val="21"/>
          <w:szCs w:val="21"/>
        </w:rPr>
        <w:t xml:space="preserve"> </w:t>
      </w:r>
      <w:r w:rsidR="00055203" w:rsidRPr="00DA2DF2">
        <w:rPr>
          <w:rFonts w:cs="Arial"/>
          <w:sz w:val="21"/>
          <w:szCs w:val="21"/>
        </w:rPr>
        <w:t>Following their individual reviews, the panel members compared findings and agreed a consolidated position, which formed the basis of the Trust’s response to the representations.</w:t>
      </w:r>
    </w:p>
    <w:p w14:paraId="4F924F60" w14:textId="5B69CD45" w:rsidR="00055203" w:rsidRPr="00AF33BC" w:rsidRDefault="00DA2DF2" w:rsidP="001441D5">
      <w:pPr>
        <w:spacing w:line="22" w:lineRule="atLeast"/>
        <w:ind w:left="851"/>
        <w:rPr>
          <w:rFonts w:cs="Arial"/>
          <w:sz w:val="21"/>
          <w:szCs w:val="21"/>
        </w:rPr>
      </w:pPr>
      <w:r w:rsidRPr="00AF33BC">
        <w:rPr>
          <w:rFonts w:cs="Arial"/>
          <w:sz w:val="21"/>
          <w:szCs w:val="21"/>
        </w:rPr>
        <w:t>“</w:t>
      </w:r>
      <w:r w:rsidR="00055203" w:rsidRPr="00AF33BC">
        <w:rPr>
          <w:rFonts w:cs="Arial"/>
          <w:sz w:val="21"/>
          <w:szCs w:val="21"/>
        </w:rPr>
        <w:t xml:space="preserve">To support the review and enable the panel to reach fully informed conclusions, factual clarification and documentation were requested from </w:t>
      </w:r>
      <w:r w:rsidR="00BE4F15" w:rsidRPr="00AF33BC">
        <w:rPr>
          <w:rFonts w:cs="Arial"/>
          <w:sz w:val="21"/>
          <w:szCs w:val="21"/>
        </w:rPr>
        <w:t>…</w:t>
      </w:r>
      <w:r w:rsidR="00055203" w:rsidRPr="00AF33BC">
        <w:rPr>
          <w:rFonts w:cs="Arial"/>
          <w:sz w:val="21"/>
          <w:szCs w:val="21"/>
        </w:rPr>
        <w:t xml:space="preserve"> NOE CPC Category Manager leading the procurement. </w:t>
      </w:r>
      <w:r w:rsidR="00BE4F15" w:rsidRPr="00AF33BC">
        <w:rPr>
          <w:rFonts w:cs="Arial"/>
          <w:sz w:val="21"/>
          <w:szCs w:val="21"/>
        </w:rPr>
        <w:t>[NOE CPC Category Manager]</w:t>
      </w:r>
      <w:r w:rsidR="00055203" w:rsidRPr="00AF33BC">
        <w:rPr>
          <w:rFonts w:cs="Arial"/>
          <w:sz w:val="21"/>
          <w:szCs w:val="21"/>
        </w:rPr>
        <w:t xml:space="preserve"> did not provide any commentary, opinion, or decision</w:t>
      </w:r>
      <w:r w:rsidR="00055203" w:rsidRPr="00AF33BC">
        <w:rPr>
          <w:rFonts w:ascii="Cambria Math" w:hAnsi="Cambria Math" w:cs="Cambria Math"/>
          <w:sz w:val="21"/>
          <w:szCs w:val="21"/>
        </w:rPr>
        <w:t>‑</w:t>
      </w:r>
      <w:r w:rsidR="00055203" w:rsidRPr="00AF33BC">
        <w:rPr>
          <w:rFonts w:cs="Arial"/>
          <w:sz w:val="21"/>
          <w:szCs w:val="21"/>
        </w:rPr>
        <w:t xml:space="preserve">making input in relation to the Trust’s response to the representations. The Trust did draw on legal advice during this phase </w:t>
      </w:r>
      <w:r w:rsidR="00BE4F15" w:rsidRPr="00AF33BC">
        <w:rPr>
          <w:rFonts w:cs="Arial"/>
          <w:sz w:val="21"/>
          <w:szCs w:val="21"/>
        </w:rPr>
        <w:t>…</w:t>
      </w:r>
      <w:r w:rsidR="00840D97" w:rsidRPr="00AF33BC">
        <w:rPr>
          <w:rFonts w:cs="Arial"/>
          <w:sz w:val="21"/>
          <w:szCs w:val="21"/>
        </w:rPr>
        <w:t>”</w:t>
      </w:r>
      <w:r w:rsidR="005A3496" w:rsidRPr="00DA2DF2">
        <w:rPr>
          <w:rStyle w:val="FootnoteReference"/>
          <w:rFonts w:cs="Arial"/>
          <w:sz w:val="21"/>
          <w:szCs w:val="21"/>
        </w:rPr>
        <w:footnoteReference w:id="56"/>
      </w:r>
    </w:p>
    <w:p w14:paraId="11CE1035" w14:textId="3E598805" w:rsidR="00512F26" w:rsidRPr="005A3496" w:rsidRDefault="00840D97" w:rsidP="00A031E6">
      <w:pPr>
        <w:pStyle w:val="ListParagraph"/>
      </w:pPr>
      <w:r w:rsidRPr="005A3496">
        <w:t xml:space="preserve">NCA </w:t>
      </w:r>
      <w:r w:rsidR="006234D0">
        <w:t>also</w:t>
      </w:r>
      <w:r w:rsidRPr="005A3496">
        <w:t xml:space="preserve"> told the Panel that </w:t>
      </w:r>
      <w:r w:rsidR="00EF4807" w:rsidRPr="005A3496">
        <w:t>“a</w:t>
      </w:r>
      <w:r w:rsidR="00055203" w:rsidRPr="005A3496">
        <w:t xml:space="preserve"> number of virtual meetings were held to discuss and progress the representation review process to ensure a timely response</w:t>
      </w:r>
      <w:r w:rsidR="00EF4807" w:rsidRPr="005A3496">
        <w:t xml:space="preserve">” </w:t>
      </w:r>
      <w:r w:rsidR="006234D0">
        <w:t>with minutes taken at</w:t>
      </w:r>
      <w:r w:rsidR="00EF4807" w:rsidRPr="005A3496">
        <w:t xml:space="preserve"> these meetings.</w:t>
      </w:r>
      <w:r w:rsidR="00EF4807" w:rsidRPr="005A3496">
        <w:rPr>
          <w:rStyle w:val="FootnoteReference"/>
        </w:rPr>
        <w:footnoteReference w:id="57"/>
      </w:r>
    </w:p>
    <w:p w14:paraId="02F31835" w14:textId="798B8894" w:rsidR="00D32792" w:rsidRPr="007250F5" w:rsidRDefault="7EE23C6F" w:rsidP="00007A95">
      <w:pPr>
        <w:keepNext/>
        <w:spacing w:before="240"/>
        <w:rPr>
          <w:b/>
          <w:bCs/>
        </w:rPr>
      </w:pPr>
      <w:r w:rsidRPr="378C5A3C">
        <w:rPr>
          <w:b/>
          <w:bCs/>
        </w:rPr>
        <w:t xml:space="preserve">7.3.2 </w:t>
      </w:r>
      <w:r w:rsidR="008C02D7">
        <w:rPr>
          <w:b/>
          <w:bCs/>
        </w:rPr>
        <w:t xml:space="preserve">Endocare’s concerns </w:t>
      </w:r>
      <w:r w:rsidR="00A77C79">
        <w:rPr>
          <w:b/>
          <w:bCs/>
        </w:rPr>
        <w:t>about pre-determination of NCA’s review</w:t>
      </w:r>
      <w:r w:rsidR="008C02D7">
        <w:rPr>
          <w:b/>
          <w:bCs/>
        </w:rPr>
        <w:t xml:space="preserve"> </w:t>
      </w:r>
      <w:r w:rsidR="000972D6">
        <w:rPr>
          <w:b/>
          <w:bCs/>
        </w:rPr>
        <w:t>and NCA’s response</w:t>
      </w:r>
    </w:p>
    <w:p w14:paraId="6C5457A2" w14:textId="49576622" w:rsidR="002E03DF" w:rsidRDefault="007D4A9E" w:rsidP="00A031E6">
      <w:pPr>
        <w:pStyle w:val="ListParagraph"/>
      </w:pPr>
      <w:r w:rsidRPr="00BA21EA">
        <w:t>Endocare</w:t>
      </w:r>
      <w:r w:rsidR="009E47E0">
        <w:t xml:space="preserve">, in its representations to </w:t>
      </w:r>
      <w:r w:rsidR="00E75841" w:rsidRPr="00BA21EA">
        <w:t>the Panel</w:t>
      </w:r>
      <w:r w:rsidR="009E47E0">
        <w:t>, raised</w:t>
      </w:r>
      <w:r w:rsidR="002F6183">
        <w:t xml:space="preserve"> concerns</w:t>
      </w:r>
      <w:r w:rsidR="009E47E0">
        <w:t xml:space="preserve"> </w:t>
      </w:r>
      <w:r w:rsidR="00107C95">
        <w:t xml:space="preserve">that </w:t>
      </w:r>
      <w:r w:rsidR="00D83439">
        <w:t xml:space="preserve">NCA’s review of its representations </w:t>
      </w:r>
      <w:r w:rsidR="003B3F90">
        <w:t>was</w:t>
      </w:r>
      <w:r w:rsidR="00D83439">
        <w:t xml:space="preserve"> undermined (or predetermined) </w:t>
      </w:r>
      <w:r w:rsidR="003B3F90">
        <w:t>by virtue</w:t>
      </w:r>
      <w:r w:rsidR="00D83439">
        <w:t xml:space="preserve"> of </w:t>
      </w:r>
      <w:r w:rsidR="003B3F90">
        <w:t xml:space="preserve">the email sent to </w:t>
      </w:r>
      <w:r w:rsidR="001C23CD">
        <w:t xml:space="preserve">NCA’s </w:t>
      </w:r>
      <w:r w:rsidR="003B3F90">
        <w:t xml:space="preserve">consultant gastroenterologists by </w:t>
      </w:r>
      <w:r w:rsidR="001C23CD">
        <w:t xml:space="preserve">NCA’s Clinical Director </w:t>
      </w:r>
      <w:r w:rsidR="000C5940">
        <w:t>on 20 January 2026, which said</w:t>
      </w:r>
      <w:r w:rsidR="00F250B5">
        <w:t xml:space="preserve"> that </w:t>
      </w:r>
      <w:r w:rsidR="000C5940">
        <w:t>Venture</w:t>
      </w:r>
      <w:r w:rsidR="00F250B5">
        <w:t xml:space="preserve"> would be taking over the </w:t>
      </w:r>
      <w:r w:rsidR="000C5940">
        <w:t>insourcing service</w:t>
      </w:r>
      <w:r w:rsidR="000A36B8">
        <w:t xml:space="preserve"> </w:t>
      </w:r>
      <w:r w:rsidR="00074C21" w:rsidRPr="00BA21EA">
        <w:t>(see paragraph</w:t>
      </w:r>
      <w:r w:rsidR="00B57EE9">
        <w:t> </w:t>
      </w:r>
      <w:r w:rsidR="008F1A6A">
        <w:t>8</w:t>
      </w:r>
      <w:r w:rsidR="00081A29">
        <w:t>7</w:t>
      </w:r>
      <w:r w:rsidR="00074C21" w:rsidRPr="00BA21EA">
        <w:t>).</w:t>
      </w:r>
    </w:p>
    <w:p w14:paraId="54C96E8E" w14:textId="129304C0" w:rsidR="00240E6D" w:rsidRPr="00BA21EA" w:rsidRDefault="00320F05" w:rsidP="00B57EE9">
      <w:pPr>
        <w:pStyle w:val="ListParagraph"/>
        <w:spacing w:after="120"/>
      </w:pPr>
      <w:r>
        <w:t xml:space="preserve">Endocare </w:t>
      </w:r>
      <w:r w:rsidR="00B57EE9">
        <w:t>had previously</w:t>
      </w:r>
      <w:r>
        <w:t xml:space="preserve"> raised these concerns with NCA, saying that:</w:t>
      </w:r>
    </w:p>
    <w:p w14:paraId="41110E99" w14:textId="51A6A593" w:rsidR="00C6524F" w:rsidRPr="00C6524F" w:rsidRDefault="00C6524F" w:rsidP="00AF33BC">
      <w:pPr>
        <w:spacing w:after="120" w:line="259" w:lineRule="auto"/>
        <w:ind w:left="851"/>
        <w:rPr>
          <w:b/>
          <w:bCs/>
          <w:sz w:val="21"/>
          <w:szCs w:val="21"/>
        </w:rPr>
      </w:pPr>
      <w:r w:rsidRPr="00BA21EA">
        <w:rPr>
          <w:sz w:val="21"/>
          <w:szCs w:val="21"/>
        </w:rPr>
        <w:lastRenderedPageBreak/>
        <w:t>“The Clinical Director’s email dated 20 January 2026 to consultants</w:t>
      </w:r>
      <w:r w:rsidR="00A630D4">
        <w:rPr>
          <w:sz w:val="21"/>
          <w:szCs w:val="21"/>
        </w:rPr>
        <w:t xml:space="preserve"> </w:t>
      </w:r>
      <w:r w:rsidR="00646724" w:rsidRPr="00BA21EA">
        <w:rPr>
          <w:sz w:val="21"/>
          <w:szCs w:val="21"/>
        </w:rPr>
        <w:t>…</w:t>
      </w:r>
      <w:r w:rsidRPr="00BA21EA">
        <w:rPr>
          <w:sz w:val="21"/>
          <w:szCs w:val="21"/>
        </w:rPr>
        <w:t xml:space="preserve"> was sent before the NCA’s original standstill end-date of 17 Feb 2026 and before the expiry of the 8</w:t>
      </w:r>
      <w:r w:rsidR="00921357">
        <w:rPr>
          <w:sz w:val="21"/>
          <w:szCs w:val="21"/>
        </w:rPr>
        <w:t> </w:t>
      </w:r>
      <w:r w:rsidRPr="00BA21EA">
        <w:rPr>
          <w:sz w:val="21"/>
          <w:szCs w:val="21"/>
        </w:rPr>
        <w:t>working day period following the decision on 16 January 2026. Predetermining the provider during standstill undermines the integrity and purpose of Regulation 12 (pre-award representations and review) and frustrates transparency and fairness under PSR guidance.”</w:t>
      </w:r>
      <w:r w:rsidR="002E03DF">
        <w:rPr>
          <w:rStyle w:val="FootnoteReference"/>
          <w:sz w:val="21"/>
          <w:szCs w:val="21"/>
        </w:rPr>
        <w:footnoteReference w:id="58"/>
      </w:r>
    </w:p>
    <w:p w14:paraId="3169A23A" w14:textId="1061897A" w:rsidR="00074C21" w:rsidRPr="00F573B2" w:rsidRDefault="00C06F00" w:rsidP="00A77C79">
      <w:pPr>
        <w:pStyle w:val="ListParagraph"/>
        <w:spacing w:after="120"/>
      </w:pPr>
      <w:r>
        <w:t>NCA, i</w:t>
      </w:r>
      <w:r w:rsidR="0063574E" w:rsidRPr="00F573B2">
        <w:t>n respon</w:t>
      </w:r>
      <w:r w:rsidR="00A77C79">
        <w:t>se</w:t>
      </w:r>
      <w:r w:rsidR="0063574E" w:rsidRPr="00F573B2">
        <w:t xml:space="preserve"> to Endocare’s concerns, said that:</w:t>
      </w:r>
    </w:p>
    <w:p w14:paraId="4E187D65" w14:textId="362E6150" w:rsidR="0063574E" w:rsidRPr="00F573B2" w:rsidRDefault="006E1B39" w:rsidP="00AF33BC">
      <w:pPr>
        <w:spacing w:after="0" w:line="259" w:lineRule="auto"/>
        <w:ind w:left="851"/>
        <w:rPr>
          <w:sz w:val="21"/>
          <w:szCs w:val="21"/>
        </w:rPr>
      </w:pPr>
      <w:r w:rsidRPr="00F573B2">
        <w:rPr>
          <w:sz w:val="21"/>
          <w:szCs w:val="21"/>
        </w:rPr>
        <w:t>“</w:t>
      </w:r>
      <w:r w:rsidR="00216AB4" w:rsidRPr="00F573B2">
        <w:rPr>
          <w:sz w:val="21"/>
          <w:szCs w:val="21"/>
        </w:rPr>
        <w:t>[Regulation]</w:t>
      </w:r>
      <w:r w:rsidRPr="00F573B2">
        <w:rPr>
          <w:sz w:val="21"/>
          <w:szCs w:val="21"/>
        </w:rPr>
        <w:t xml:space="preserve"> 12 of the Provider Selection Regime is explicit that a contract must not be entered into during the standstill period.</w:t>
      </w:r>
      <w:r w:rsidR="00414ABE">
        <w:rPr>
          <w:sz w:val="21"/>
          <w:szCs w:val="21"/>
        </w:rPr>
        <w:t xml:space="preserve"> </w:t>
      </w:r>
      <w:r w:rsidRPr="00F573B2">
        <w:rPr>
          <w:sz w:val="21"/>
          <w:szCs w:val="21"/>
        </w:rPr>
        <w:t xml:space="preserve">In this context, </w:t>
      </w:r>
      <w:r w:rsidR="00414ABE">
        <w:rPr>
          <w:sz w:val="21"/>
          <w:szCs w:val="21"/>
        </w:rPr>
        <w:t>‘</w:t>
      </w:r>
      <w:r w:rsidRPr="00F573B2">
        <w:rPr>
          <w:sz w:val="21"/>
          <w:szCs w:val="21"/>
        </w:rPr>
        <w:t>entering into</w:t>
      </w:r>
      <w:r w:rsidR="00414ABE">
        <w:rPr>
          <w:sz w:val="21"/>
          <w:szCs w:val="21"/>
        </w:rPr>
        <w:t>’</w:t>
      </w:r>
      <w:r w:rsidRPr="00F573B2">
        <w:rPr>
          <w:sz w:val="21"/>
          <w:szCs w:val="21"/>
        </w:rPr>
        <w:t xml:space="preserve"> a contract means taking steps that</w:t>
      </w:r>
      <w:r w:rsidR="00414ABE">
        <w:rPr>
          <w:sz w:val="21"/>
          <w:szCs w:val="21"/>
        </w:rPr>
        <w:t xml:space="preserve"> </w:t>
      </w:r>
      <w:r w:rsidRPr="00F573B2">
        <w:rPr>
          <w:sz w:val="21"/>
          <w:szCs w:val="21"/>
        </w:rPr>
        <w:t>render</w:t>
      </w:r>
      <w:r w:rsidR="00414ABE">
        <w:rPr>
          <w:sz w:val="21"/>
          <w:szCs w:val="21"/>
        </w:rPr>
        <w:t xml:space="preserve"> </w:t>
      </w:r>
      <w:r w:rsidRPr="00F573B2">
        <w:rPr>
          <w:sz w:val="21"/>
          <w:szCs w:val="21"/>
        </w:rPr>
        <w:t>the agreement legally binding. Having reviewed the evidence available, the</w:t>
      </w:r>
      <w:r w:rsidR="00414ABE">
        <w:rPr>
          <w:sz w:val="21"/>
          <w:szCs w:val="21"/>
        </w:rPr>
        <w:t xml:space="preserve"> </w:t>
      </w:r>
      <w:r w:rsidRPr="00F573B2">
        <w:rPr>
          <w:sz w:val="21"/>
          <w:szCs w:val="21"/>
        </w:rPr>
        <w:t xml:space="preserve">[NCA </w:t>
      </w:r>
      <w:r w:rsidR="00216AB4" w:rsidRPr="00F573B2">
        <w:rPr>
          <w:sz w:val="21"/>
          <w:szCs w:val="21"/>
        </w:rPr>
        <w:t xml:space="preserve">representations </w:t>
      </w:r>
      <w:r w:rsidRPr="00F573B2">
        <w:rPr>
          <w:sz w:val="21"/>
          <w:szCs w:val="21"/>
        </w:rPr>
        <w:t>review]</w:t>
      </w:r>
      <w:r w:rsidR="00414ABE">
        <w:rPr>
          <w:sz w:val="21"/>
          <w:szCs w:val="21"/>
        </w:rPr>
        <w:t xml:space="preserve"> </w:t>
      </w:r>
      <w:r w:rsidRPr="00F573B2">
        <w:rPr>
          <w:sz w:val="21"/>
          <w:szCs w:val="21"/>
        </w:rPr>
        <w:t>Panel has seen no</w:t>
      </w:r>
      <w:r w:rsidR="00414ABE">
        <w:rPr>
          <w:sz w:val="21"/>
          <w:szCs w:val="21"/>
        </w:rPr>
        <w:t xml:space="preserve"> </w:t>
      </w:r>
      <w:r w:rsidRPr="00F573B2">
        <w:rPr>
          <w:sz w:val="21"/>
          <w:szCs w:val="21"/>
        </w:rPr>
        <w:t>indication</w:t>
      </w:r>
      <w:r w:rsidR="00414ABE">
        <w:rPr>
          <w:sz w:val="21"/>
          <w:szCs w:val="21"/>
        </w:rPr>
        <w:t xml:space="preserve"> </w:t>
      </w:r>
      <w:r w:rsidRPr="00F573B2">
        <w:rPr>
          <w:sz w:val="21"/>
          <w:szCs w:val="21"/>
        </w:rPr>
        <w:t>that any binding contractual obligations were created during the standstill period. In particular:</w:t>
      </w:r>
    </w:p>
    <w:p w14:paraId="73CCA46A" w14:textId="2C580538" w:rsidR="00216AB4" w:rsidRPr="00AF33BC" w:rsidRDefault="00414ABE" w:rsidP="00AF33BC">
      <w:pPr>
        <w:pStyle w:val="ListParagraph"/>
        <w:numPr>
          <w:ilvl w:val="0"/>
          <w:numId w:val="21"/>
        </w:numPr>
        <w:ind w:left="1570" w:hanging="357"/>
        <w:contextualSpacing/>
        <w:rPr>
          <w:sz w:val="21"/>
          <w:szCs w:val="21"/>
        </w:rPr>
      </w:pPr>
      <w:r w:rsidRPr="00AF33BC">
        <w:rPr>
          <w:sz w:val="21"/>
          <w:szCs w:val="21"/>
        </w:rPr>
        <w:t>n</w:t>
      </w:r>
      <w:r w:rsidR="00216AB4" w:rsidRPr="00AF33BC">
        <w:rPr>
          <w:sz w:val="21"/>
          <w:szCs w:val="21"/>
        </w:rPr>
        <w:t>o contract was executed;</w:t>
      </w:r>
    </w:p>
    <w:p w14:paraId="28C2F242" w14:textId="47CCEFF0" w:rsidR="00216AB4" w:rsidRPr="00AF33BC" w:rsidRDefault="00414ABE" w:rsidP="00AF33BC">
      <w:pPr>
        <w:pStyle w:val="ListParagraph"/>
        <w:numPr>
          <w:ilvl w:val="0"/>
          <w:numId w:val="21"/>
        </w:numPr>
        <w:ind w:left="1570" w:hanging="357"/>
        <w:contextualSpacing/>
        <w:rPr>
          <w:sz w:val="21"/>
          <w:szCs w:val="21"/>
        </w:rPr>
      </w:pPr>
      <w:r w:rsidRPr="00AF33BC">
        <w:rPr>
          <w:sz w:val="21"/>
          <w:szCs w:val="21"/>
        </w:rPr>
        <w:t>n</w:t>
      </w:r>
      <w:r w:rsidR="00216AB4" w:rsidRPr="00AF33BC">
        <w:rPr>
          <w:sz w:val="21"/>
          <w:szCs w:val="21"/>
        </w:rPr>
        <w:t>o services were delivered;</w:t>
      </w:r>
    </w:p>
    <w:p w14:paraId="7899E9A0" w14:textId="1C1DA5AD" w:rsidR="00216AB4" w:rsidRPr="00AF33BC" w:rsidRDefault="00414ABE" w:rsidP="00AF33BC">
      <w:pPr>
        <w:pStyle w:val="ListParagraph"/>
        <w:numPr>
          <w:ilvl w:val="0"/>
          <w:numId w:val="21"/>
        </w:numPr>
        <w:ind w:left="1570" w:hanging="357"/>
        <w:contextualSpacing/>
        <w:rPr>
          <w:sz w:val="21"/>
          <w:szCs w:val="21"/>
        </w:rPr>
      </w:pPr>
      <w:r w:rsidRPr="00AF33BC">
        <w:rPr>
          <w:sz w:val="21"/>
          <w:szCs w:val="21"/>
        </w:rPr>
        <w:t>n</w:t>
      </w:r>
      <w:r w:rsidR="00216AB4" w:rsidRPr="00AF33BC">
        <w:rPr>
          <w:sz w:val="21"/>
          <w:szCs w:val="21"/>
        </w:rPr>
        <w:t>o contractual performance commenced;</w:t>
      </w:r>
    </w:p>
    <w:p w14:paraId="37340B21" w14:textId="3869AF5F" w:rsidR="00216AB4" w:rsidRPr="00AF33BC" w:rsidRDefault="00414ABE" w:rsidP="00AF33BC">
      <w:pPr>
        <w:pStyle w:val="ListParagraph"/>
        <w:numPr>
          <w:ilvl w:val="0"/>
          <w:numId w:val="21"/>
        </w:numPr>
        <w:ind w:left="1570" w:hanging="357"/>
        <w:contextualSpacing/>
        <w:rPr>
          <w:sz w:val="21"/>
          <w:szCs w:val="21"/>
        </w:rPr>
      </w:pPr>
      <w:r w:rsidRPr="00AF33BC">
        <w:rPr>
          <w:sz w:val="21"/>
          <w:szCs w:val="21"/>
        </w:rPr>
        <w:t>n</w:t>
      </w:r>
      <w:r w:rsidR="00216AB4" w:rsidRPr="00AF33BC">
        <w:rPr>
          <w:sz w:val="21"/>
          <w:szCs w:val="21"/>
        </w:rPr>
        <w:t>o payments were made; and</w:t>
      </w:r>
    </w:p>
    <w:p w14:paraId="0FA0C83C" w14:textId="49799AF7" w:rsidR="00216AB4" w:rsidRPr="00AF33BC" w:rsidRDefault="00414ABE" w:rsidP="00AF33BC">
      <w:pPr>
        <w:pStyle w:val="ListParagraph"/>
        <w:numPr>
          <w:ilvl w:val="0"/>
          <w:numId w:val="21"/>
        </w:numPr>
        <w:ind w:left="1570" w:hanging="357"/>
        <w:contextualSpacing/>
        <w:rPr>
          <w:sz w:val="21"/>
          <w:szCs w:val="21"/>
        </w:rPr>
      </w:pPr>
      <w:r w:rsidRPr="00AF33BC">
        <w:rPr>
          <w:sz w:val="21"/>
          <w:szCs w:val="21"/>
        </w:rPr>
        <w:t>n</w:t>
      </w:r>
      <w:r w:rsidR="00216AB4" w:rsidRPr="00AF33BC">
        <w:rPr>
          <w:sz w:val="21"/>
          <w:szCs w:val="21"/>
        </w:rPr>
        <w:t>o irreversible commercial or operational advantage was conferred.</w:t>
      </w:r>
    </w:p>
    <w:p w14:paraId="5992BCDA" w14:textId="79C9A960" w:rsidR="00F573B2" w:rsidRPr="00F573B2" w:rsidRDefault="00F573B2" w:rsidP="00371FAA">
      <w:pPr>
        <w:spacing w:after="120" w:line="259" w:lineRule="auto"/>
        <w:ind w:left="851"/>
        <w:rPr>
          <w:sz w:val="21"/>
          <w:szCs w:val="21"/>
        </w:rPr>
      </w:pPr>
      <w:r>
        <w:rPr>
          <w:sz w:val="21"/>
          <w:szCs w:val="21"/>
        </w:rPr>
        <w:t>“</w:t>
      </w:r>
      <w:r w:rsidRPr="00F573B2">
        <w:rPr>
          <w:sz w:val="21"/>
          <w:szCs w:val="21"/>
        </w:rPr>
        <w:t>Whilst initial administrative or preparatory activity may have taken place, the</w:t>
      </w:r>
      <w:r w:rsidR="00414ABE">
        <w:rPr>
          <w:sz w:val="21"/>
          <w:szCs w:val="21"/>
        </w:rPr>
        <w:t xml:space="preserve"> </w:t>
      </w:r>
      <w:r w:rsidRPr="00F573B2">
        <w:rPr>
          <w:sz w:val="21"/>
          <w:szCs w:val="21"/>
        </w:rPr>
        <w:t>[NCA representations review]</w:t>
      </w:r>
      <w:r w:rsidR="00414ABE">
        <w:rPr>
          <w:sz w:val="21"/>
          <w:szCs w:val="21"/>
        </w:rPr>
        <w:t xml:space="preserve"> </w:t>
      </w:r>
      <w:r w:rsidRPr="00F573B2">
        <w:rPr>
          <w:sz w:val="21"/>
          <w:szCs w:val="21"/>
        </w:rPr>
        <w:t xml:space="preserve">Panel is satisfied that such activity did not amount to contract conclusion or early performance and therefore did not breach the requirements of </w:t>
      </w:r>
      <w:r>
        <w:rPr>
          <w:sz w:val="21"/>
          <w:szCs w:val="21"/>
        </w:rPr>
        <w:t>[Regulation]</w:t>
      </w:r>
      <w:r w:rsidRPr="00F573B2">
        <w:rPr>
          <w:sz w:val="21"/>
          <w:szCs w:val="21"/>
        </w:rPr>
        <w:t xml:space="preserve"> 12.</w:t>
      </w:r>
    </w:p>
    <w:p w14:paraId="44F6FE6E" w14:textId="77777777" w:rsidR="00414ABE" w:rsidRDefault="00F573B2" w:rsidP="00AF33BC">
      <w:pPr>
        <w:spacing w:after="120" w:line="259" w:lineRule="auto"/>
        <w:ind w:left="851"/>
        <w:rPr>
          <w:sz w:val="21"/>
          <w:szCs w:val="21"/>
        </w:rPr>
      </w:pPr>
      <w:r w:rsidRPr="00F573B2">
        <w:rPr>
          <w:sz w:val="21"/>
          <w:szCs w:val="21"/>
        </w:rPr>
        <w:t xml:space="preserve">“The grounds raised contend that an email issued during the standstill period demonstrates pre-determination. The [NCA </w:t>
      </w:r>
      <w:r>
        <w:rPr>
          <w:sz w:val="21"/>
          <w:szCs w:val="21"/>
        </w:rPr>
        <w:t xml:space="preserve">representations </w:t>
      </w:r>
      <w:r w:rsidRPr="00F573B2">
        <w:rPr>
          <w:sz w:val="21"/>
          <w:szCs w:val="21"/>
        </w:rPr>
        <w:t>review] Panel does not agree with this characterisation.</w:t>
      </w:r>
    </w:p>
    <w:p w14:paraId="48BDA08A" w14:textId="1D5F328C" w:rsidR="00A028D6" w:rsidRDefault="00414ABE" w:rsidP="00AF33BC">
      <w:pPr>
        <w:spacing w:after="120" w:line="259" w:lineRule="auto"/>
        <w:ind w:left="851"/>
        <w:rPr>
          <w:sz w:val="21"/>
          <w:szCs w:val="21"/>
        </w:rPr>
      </w:pPr>
      <w:r>
        <w:rPr>
          <w:sz w:val="21"/>
          <w:szCs w:val="21"/>
        </w:rPr>
        <w:t>“</w:t>
      </w:r>
      <w:r w:rsidR="00F573B2" w:rsidRPr="00F573B2">
        <w:rPr>
          <w:sz w:val="21"/>
          <w:szCs w:val="21"/>
        </w:rPr>
        <w:t>At the time the referenced email was sent, the decision as to the preferred provider had already been lawfully made in accordance with the PSR process, and all bidders had been formally notified of the outcome following publication of the F03 notice.</w:t>
      </w:r>
    </w:p>
    <w:p w14:paraId="320103D3" w14:textId="77777777" w:rsidR="00A028D6" w:rsidRDefault="00A028D6" w:rsidP="00AF33BC">
      <w:pPr>
        <w:spacing w:after="120" w:line="259" w:lineRule="auto"/>
        <w:ind w:left="851"/>
        <w:rPr>
          <w:sz w:val="21"/>
          <w:szCs w:val="21"/>
        </w:rPr>
      </w:pPr>
      <w:r>
        <w:rPr>
          <w:sz w:val="21"/>
          <w:szCs w:val="21"/>
        </w:rPr>
        <w:t>“</w:t>
      </w:r>
      <w:r w:rsidR="00F573B2" w:rsidRPr="00F573B2">
        <w:rPr>
          <w:sz w:val="21"/>
          <w:szCs w:val="21"/>
        </w:rPr>
        <w:t xml:space="preserve">Communicating on the basis of a concluded decision does not constitute pre-determination. Pre-determination would require evidence that the decision had been fixed in advance of the evaluation and decision-making process. The [NCA </w:t>
      </w:r>
      <w:r w:rsidR="00F573B2">
        <w:rPr>
          <w:sz w:val="21"/>
          <w:szCs w:val="21"/>
        </w:rPr>
        <w:t xml:space="preserve">representations </w:t>
      </w:r>
      <w:r w:rsidR="00F573B2" w:rsidRPr="00F573B2">
        <w:rPr>
          <w:sz w:val="21"/>
          <w:szCs w:val="21"/>
        </w:rPr>
        <w:t>review] Panel has seen no such evidence.</w:t>
      </w:r>
    </w:p>
    <w:p w14:paraId="15BFAB1B" w14:textId="6822F6FB" w:rsidR="00216AB4" w:rsidRPr="00F573B2" w:rsidRDefault="00A028D6" w:rsidP="00007A95">
      <w:pPr>
        <w:spacing w:line="259" w:lineRule="auto"/>
        <w:ind w:left="851"/>
        <w:rPr>
          <w:sz w:val="21"/>
          <w:szCs w:val="21"/>
        </w:rPr>
      </w:pPr>
      <w:r>
        <w:rPr>
          <w:sz w:val="21"/>
          <w:szCs w:val="21"/>
        </w:rPr>
        <w:t>“</w:t>
      </w:r>
      <w:r w:rsidR="00F573B2" w:rsidRPr="00F573B2">
        <w:rPr>
          <w:sz w:val="21"/>
          <w:szCs w:val="21"/>
        </w:rPr>
        <w:t xml:space="preserve">On the basis of the material reviewed, the [NCA </w:t>
      </w:r>
      <w:r w:rsidR="00F573B2">
        <w:rPr>
          <w:sz w:val="21"/>
          <w:szCs w:val="21"/>
        </w:rPr>
        <w:t xml:space="preserve">representations </w:t>
      </w:r>
      <w:r w:rsidR="00F573B2" w:rsidRPr="00F573B2">
        <w:rPr>
          <w:sz w:val="21"/>
          <w:szCs w:val="21"/>
        </w:rPr>
        <w:t xml:space="preserve">review] Panel does not consider that the matters raised establish a breach of </w:t>
      </w:r>
      <w:r w:rsidR="00F573B2">
        <w:rPr>
          <w:sz w:val="21"/>
          <w:szCs w:val="21"/>
        </w:rPr>
        <w:t>[Regulation]</w:t>
      </w:r>
      <w:r w:rsidR="00F573B2" w:rsidRPr="00F573B2">
        <w:rPr>
          <w:sz w:val="21"/>
          <w:szCs w:val="21"/>
        </w:rPr>
        <w:t xml:space="preserve"> 12, nor that they demonstrate pre-determination or procedural unfairness</w:t>
      </w:r>
      <w:r w:rsidR="00F573B2">
        <w:rPr>
          <w:sz w:val="21"/>
          <w:szCs w:val="21"/>
        </w:rPr>
        <w:t>.”</w:t>
      </w:r>
      <w:r w:rsidR="00F573B2">
        <w:rPr>
          <w:rStyle w:val="FootnoteReference"/>
          <w:sz w:val="21"/>
          <w:szCs w:val="21"/>
        </w:rPr>
        <w:footnoteReference w:id="59"/>
      </w:r>
    </w:p>
    <w:p w14:paraId="29AC2E86" w14:textId="2A1F786B" w:rsidR="003E038C" w:rsidRPr="00AF33BC" w:rsidRDefault="00A25535" w:rsidP="00AF33BC">
      <w:pPr>
        <w:spacing w:before="240"/>
        <w:rPr>
          <w:b/>
        </w:rPr>
      </w:pPr>
      <w:r w:rsidRPr="00AF33BC">
        <w:rPr>
          <w:b/>
          <w:bCs/>
        </w:rPr>
        <w:t xml:space="preserve">7.3.3 Panel’s assessment of Endocare’s concerns about pre-determination of the </w:t>
      </w:r>
      <w:r w:rsidR="00E66AFB" w:rsidRPr="00AF33BC">
        <w:rPr>
          <w:b/>
          <w:bCs/>
        </w:rPr>
        <w:t>representations review process</w:t>
      </w:r>
    </w:p>
    <w:p w14:paraId="799CC548" w14:textId="2313FD58" w:rsidR="00A063BE" w:rsidRDefault="00A063BE" w:rsidP="00AD72DE">
      <w:pPr>
        <w:pStyle w:val="ListParagraph"/>
      </w:pPr>
      <w:r>
        <w:t xml:space="preserve">The Panel notes that the email from NCA’s Clinical Director </w:t>
      </w:r>
      <w:r w:rsidR="00472C92">
        <w:t xml:space="preserve">to consultant gastroenterologists at NCA, announcing Venture as the successful bidder and encouraging consultants to sign up to Venture, took place before </w:t>
      </w:r>
      <w:r w:rsidR="00511C62">
        <w:t xml:space="preserve">the standstill period had closed and before </w:t>
      </w:r>
      <w:r w:rsidR="00031D8C">
        <w:t>NCA had reviewed Endocare’s representations.</w:t>
      </w:r>
    </w:p>
    <w:p w14:paraId="2FB33B68" w14:textId="3131B7D2" w:rsidR="004A1CE7" w:rsidRDefault="004A1CE7" w:rsidP="00AD72DE">
      <w:pPr>
        <w:pStyle w:val="ListParagraph"/>
      </w:pPr>
      <w:r>
        <w:t xml:space="preserve">While it may have been helpful for NCA’s Clinical Director to </w:t>
      </w:r>
      <w:r w:rsidR="001B7695">
        <w:t xml:space="preserve">have </w:t>
      </w:r>
      <w:r>
        <w:t>be</w:t>
      </w:r>
      <w:r w:rsidR="001B7695">
        <w:t>en</w:t>
      </w:r>
      <w:r>
        <w:t xml:space="preserve"> clear </w:t>
      </w:r>
      <w:r w:rsidR="001B7695">
        <w:t xml:space="preserve">in his email </w:t>
      </w:r>
      <w:r>
        <w:t xml:space="preserve">that </w:t>
      </w:r>
      <w:r w:rsidR="001B7695">
        <w:t xml:space="preserve">the </w:t>
      </w:r>
      <w:r w:rsidR="00511C62">
        <w:t>standstill period had not yet closed, t</w:t>
      </w:r>
      <w:r>
        <w:t>he Panel does not</w:t>
      </w:r>
      <w:r w:rsidR="00511C62">
        <w:t xml:space="preserve"> believe that this </w:t>
      </w:r>
      <w:r w:rsidR="001B7695">
        <w:t xml:space="preserve">email had the effect of pre-determining the subsequent review of Endocare’s </w:t>
      </w:r>
      <w:r w:rsidR="001B7695">
        <w:lastRenderedPageBreak/>
        <w:t>representations. Th</w:t>
      </w:r>
      <w:r w:rsidR="0050739D">
        <w:t xml:space="preserve">e Clinical Director was not involved in NCA’s review of Endocare’s representations, which </w:t>
      </w:r>
      <w:r w:rsidR="007577C5">
        <w:t>was carried out by two staff from NCA’s procurement function</w:t>
      </w:r>
      <w:r w:rsidR="0050739D">
        <w:t>.</w:t>
      </w:r>
      <w:r w:rsidR="00BE75AF" w:rsidRPr="00BE75AF">
        <w:t xml:space="preserve"> </w:t>
      </w:r>
      <w:r w:rsidR="00BE75AF">
        <w:t>The Panel has not seen any evidence to suggest that the outcome of their review was influenced by the Clinical Director’s email.</w:t>
      </w:r>
    </w:p>
    <w:p w14:paraId="39B598BA" w14:textId="21BB9B97" w:rsidR="004E75FD" w:rsidRDefault="004E75FD" w:rsidP="00A031E6">
      <w:pPr>
        <w:pStyle w:val="ListParagraph"/>
      </w:pPr>
      <w:r>
        <w:t xml:space="preserve">As a result, the Panel finds that </w:t>
      </w:r>
      <w:r w:rsidR="00C74343">
        <w:t>NCA, in reviewing Endocare’s representations, did not breach the PSR regulations and in particular Regulation 12</w:t>
      </w:r>
      <w:r w:rsidR="00D51FAC">
        <w:t>(4)</w:t>
      </w:r>
      <w:r w:rsidR="00C74343">
        <w:t xml:space="preserve"> which </w:t>
      </w:r>
      <w:r w:rsidR="002727D2">
        <w:t xml:space="preserve">governs the conduct of </w:t>
      </w:r>
      <w:r w:rsidR="00EE3A3B">
        <w:t>commissioners’ reviews of representations by aggrieved providers.</w:t>
      </w:r>
    </w:p>
    <w:p w14:paraId="2E220411" w14:textId="1D7849B5" w:rsidR="008A234C" w:rsidRPr="00C31F0D" w:rsidRDefault="008A234C" w:rsidP="00016968">
      <w:pPr>
        <w:pStyle w:val="Heading1"/>
      </w:pPr>
      <w:bookmarkStart w:id="34" w:name="_Toc230780614"/>
      <w:r w:rsidRPr="00C31F0D">
        <w:t>Panel Advice</w:t>
      </w:r>
      <w:bookmarkEnd w:id="34"/>
    </w:p>
    <w:p w14:paraId="2523743E" w14:textId="58C16AEF" w:rsidR="008A234C" w:rsidRDefault="008A234C" w:rsidP="00A031E6">
      <w:pPr>
        <w:pStyle w:val="ListParagraph"/>
      </w:pPr>
      <w:r w:rsidRPr="008A234C">
        <w:t xml:space="preserve">In summary, the </w:t>
      </w:r>
      <w:r w:rsidRPr="00173BC8">
        <w:t>Panel’s</w:t>
      </w:r>
      <w:r w:rsidRPr="008A234C">
        <w:t xml:space="preserve"> findings</w:t>
      </w:r>
      <w:r w:rsidRPr="00173BC8">
        <w:t xml:space="preserve"> </w:t>
      </w:r>
      <w:r w:rsidRPr="008A234C">
        <w:t>on the provider selection process car</w:t>
      </w:r>
      <w:r w:rsidR="00AF7E9E">
        <w:t>r</w:t>
      </w:r>
      <w:r w:rsidRPr="008A234C">
        <w:t xml:space="preserve">ied out by </w:t>
      </w:r>
      <w:r w:rsidR="00C30098">
        <w:t xml:space="preserve">NCA </w:t>
      </w:r>
      <w:r w:rsidRPr="008A234C">
        <w:t xml:space="preserve">for </w:t>
      </w:r>
      <w:r w:rsidR="00C30098">
        <w:t xml:space="preserve">DDIS </w:t>
      </w:r>
      <w:r w:rsidRPr="008A234C">
        <w:t>are as follows:</w:t>
      </w:r>
    </w:p>
    <w:p w14:paraId="6DCF91F5" w14:textId="75A3C706" w:rsidR="00994D0E" w:rsidRDefault="00C30098" w:rsidP="00C30098">
      <w:pPr>
        <w:pStyle w:val="ListParagraph"/>
        <w:numPr>
          <w:ilvl w:val="0"/>
          <w:numId w:val="14"/>
        </w:numPr>
        <w:ind w:left="1276"/>
      </w:pPr>
      <w:r w:rsidRPr="00C30098">
        <w:t>First, t</w:t>
      </w:r>
      <w:r w:rsidR="00017E35" w:rsidRPr="00C30098">
        <w:t>he Panel finds that NCA, by not applying the scoring definitions set out in the tender documentation when evaluating bidders’ proposals, breached the PSR regulations and in particular Regulation 4 which obliges commissioners to act transparently and fairly and Regulation 11(5) which requires commissioner</w:t>
      </w:r>
      <w:r w:rsidR="00BC5051">
        <w:t>s</w:t>
      </w:r>
      <w:r w:rsidR="00017E35" w:rsidRPr="00C30098">
        <w:t xml:space="preserve"> to assess any offers received in accordance with the contract award criteria.</w:t>
      </w:r>
    </w:p>
    <w:p w14:paraId="28FC993F" w14:textId="6C62845D" w:rsidR="00ED2BA5" w:rsidRPr="00293A96" w:rsidRDefault="00ED2BA5" w:rsidP="00ED2BA5">
      <w:pPr>
        <w:pStyle w:val="ListParagraph"/>
        <w:numPr>
          <w:ilvl w:val="0"/>
          <w:numId w:val="14"/>
        </w:numPr>
        <w:ind w:left="1276"/>
        <w:rPr>
          <w:rFonts w:cs="Arial"/>
        </w:rPr>
      </w:pPr>
      <w:r>
        <w:t>Second, the Panel finds that NCA</w:t>
      </w:r>
      <w:r>
        <w:rPr>
          <w:rFonts w:cs="Arial"/>
        </w:rPr>
        <w:t xml:space="preserve">, in evaluating and scoring Endocare’s proposal, did not breach the PSR regulations as a result of failing to consider relevant evidence, </w:t>
      </w:r>
      <w:r w:rsidRPr="00087742">
        <w:rPr>
          <w:rFonts w:cs="Arial"/>
        </w:rPr>
        <w:t>and in particular Regulation 4 which obliges commissioners to act transparently and fairly and Regulation 11(5) which requires commissioner</w:t>
      </w:r>
      <w:r w:rsidR="00596AC8">
        <w:rPr>
          <w:rFonts w:cs="Arial"/>
        </w:rPr>
        <w:t>s</w:t>
      </w:r>
      <w:r w:rsidRPr="00087742">
        <w:rPr>
          <w:rFonts w:cs="Arial"/>
        </w:rPr>
        <w:t xml:space="preserve"> to assess any offers received in accordance with the contract award criteria.</w:t>
      </w:r>
    </w:p>
    <w:p w14:paraId="7D8FD05D" w14:textId="1A7CC485" w:rsidR="00ED2BA5" w:rsidRPr="00293A96" w:rsidRDefault="00ED2BA5" w:rsidP="00ED2BA5">
      <w:pPr>
        <w:pStyle w:val="ListParagraph"/>
        <w:numPr>
          <w:ilvl w:val="0"/>
          <w:numId w:val="14"/>
        </w:numPr>
        <w:ind w:left="1276"/>
        <w:rPr>
          <w:rFonts w:cs="Arial"/>
        </w:rPr>
      </w:pPr>
      <w:r>
        <w:rPr>
          <w:rFonts w:cs="Arial"/>
        </w:rPr>
        <w:t xml:space="preserve">Third, the Panel finds that NCA, in evaluating and scoring Endocare’s proposal, did not breach the PSR regulations as a result of relying on undisclosed criteria, </w:t>
      </w:r>
      <w:r w:rsidRPr="00087742">
        <w:rPr>
          <w:rFonts w:cs="Arial"/>
        </w:rPr>
        <w:t>and in particular Regulation 4 which obliges commissioners to act transparently and fairly and Regulation 11(5) which requires commissioner</w:t>
      </w:r>
      <w:r w:rsidR="00596AC8">
        <w:rPr>
          <w:rFonts w:cs="Arial"/>
        </w:rPr>
        <w:t>s</w:t>
      </w:r>
      <w:r w:rsidRPr="00087742">
        <w:rPr>
          <w:rFonts w:cs="Arial"/>
        </w:rPr>
        <w:t xml:space="preserve"> to assess any offers received in accordance with the contract award criteria.</w:t>
      </w:r>
    </w:p>
    <w:p w14:paraId="78CEF086" w14:textId="3F8BE8F9" w:rsidR="00087742" w:rsidRPr="00087742" w:rsidRDefault="00087742" w:rsidP="00087742">
      <w:pPr>
        <w:pStyle w:val="ListParagraph"/>
        <w:numPr>
          <w:ilvl w:val="0"/>
          <w:numId w:val="14"/>
        </w:numPr>
        <w:ind w:left="1276"/>
        <w:rPr>
          <w:rFonts w:cs="Arial"/>
        </w:rPr>
      </w:pPr>
      <w:r>
        <w:rPr>
          <w:rFonts w:cs="Arial"/>
        </w:rPr>
        <w:t xml:space="preserve">Fourth, </w:t>
      </w:r>
      <w:r w:rsidRPr="00087742">
        <w:rPr>
          <w:rFonts w:cs="Arial"/>
        </w:rPr>
        <w:t>the Panel finds that NCA, in seeking clarification and confirmation of bidders’ commercial offers, did not breach the PSR regulations and in particular Regulation 4 which obliges commissioners to act transparently and fairly and Regulation 11(5) which requires commissioner</w:t>
      </w:r>
      <w:r w:rsidR="00596AC8">
        <w:rPr>
          <w:rFonts w:cs="Arial"/>
        </w:rPr>
        <w:t>s</w:t>
      </w:r>
      <w:r w:rsidRPr="00087742">
        <w:rPr>
          <w:rFonts w:cs="Arial"/>
        </w:rPr>
        <w:t xml:space="preserve"> to assess any offers received in accordance with the contract award criteria.</w:t>
      </w:r>
    </w:p>
    <w:p w14:paraId="2CCED0E7" w14:textId="6F9510BF" w:rsidR="005B5333" w:rsidRPr="00C30098" w:rsidRDefault="005B5333" w:rsidP="00C30098">
      <w:pPr>
        <w:pStyle w:val="ListParagraph"/>
        <w:numPr>
          <w:ilvl w:val="0"/>
          <w:numId w:val="14"/>
        </w:numPr>
        <w:ind w:left="1276"/>
      </w:pPr>
      <w:r>
        <w:rPr>
          <w:rFonts w:cs="Arial"/>
        </w:rPr>
        <w:t xml:space="preserve">Finally, the Panel finds that </w:t>
      </w:r>
      <w:r w:rsidR="004026CB">
        <w:t>NCA, in reviewing Endocare’s representations, did not breach the PSR regulations and in particular Regulation 12(4) which governs the conduct of commissioners’ reviews of representations by aggrieved providers.</w:t>
      </w:r>
    </w:p>
    <w:p w14:paraId="767DDE48" w14:textId="0B6E12A2" w:rsidR="00CF70FF" w:rsidRPr="00BB14A2" w:rsidRDefault="00CF70FF" w:rsidP="00BB14A2">
      <w:pPr>
        <w:pStyle w:val="ListParagraph"/>
        <w:contextualSpacing/>
      </w:pPr>
      <w:r w:rsidRPr="00BB14A2">
        <w:t>Given these conclusions, three options are open to the Panel. The Panel may advise that:</w:t>
      </w:r>
    </w:p>
    <w:p w14:paraId="54FE638B" w14:textId="602242FC" w:rsidR="00CF70FF" w:rsidRPr="006C45D0" w:rsidRDefault="006C45D0" w:rsidP="006C45D0">
      <w:pPr>
        <w:pStyle w:val="ListParagraph"/>
        <w:numPr>
          <w:ilvl w:val="0"/>
          <w:numId w:val="15"/>
        </w:numPr>
        <w:spacing w:line="276" w:lineRule="auto"/>
        <w:ind w:left="1276" w:hanging="357"/>
        <w:contextualSpacing/>
      </w:pPr>
      <w:r>
        <w:t>t</w:t>
      </w:r>
      <w:r w:rsidR="00CF70FF" w:rsidRPr="00A0061C">
        <w:t xml:space="preserve">he </w:t>
      </w:r>
      <w:r w:rsidR="00CF70FF" w:rsidRPr="006C45D0">
        <w:t xml:space="preserve">breach had no material effect on </w:t>
      </w:r>
      <w:r>
        <w:t xml:space="preserve">NCA’s </w:t>
      </w:r>
      <w:r w:rsidR="00CF70FF" w:rsidRPr="006C45D0">
        <w:t>selection of a provider and it should proceed with awarding the contract as originally intended;</w:t>
      </w:r>
    </w:p>
    <w:p w14:paraId="4D42BFF5" w14:textId="0FA7DE4E" w:rsidR="00CF70FF" w:rsidRPr="006C45D0" w:rsidRDefault="006C45D0" w:rsidP="006C45D0">
      <w:pPr>
        <w:pStyle w:val="ListParagraph"/>
        <w:numPr>
          <w:ilvl w:val="0"/>
          <w:numId w:val="15"/>
        </w:numPr>
        <w:spacing w:line="276" w:lineRule="auto"/>
        <w:ind w:left="1276" w:hanging="357"/>
        <w:contextualSpacing/>
      </w:pPr>
      <w:r>
        <w:t>NCA</w:t>
      </w:r>
      <w:r w:rsidR="004F42F7" w:rsidRPr="006C45D0">
        <w:t xml:space="preserve"> should return to an earlier step in the provider selection process to recti</w:t>
      </w:r>
      <w:r w:rsidR="00A0061C">
        <w:t>f</w:t>
      </w:r>
      <w:r w:rsidR="004F42F7" w:rsidRPr="006C45D0">
        <w:t>y the issues identified by the Panel; or</w:t>
      </w:r>
    </w:p>
    <w:p w14:paraId="547F2AAE" w14:textId="2C0C9434" w:rsidR="004F42F7" w:rsidRPr="00A0061C" w:rsidRDefault="006C45D0" w:rsidP="006C45D0">
      <w:pPr>
        <w:pStyle w:val="ListParagraph"/>
        <w:numPr>
          <w:ilvl w:val="0"/>
          <w:numId w:val="15"/>
        </w:numPr>
        <w:spacing w:line="276" w:lineRule="auto"/>
        <w:ind w:left="1276" w:hanging="357"/>
      </w:pPr>
      <w:r>
        <w:lastRenderedPageBreak/>
        <w:t>NCA</w:t>
      </w:r>
      <w:r w:rsidR="004F42F7" w:rsidRPr="006C45D0">
        <w:t xml:space="preserve"> should </w:t>
      </w:r>
      <w:r w:rsidR="004F42F7" w:rsidRPr="00A0061C">
        <w:t>abandon the current provider selection process.</w:t>
      </w:r>
    </w:p>
    <w:p w14:paraId="7BD1D996" w14:textId="2DD6CC7B" w:rsidR="004F42F7" w:rsidRPr="00A0061C" w:rsidRDefault="00952F79" w:rsidP="00A031E6">
      <w:pPr>
        <w:pStyle w:val="ListParagraph"/>
      </w:pPr>
      <w:r w:rsidRPr="00A0061C">
        <w:t>The Panel’s view is that the breach</w:t>
      </w:r>
      <w:r w:rsidR="00C370F4">
        <w:t xml:space="preserve"> it has</w:t>
      </w:r>
      <w:r w:rsidRPr="00A0061C">
        <w:t xml:space="preserve"> identified </w:t>
      </w:r>
      <w:r w:rsidR="00C370F4">
        <w:t xml:space="preserve">is likely to </w:t>
      </w:r>
      <w:r w:rsidRPr="00A0061C">
        <w:t xml:space="preserve">have had a material effect on </w:t>
      </w:r>
      <w:r w:rsidR="00A617E5" w:rsidRPr="00A0061C">
        <w:t>NCA</w:t>
      </w:r>
      <w:r w:rsidRPr="00A0061C">
        <w:t xml:space="preserve">’s selection of a provider. </w:t>
      </w:r>
      <w:r w:rsidR="000138A4" w:rsidRPr="00173BC8">
        <w:t>That is, if</w:t>
      </w:r>
      <w:r w:rsidR="00F34F38" w:rsidRPr="00173BC8">
        <w:t xml:space="preserve"> NCA had complied with the </w:t>
      </w:r>
      <w:r w:rsidR="00A63BFC" w:rsidRPr="00173BC8">
        <w:t>PSR regulations</w:t>
      </w:r>
      <w:r w:rsidR="003E167B" w:rsidRPr="00173BC8">
        <w:t xml:space="preserve"> and correctly applied its </w:t>
      </w:r>
      <w:r w:rsidR="004C08FB" w:rsidRPr="00173BC8">
        <w:t>scoring methodology, then it</w:t>
      </w:r>
      <w:r w:rsidR="00A0061C">
        <w:t xml:space="preserve"> may have selected a different </w:t>
      </w:r>
      <w:r w:rsidR="004C08FB" w:rsidRPr="00173BC8">
        <w:t xml:space="preserve">provider </w:t>
      </w:r>
      <w:r w:rsidR="00A0061C">
        <w:t>as the successful bidder</w:t>
      </w:r>
      <w:r w:rsidR="004C08FB" w:rsidRPr="00173BC8">
        <w:t>.</w:t>
      </w:r>
    </w:p>
    <w:p w14:paraId="20FB57CB" w14:textId="303CA038" w:rsidR="00AB1E60" w:rsidRDefault="00952F79" w:rsidP="000F5A16">
      <w:pPr>
        <w:pStyle w:val="ListParagraph"/>
      </w:pPr>
      <w:r w:rsidRPr="00A0061C">
        <w:t xml:space="preserve">As a result, the Panel’s advice is that </w:t>
      </w:r>
      <w:r w:rsidR="00A617E5" w:rsidRPr="00A0061C">
        <w:t xml:space="preserve">NCA </w:t>
      </w:r>
      <w:r w:rsidRPr="00A0061C">
        <w:t xml:space="preserve">should return to an earlier step in the provider selection process to rectify the issues identified by the Panel. </w:t>
      </w:r>
      <w:r w:rsidR="005F515C" w:rsidRPr="00A0061C">
        <w:t xml:space="preserve">In particular, </w:t>
      </w:r>
      <w:r w:rsidR="00534DCE" w:rsidRPr="00A0061C">
        <w:t xml:space="preserve">the Panel advises NCA to, at a minimum, return to </w:t>
      </w:r>
      <w:r w:rsidR="0006505D" w:rsidRPr="00A0061C">
        <w:t xml:space="preserve">the </w:t>
      </w:r>
      <w:r w:rsidR="000C521B">
        <w:t xml:space="preserve">evaluation of bidders’ proposals and carry out a new evaluation and scoring </w:t>
      </w:r>
      <w:r w:rsidR="004F17F6">
        <w:t xml:space="preserve">of these proposals in accordance with </w:t>
      </w:r>
      <w:r w:rsidR="00A257A7">
        <w:t xml:space="preserve">the </w:t>
      </w:r>
      <w:r w:rsidR="00E22F02">
        <w:t>scoring definitions set out in the tender documentation.</w:t>
      </w:r>
    </w:p>
    <w:p w14:paraId="35788FB1" w14:textId="37D640A6" w:rsidR="007C533A" w:rsidRDefault="007C533A" w:rsidP="000F5A16">
      <w:pPr>
        <w:pStyle w:val="ListParagraph"/>
      </w:pPr>
      <w:r>
        <w:t xml:space="preserve">The Panel notes that </w:t>
      </w:r>
      <w:r w:rsidR="00C37951">
        <w:t>it is open to NCA to choose to return to an earlier stage of the provider selection process if</w:t>
      </w:r>
      <w:r w:rsidR="00847F8B">
        <w:t>, for example,</w:t>
      </w:r>
      <w:r w:rsidR="00C37951">
        <w:t xml:space="preserve"> it concludes that the complexity of the </w:t>
      </w:r>
      <w:r w:rsidR="004D1FE6">
        <w:t xml:space="preserve">definition for a score of 4 </w:t>
      </w:r>
      <w:r w:rsidR="00FB7FD9">
        <w:t>means that</w:t>
      </w:r>
      <w:r w:rsidR="009B52A3">
        <w:t>: (i) NCA</w:t>
      </w:r>
      <w:r w:rsidR="00FB7FD9">
        <w:t xml:space="preserve"> is unable to </w:t>
      </w:r>
      <w:r w:rsidR="006F60FC">
        <w:t>evaluate proposals in a manner that is consistent with</w:t>
      </w:r>
      <w:r w:rsidR="000008BA">
        <w:t xml:space="preserve"> </w:t>
      </w:r>
      <w:r w:rsidR="00954573">
        <w:t>this definition</w:t>
      </w:r>
      <w:r w:rsidR="00AF0D02">
        <w:t>; and/or (ii)</w:t>
      </w:r>
      <w:r w:rsidR="005866D6">
        <w:t xml:space="preserve"> </w:t>
      </w:r>
      <w:r w:rsidR="009D10BB">
        <w:t xml:space="preserve">NCA </w:t>
      </w:r>
      <w:r w:rsidR="005866D6">
        <w:t>believes</w:t>
      </w:r>
      <w:r w:rsidR="00AF0D02">
        <w:t xml:space="preserve"> </w:t>
      </w:r>
      <w:r w:rsidR="00B07629">
        <w:t xml:space="preserve">that </w:t>
      </w:r>
      <w:r w:rsidR="005578EF">
        <w:t xml:space="preserve">bidders’ understanding of the definition for a score of 4 was </w:t>
      </w:r>
      <w:r w:rsidR="00B07629">
        <w:t>sufficient</w:t>
      </w:r>
      <w:r w:rsidR="005578EF">
        <w:t>ly</w:t>
      </w:r>
      <w:r w:rsidR="00B07629">
        <w:t xml:space="preserve"> uncertain </w:t>
      </w:r>
      <w:r w:rsidR="002554B0">
        <w:t xml:space="preserve">that </w:t>
      </w:r>
      <w:r w:rsidR="00683E8E">
        <w:t xml:space="preserve">their proposals would have been </w:t>
      </w:r>
      <w:r w:rsidR="00DD255E">
        <w:t xml:space="preserve">materially </w:t>
      </w:r>
      <w:r w:rsidR="00683E8E">
        <w:t>d</w:t>
      </w:r>
      <w:r w:rsidR="0026737B">
        <w:t xml:space="preserve">ifferent had </w:t>
      </w:r>
      <w:r w:rsidR="004D3D9A">
        <w:t xml:space="preserve">there been </w:t>
      </w:r>
      <w:r w:rsidR="0026737B">
        <w:t>greater clarity.</w:t>
      </w:r>
    </w:p>
    <w:p w14:paraId="6C2AE869" w14:textId="77777777" w:rsidR="007362C3" w:rsidRDefault="007362C3" w:rsidP="00696C43"/>
    <w:sectPr w:rsidR="007362C3" w:rsidSect="0078667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02C0" w14:textId="77777777" w:rsidR="005F110E" w:rsidRDefault="005F110E" w:rsidP="006747EA">
      <w:pPr>
        <w:spacing w:after="0" w:line="240" w:lineRule="auto"/>
      </w:pPr>
      <w:r>
        <w:separator/>
      </w:r>
    </w:p>
  </w:endnote>
  <w:endnote w:type="continuationSeparator" w:id="0">
    <w:p w14:paraId="7DFDF623" w14:textId="77777777" w:rsidR="005F110E" w:rsidRDefault="005F110E" w:rsidP="0067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678137"/>
      <w:docPartObj>
        <w:docPartGallery w:val="Page Numbers (Bottom of Page)"/>
        <w:docPartUnique/>
      </w:docPartObj>
    </w:sdtPr>
    <w:sdtEndPr>
      <w:rPr>
        <w:noProof/>
      </w:rPr>
    </w:sdtEndPr>
    <w:sdtContent>
      <w:p w14:paraId="73112B74" w14:textId="0E1102A6" w:rsidR="00786670" w:rsidRDefault="007866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2F79AA" w14:textId="77777777" w:rsidR="00786670" w:rsidRDefault="00786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A19F8" w14:textId="77777777" w:rsidR="005F110E" w:rsidRDefault="005F110E" w:rsidP="006747EA">
      <w:pPr>
        <w:spacing w:after="0" w:line="240" w:lineRule="auto"/>
      </w:pPr>
      <w:r>
        <w:separator/>
      </w:r>
    </w:p>
  </w:footnote>
  <w:footnote w:type="continuationSeparator" w:id="0">
    <w:p w14:paraId="78456C45" w14:textId="77777777" w:rsidR="005F110E" w:rsidRDefault="005F110E" w:rsidP="006747EA">
      <w:pPr>
        <w:spacing w:after="0" w:line="240" w:lineRule="auto"/>
      </w:pPr>
      <w:r>
        <w:continuationSeparator/>
      </w:r>
    </w:p>
  </w:footnote>
  <w:footnote w:id="1">
    <w:p w14:paraId="6320AB2E" w14:textId="5DEE7FB4" w:rsidR="00D479ED" w:rsidRPr="00250B3D" w:rsidRDefault="00D479ED">
      <w:pPr>
        <w:pStyle w:val="FootnoteText"/>
        <w:rPr>
          <w:sz w:val="16"/>
          <w:szCs w:val="16"/>
        </w:rPr>
      </w:pPr>
      <w:r w:rsidRPr="00250B3D">
        <w:rPr>
          <w:rStyle w:val="FootnoteReference"/>
          <w:sz w:val="16"/>
          <w:szCs w:val="16"/>
        </w:rPr>
        <w:footnoteRef/>
      </w:r>
      <w:r w:rsidRPr="00250B3D">
        <w:rPr>
          <w:sz w:val="16"/>
          <w:szCs w:val="16"/>
        </w:rPr>
        <w:t xml:space="preserve"> </w:t>
      </w:r>
      <w:r w:rsidR="00A860A0" w:rsidRPr="00250B3D">
        <w:rPr>
          <w:sz w:val="16"/>
          <w:szCs w:val="16"/>
        </w:rPr>
        <w:t>Endocare</w:t>
      </w:r>
      <w:r w:rsidR="00247869" w:rsidRPr="00250B3D">
        <w:rPr>
          <w:sz w:val="16"/>
          <w:szCs w:val="16"/>
        </w:rPr>
        <w:t xml:space="preserve"> is </w:t>
      </w:r>
      <w:r w:rsidR="00633CD0" w:rsidRPr="00250B3D">
        <w:rPr>
          <w:sz w:val="16"/>
          <w:szCs w:val="16"/>
        </w:rPr>
        <w:t xml:space="preserve">a provider of </w:t>
      </w:r>
      <w:r w:rsidR="00EC2DE6" w:rsidRPr="00250B3D">
        <w:rPr>
          <w:sz w:val="16"/>
          <w:szCs w:val="16"/>
        </w:rPr>
        <w:t xml:space="preserve">NHS </w:t>
      </w:r>
      <w:r w:rsidR="000252CD" w:rsidRPr="00250B3D">
        <w:rPr>
          <w:sz w:val="16"/>
          <w:szCs w:val="16"/>
        </w:rPr>
        <w:t>c</w:t>
      </w:r>
      <w:r w:rsidR="00EC2DE6" w:rsidRPr="00250B3D">
        <w:rPr>
          <w:sz w:val="16"/>
          <w:szCs w:val="16"/>
        </w:rPr>
        <w:t xml:space="preserve">ommunity </w:t>
      </w:r>
      <w:r w:rsidR="000252CD" w:rsidRPr="00250B3D">
        <w:rPr>
          <w:sz w:val="16"/>
          <w:szCs w:val="16"/>
        </w:rPr>
        <w:t>g</w:t>
      </w:r>
      <w:r w:rsidR="00EC2DE6" w:rsidRPr="00250B3D">
        <w:rPr>
          <w:sz w:val="16"/>
          <w:szCs w:val="16"/>
        </w:rPr>
        <w:t>astroenterology services</w:t>
      </w:r>
      <w:r w:rsidR="000252CD" w:rsidRPr="00250B3D">
        <w:rPr>
          <w:sz w:val="16"/>
          <w:szCs w:val="16"/>
        </w:rPr>
        <w:t>, including insourcing services</w:t>
      </w:r>
      <w:r w:rsidR="002741FC" w:rsidRPr="00250B3D">
        <w:rPr>
          <w:sz w:val="16"/>
          <w:szCs w:val="16"/>
        </w:rPr>
        <w:t xml:space="preserve">. </w:t>
      </w:r>
      <w:r w:rsidR="00247869" w:rsidRPr="00250B3D">
        <w:rPr>
          <w:sz w:val="16"/>
          <w:szCs w:val="16"/>
        </w:rPr>
        <w:t>Further information can be found on its website</w:t>
      </w:r>
      <w:r w:rsidR="00A01283" w:rsidRPr="00250B3D">
        <w:rPr>
          <w:sz w:val="16"/>
          <w:szCs w:val="16"/>
        </w:rPr>
        <w:t xml:space="preserve"> at</w:t>
      </w:r>
      <w:r w:rsidR="00247869" w:rsidRPr="00250B3D">
        <w:rPr>
          <w:sz w:val="16"/>
          <w:szCs w:val="16"/>
        </w:rPr>
        <w:t xml:space="preserve"> </w:t>
      </w:r>
      <w:hyperlink r:id="rId1" w:history="1">
        <w:r w:rsidR="004934F0" w:rsidRPr="00250B3D">
          <w:rPr>
            <w:rStyle w:val="Hyperlink"/>
            <w:sz w:val="16"/>
            <w:szCs w:val="16"/>
          </w:rPr>
          <w:t>https://www.endocare-diagnostics.co.uk/</w:t>
        </w:r>
      </w:hyperlink>
      <w:r w:rsidR="004934F0" w:rsidRPr="00250B3D">
        <w:rPr>
          <w:sz w:val="16"/>
          <w:szCs w:val="16"/>
        </w:rPr>
        <w:t xml:space="preserve">. </w:t>
      </w:r>
    </w:p>
  </w:footnote>
  <w:footnote w:id="2">
    <w:p w14:paraId="657F246D" w14:textId="556011C3" w:rsidR="00B15330" w:rsidRPr="00250B3D" w:rsidRDefault="00B15330">
      <w:pPr>
        <w:pStyle w:val="FootnoteText"/>
        <w:rPr>
          <w:sz w:val="16"/>
          <w:szCs w:val="16"/>
        </w:rPr>
      </w:pPr>
      <w:r w:rsidRPr="00250B3D">
        <w:rPr>
          <w:rStyle w:val="FootnoteReference"/>
          <w:sz w:val="16"/>
          <w:szCs w:val="16"/>
        </w:rPr>
        <w:footnoteRef/>
      </w:r>
      <w:r w:rsidRPr="00250B3D">
        <w:rPr>
          <w:sz w:val="16"/>
          <w:szCs w:val="16"/>
        </w:rPr>
        <w:t xml:space="preserve"> NCA </w:t>
      </w:r>
      <w:r w:rsidR="00716272">
        <w:rPr>
          <w:sz w:val="16"/>
          <w:szCs w:val="16"/>
        </w:rPr>
        <w:t>provides</w:t>
      </w:r>
      <w:r w:rsidR="00876318" w:rsidRPr="00250B3D">
        <w:rPr>
          <w:sz w:val="16"/>
          <w:szCs w:val="16"/>
        </w:rPr>
        <w:t xml:space="preserve"> health care ser</w:t>
      </w:r>
      <w:r w:rsidR="00692BAF" w:rsidRPr="00250B3D">
        <w:rPr>
          <w:sz w:val="16"/>
          <w:szCs w:val="16"/>
        </w:rPr>
        <w:t xml:space="preserve">vices </w:t>
      </w:r>
      <w:r w:rsidR="008F3B7F" w:rsidRPr="00250B3D">
        <w:rPr>
          <w:sz w:val="16"/>
          <w:szCs w:val="16"/>
        </w:rPr>
        <w:t>to the population of</w:t>
      </w:r>
      <w:r w:rsidR="00D64FE7" w:rsidRPr="00250B3D">
        <w:rPr>
          <w:sz w:val="16"/>
          <w:szCs w:val="16"/>
        </w:rPr>
        <w:t xml:space="preserve"> </w:t>
      </w:r>
      <w:r w:rsidR="00692BAF" w:rsidRPr="00250B3D">
        <w:rPr>
          <w:sz w:val="16"/>
          <w:szCs w:val="16"/>
        </w:rPr>
        <w:t>Salford, Oldham, Rochdale and Bury</w:t>
      </w:r>
      <w:r w:rsidR="00D64FE7" w:rsidRPr="00250B3D">
        <w:rPr>
          <w:sz w:val="16"/>
          <w:szCs w:val="16"/>
        </w:rPr>
        <w:t xml:space="preserve">, </w:t>
      </w:r>
      <w:r w:rsidR="008F3B7F" w:rsidRPr="00250B3D">
        <w:rPr>
          <w:sz w:val="16"/>
          <w:szCs w:val="16"/>
        </w:rPr>
        <w:t>as well as specialist services to patients from Greater Manchester and beyond</w:t>
      </w:r>
      <w:r w:rsidR="00876318" w:rsidRPr="00250B3D">
        <w:rPr>
          <w:sz w:val="16"/>
          <w:szCs w:val="16"/>
        </w:rPr>
        <w:t>.</w:t>
      </w:r>
      <w:r w:rsidRPr="00250B3D">
        <w:rPr>
          <w:sz w:val="16"/>
          <w:szCs w:val="16"/>
        </w:rPr>
        <w:t xml:space="preserve"> </w:t>
      </w:r>
      <w:r w:rsidR="004934F0" w:rsidRPr="00250B3D">
        <w:rPr>
          <w:sz w:val="16"/>
          <w:szCs w:val="16"/>
        </w:rPr>
        <w:t>Further information can be found on its website at</w:t>
      </w:r>
      <w:r w:rsidR="00A01283" w:rsidRPr="00250B3D">
        <w:rPr>
          <w:sz w:val="16"/>
          <w:szCs w:val="16"/>
        </w:rPr>
        <w:t xml:space="preserve"> </w:t>
      </w:r>
      <w:hyperlink r:id="rId2" w:history="1">
        <w:r w:rsidR="00A01283" w:rsidRPr="00250B3D">
          <w:rPr>
            <w:rStyle w:val="Hyperlink"/>
            <w:sz w:val="16"/>
            <w:szCs w:val="16"/>
          </w:rPr>
          <w:t>https://www.northerncarealliance.nhs.uk/</w:t>
        </w:r>
      </w:hyperlink>
      <w:r w:rsidR="00A01283" w:rsidRPr="00250B3D">
        <w:rPr>
          <w:sz w:val="16"/>
          <w:szCs w:val="16"/>
        </w:rPr>
        <w:t xml:space="preserve">. </w:t>
      </w:r>
    </w:p>
  </w:footnote>
  <w:footnote w:id="3">
    <w:p w14:paraId="4C0F1504" w14:textId="4473EC9B" w:rsidR="00D807E3" w:rsidRPr="00250B3D" w:rsidRDefault="00D807E3" w:rsidP="00D807E3">
      <w:pPr>
        <w:pStyle w:val="FootnoteText"/>
        <w:rPr>
          <w:sz w:val="16"/>
          <w:szCs w:val="16"/>
        </w:rPr>
      </w:pPr>
      <w:r w:rsidRPr="00250B3D">
        <w:rPr>
          <w:rStyle w:val="FootnoteReference"/>
          <w:sz w:val="16"/>
          <w:szCs w:val="16"/>
        </w:rPr>
        <w:footnoteRef/>
      </w:r>
      <w:r w:rsidRPr="00250B3D">
        <w:rPr>
          <w:sz w:val="16"/>
          <w:szCs w:val="16"/>
        </w:rPr>
        <w:t xml:space="preserve"> </w:t>
      </w:r>
      <w:r w:rsidR="007F37D7" w:rsidRPr="007F37D7">
        <w:rPr>
          <w:sz w:val="16"/>
          <w:szCs w:val="16"/>
        </w:rPr>
        <w:t>The PSR regulations, issued under the Health and Care Act 2022, are formally known as the Health Care Services (Provider Selection Regime) Regulations 2023.</w:t>
      </w:r>
    </w:p>
  </w:footnote>
  <w:footnote w:id="4">
    <w:p w14:paraId="09F78BC9" w14:textId="1959AC81" w:rsidR="002632D1" w:rsidRPr="00EA09A9" w:rsidRDefault="002632D1">
      <w:pPr>
        <w:pStyle w:val="FootnoteText"/>
        <w:rPr>
          <w:sz w:val="16"/>
          <w:szCs w:val="16"/>
        </w:rPr>
      </w:pPr>
      <w:r w:rsidRPr="00250B3D">
        <w:rPr>
          <w:rStyle w:val="FootnoteReference"/>
          <w:sz w:val="16"/>
          <w:szCs w:val="16"/>
        </w:rPr>
        <w:footnoteRef/>
      </w:r>
      <w:r w:rsidRPr="00250B3D">
        <w:rPr>
          <w:sz w:val="16"/>
          <w:szCs w:val="16"/>
        </w:rPr>
        <w:t xml:space="preserve"> </w:t>
      </w:r>
      <w:r w:rsidR="00AE0D32" w:rsidRPr="00250B3D">
        <w:rPr>
          <w:sz w:val="16"/>
          <w:szCs w:val="16"/>
        </w:rPr>
        <w:t>North of England NHS Commercial Procurement Collaborative</w:t>
      </w:r>
      <w:r w:rsidR="00DB55C2" w:rsidRPr="00250B3D">
        <w:rPr>
          <w:sz w:val="16"/>
          <w:szCs w:val="16"/>
        </w:rPr>
        <w:t xml:space="preserve"> (NO</w:t>
      </w:r>
      <w:r w:rsidR="00413BA5">
        <w:rPr>
          <w:sz w:val="16"/>
          <w:szCs w:val="16"/>
        </w:rPr>
        <w:t>E</w:t>
      </w:r>
      <w:r w:rsidR="00DB55C2" w:rsidRPr="00250B3D">
        <w:rPr>
          <w:sz w:val="16"/>
          <w:szCs w:val="16"/>
        </w:rPr>
        <w:t xml:space="preserve"> CPC), </w:t>
      </w:r>
      <w:r w:rsidR="00DB55C2" w:rsidRPr="00250B3D">
        <w:rPr>
          <w:i/>
          <w:iCs/>
          <w:sz w:val="16"/>
          <w:szCs w:val="16"/>
        </w:rPr>
        <w:t xml:space="preserve">NHS Workforce Alliance Framework </w:t>
      </w:r>
      <w:r w:rsidR="00EA09A9" w:rsidRPr="00250B3D">
        <w:rPr>
          <w:i/>
          <w:iCs/>
          <w:sz w:val="16"/>
          <w:szCs w:val="16"/>
        </w:rPr>
        <w:t xml:space="preserve">Agreement RM6276 – Insourced Services to support the provision of Healthcare Services, Contract Notice </w:t>
      </w:r>
      <w:r w:rsidR="00EA09A9" w:rsidRPr="00250B3D">
        <w:rPr>
          <w:sz w:val="16"/>
          <w:szCs w:val="16"/>
        </w:rPr>
        <w:t>on</w:t>
      </w:r>
      <w:r w:rsidR="00EA09A9" w:rsidRPr="00250B3D">
        <w:rPr>
          <w:i/>
          <w:iCs/>
          <w:sz w:val="16"/>
          <w:szCs w:val="16"/>
        </w:rPr>
        <w:t xml:space="preserve"> Find a Tender Service (FTS),</w:t>
      </w:r>
      <w:r w:rsidR="00EA09A9" w:rsidRPr="00250B3D">
        <w:rPr>
          <w:sz w:val="16"/>
          <w:szCs w:val="16"/>
        </w:rPr>
        <w:t xml:space="preserve"> 19 July 2021.</w:t>
      </w:r>
    </w:p>
  </w:footnote>
  <w:footnote w:id="5">
    <w:p w14:paraId="4CD568E9" w14:textId="6FEAACD5" w:rsidR="00280B4D" w:rsidRDefault="00280B4D">
      <w:pPr>
        <w:pStyle w:val="FootnoteText"/>
      </w:pPr>
      <w:r w:rsidRPr="001568C4">
        <w:rPr>
          <w:rStyle w:val="FootnoteReference"/>
          <w:sz w:val="16"/>
          <w:szCs w:val="16"/>
        </w:rPr>
        <w:footnoteRef/>
      </w:r>
      <w:r>
        <w:t xml:space="preserve"> </w:t>
      </w:r>
      <w:r w:rsidR="00247869" w:rsidRPr="00166E81">
        <w:rPr>
          <w:sz w:val="16"/>
          <w:szCs w:val="16"/>
        </w:rPr>
        <w:t>The Panel</w:t>
      </w:r>
      <w:r w:rsidR="007477B3" w:rsidRPr="00166E81">
        <w:rPr>
          <w:sz w:val="16"/>
          <w:szCs w:val="16"/>
        </w:rPr>
        <w:t>’s case acceptance criteria are available at</w:t>
      </w:r>
      <w:r w:rsidR="00166E81" w:rsidRPr="00166E81">
        <w:rPr>
          <w:sz w:val="16"/>
          <w:szCs w:val="16"/>
        </w:rPr>
        <w:t xml:space="preserve"> </w:t>
      </w:r>
      <w:hyperlink r:id="rId3" w:history="1">
        <w:r w:rsidR="00166E81" w:rsidRPr="00A43E28">
          <w:rPr>
            <w:rStyle w:val="Hyperlink"/>
            <w:sz w:val="16"/>
            <w:szCs w:val="16"/>
          </w:rPr>
          <w:t>https://www.england.nhs.uk/commissioning/how-commissioning-is-changing/nhs-provider-selection-regime/independent-patient-choice-and-procurement-panel/</w:t>
        </w:r>
      </w:hyperlink>
      <w:r w:rsidR="007477B3">
        <w:t xml:space="preserve"> </w:t>
      </w:r>
    </w:p>
  </w:footnote>
  <w:footnote w:id="6">
    <w:p w14:paraId="08EC03A1" w14:textId="50A3E790" w:rsidR="00C1535C" w:rsidRPr="0097748A" w:rsidRDefault="00C1535C">
      <w:pPr>
        <w:pStyle w:val="FootnoteText"/>
        <w:rPr>
          <w:sz w:val="16"/>
          <w:szCs w:val="16"/>
        </w:rPr>
      </w:pPr>
      <w:r w:rsidRPr="0097748A">
        <w:rPr>
          <w:rStyle w:val="FootnoteReference"/>
          <w:sz w:val="16"/>
          <w:szCs w:val="16"/>
        </w:rPr>
        <w:footnoteRef/>
      </w:r>
      <w:r w:rsidRPr="0097748A">
        <w:rPr>
          <w:sz w:val="16"/>
          <w:szCs w:val="16"/>
        </w:rPr>
        <w:t xml:space="preserve"> The Case Panel </w:t>
      </w:r>
      <w:r w:rsidR="00AA653C" w:rsidRPr="0097748A">
        <w:rPr>
          <w:sz w:val="16"/>
          <w:szCs w:val="16"/>
        </w:rPr>
        <w:t xml:space="preserve">acts on behalf of the </w:t>
      </w:r>
      <w:r w:rsidR="00143D21" w:rsidRPr="0097748A">
        <w:rPr>
          <w:sz w:val="16"/>
          <w:szCs w:val="16"/>
        </w:rPr>
        <w:t>Panel</w:t>
      </w:r>
      <w:r w:rsidR="00143D21">
        <w:rPr>
          <w:sz w:val="16"/>
          <w:szCs w:val="16"/>
        </w:rPr>
        <w:t xml:space="preserve"> and</w:t>
      </w:r>
      <w:r w:rsidR="008F1ED3" w:rsidRPr="0097748A">
        <w:rPr>
          <w:sz w:val="16"/>
          <w:szCs w:val="16"/>
        </w:rPr>
        <w:t xml:space="preserve"> is </w:t>
      </w:r>
      <w:r w:rsidR="0097748A" w:rsidRPr="0097748A">
        <w:rPr>
          <w:sz w:val="16"/>
          <w:szCs w:val="16"/>
        </w:rPr>
        <w:t xml:space="preserve">referred to as “the Panel” </w:t>
      </w:r>
      <w:r w:rsidR="008F1ED3" w:rsidRPr="0097748A">
        <w:rPr>
          <w:sz w:val="16"/>
          <w:szCs w:val="16"/>
        </w:rPr>
        <w:t>throughout th</w:t>
      </w:r>
      <w:r w:rsidR="00143D21">
        <w:rPr>
          <w:sz w:val="16"/>
          <w:szCs w:val="16"/>
        </w:rPr>
        <w:t>is</w:t>
      </w:r>
      <w:r w:rsidR="008F1ED3" w:rsidRPr="0097748A">
        <w:rPr>
          <w:sz w:val="16"/>
          <w:szCs w:val="16"/>
        </w:rPr>
        <w:t xml:space="preserve"> report</w:t>
      </w:r>
      <w:r w:rsidR="0097748A" w:rsidRPr="0097748A">
        <w:rPr>
          <w:sz w:val="16"/>
          <w:szCs w:val="16"/>
        </w:rPr>
        <w:t>.</w:t>
      </w:r>
      <w:r w:rsidR="00AA653C" w:rsidRPr="0097748A">
        <w:rPr>
          <w:sz w:val="16"/>
          <w:szCs w:val="16"/>
        </w:rPr>
        <w:t xml:space="preserve"> </w:t>
      </w:r>
    </w:p>
  </w:footnote>
  <w:footnote w:id="7">
    <w:p w14:paraId="77F1ECFB" w14:textId="5066DE5F" w:rsidR="008E4F6C" w:rsidRPr="003B4728" w:rsidRDefault="008E4F6C">
      <w:pPr>
        <w:pStyle w:val="FootnoteText"/>
        <w:rPr>
          <w:sz w:val="16"/>
          <w:szCs w:val="16"/>
        </w:rPr>
      </w:pPr>
      <w:r w:rsidRPr="003B4728">
        <w:rPr>
          <w:rStyle w:val="FootnoteReference"/>
          <w:sz w:val="16"/>
          <w:szCs w:val="16"/>
        </w:rPr>
        <w:footnoteRef/>
      </w:r>
      <w:r w:rsidRPr="003B4728">
        <w:rPr>
          <w:sz w:val="16"/>
          <w:szCs w:val="16"/>
        </w:rPr>
        <w:t xml:space="preserve"> </w:t>
      </w:r>
      <w:r w:rsidR="00144436">
        <w:rPr>
          <w:sz w:val="16"/>
          <w:szCs w:val="16"/>
        </w:rPr>
        <w:t xml:space="preserve">Biographies of Panel members are available at </w:t>
      </w:r>
      <w:hyperlink r:id="rId4" w:history="1">
        <w:r w:rsidR="00710393" w:rsidRPr="00710393">
          <w:rPr>
            <w:rStyle w:val="Hyperlink"/>
            <w:sz w:val="16"/>
            <w:szCs w:val="16"/>
          </w:rPr>
          <w:t>https://www.england.nhs.uk/commissioning/how-commissioning-is-changing/nhs-provider-selection-regime/independent-patient-choice-and-procurement-panel/panel-members/</w:t>
        </w:r>
      </w:hyperlink>
    </w:p>
  </w:footnote>
  <w:footnote w:id="8">
    <w:p w14:paraId="2D0316B2" w14:textId="7F1173A2" w:rsidR="00EB3A9D" w:rsidRPr="00250B3D" w:rsidRDefault="00EB3A9D">
      <w:pPr>
        <w:pStyle w:val="FootnoteText"/>
        <w:rPr>
          <w:sz w:val="16"/>
          <w:szCs w:val="16"/>
        </w:rPr>
      </w:pPr>
      <w:r w:rsidRPr="003B4728">
        <w:rPr>
          <w:rStyle w:val="FootnoteReference"/>
          <w:sz w:val="16"/>
          <w:szCs w:val="16"/>
        </w:rPr>
        <w:footnoteRef/>
      </w:r>
      <w:r w:rsidRPr="003B4728">
        <w:rPr>
          <w:sz w:val="16"/>
          <w:szCs w:val="16"/>
        </w:rPr>
        <w:t xml:space="preserve"> </w:t>
      </w:r>
      <w:r w:rsidR="00144436">
        <w:rPr>
          <w:sz w:val="16"/>
          <w:szCs w:val="16"/>
        </w:rPr>
        <w:t xml:space="preserve">The Panel’s Standard Operating Procedures are available at </w:t>
      </w:r>
      <w:hyperlink r:id="rId5" w:history="1">
        <w:r w:rsidR="003D02FD" w:rsidRPr="00250B3D">
          <w:rPr>
            <w:rStyle w:val="Hyperlink"/>
            <w:sz w:val="16"/>
            <w:szCs w:val="16"/>
          </w:rPr>
          <w:t>https://www.england.nhs.uk/commissioning/how-commissioning-is-changing/nhs-provider-selection-regime/independent-patient-choice-and-procurement-panel/</w:t>
        </w:r>
      </w:hyperlink>
      <w:r w:rsidR="003D02FD" w:rsidRPr="00250B3D">
        <w:rPr>
          <w:sz w:val="16"/>
          <w:szCs w:val="16"/>
        </w:rPr>
        <w:t xml:space="preserve"> </w:t>
      </w:r>
    </w:p>
  </w:footnote>
  <w:footnote w:id="9">
    <w:p w14:paraId="4479D9F5" w14:textId="4FAB547D" w:rsidR="00F85E6F" w:rsidRPr="00250B3D" w:rsidRDefault="00F85E6F">
      <w:pPr>
        <w:pStyle w:val="FootnoteText"/>
        <w:rPr>
          <w:sz w:val="16"/>
          <w:szCs w:val="16"/>
        </w:rPr>
      </w:pPr>
      <w:r w:rsidRPr="00250B3D">
        <w:rPr>
          <w:rStyle w:val="FootnoteReference"/>
          <w:sz w:val="16"/>
          <w:szCs w:val="16"/>
        </w:rPr>
        <w:footnoteRef/>
      </w:r>
      <w:r w:rsidRPr="00250B3D">
        <w:rPr>
          <w:sz w:val="16"/>
          <w:szCs w:val="16"/>
        </w:rPr>
        <w:t xml:space="preserve"> </w:t>
      </w:r>
      <w:r w:rsidR="003D6F82" w:rsidRPr="00250B3D">
        <w:rPr>
          <w:sz w:val="16"/>
          <w:szCs w:val="16"/>
        </w:rPr>
        <w:t xml:space="preserve">The Panel’s advice is provided under paragraph 23 of the PSR Regulations and takes account of the representations made to the Panel prior to forming its opinion. </w:t>
      </w:r>
    </w:p>
  </w:footnote>
  <w:footnote w:id="10">
    <w:p w14:paraId="0786CFC3" w14:textId="2DB86AF5" w:rsidR="002B7715" w:rsidRPr="0017781A" w:rsidRDefault="002B7715">
      <w:pPr>
        <w:pStyle w:val="FootnoteText"/>
        <w:rPr>
          <w:sz w:val="16"/>
          <w:szCs w:val="16"/>
        </w:rPr>
      </w:pPr>
      <w:r w:rsidRPr="00250B3D">
        <w:rPr>
          <w:rStyle w:val="FootnoteReference"/>
          <w:sz w:val="16"/>
          <w:szCs w:val="16"/>
        </w:rPr>
        <w:footnoteRef/>
      </w:r>
      <w:r w:rsidRPr="00250B3D">
        <w:rPr>
          <w:sz w:val="16"/>
          <w:szCs w:val="16"/>
        </w:rPr>
        <w:t xml:space="preserve"> </w:t>
      </w:r>
      <w:r w:rsidR="0017781A" w:rsidRPr="00250B3D">
        <w:rPr>
          <w:sz w:val="16"/>
          <w:szCs w:val="16"/>
        </w:rPr>
        <w:t xml:space="preserve">The PSR Regulations are available at </w:t>
      </w:r>
      <w:hyperlink r:id="rId6" w:history="1">
        <w:r w:rsidR="0017781A" w:rsidRPr="00250B3D">
          <w:rPr>
            <w:rStyle w:val="Hyperlink"/>
            <w:sz w:val="16"/>
            <w:szCs w:val="16"/>
          </w:rPr>
          <w:t>https://www.legislation.gov.uk/uksi/2023/1348/contents/made</w:t>
        </w:r>
      </w:hyperlink>
      <w:r w:rsidR="0017781A" w:rsidRPr="00250B3D">
        <w:rPr>
          <w:sz w:val="16"/>
          <w:szCs w:val="16"/>
        </w:rPr>
        <w:t xml:space="preserve"> and the accompanying statutory</w:t>
      </w:r>
      <w:r w:rsidR="0017781A" w:rsidRPr="003475C7">
        <w:rPr>
          <w:sz w:val="16"/>
          <w:szCs w:val="16"/>
        </w:rPr>
        <w:t xml:space="preserve"> guidance is available at NHS England, </w:t>
      </w:r>
      <w:r w:rsidR="0017781A" w:rsidRPr="003475C7">
        <w:rPr>
          <w:i/>
          <w:iCs/>
          <w:sz w:val="16"/>
          <w:szCs w:val="16"/>
        </w:rPr>
        <w:t>The Provider Selection Regime: statutory guidance</w:t>
      </w:r>
      <w:r w:rsidR="0017781A" w:rsidRPr="003475C7">
        <w:rPr>
          <w:sz w:val="16"/>
          <w:szCs w:val="16"/>
        </w:rPr>
        <w:t xml:space="preserve">, </w:t>
      </w:r>
      <w:hyperlink r:id="rId7" w:history="1">
        <w:r w:rsidR="0017781A" w:rsidRPr="003475C7">
          <w:rPr>
            <w:rStyle w:val="Hyperlink"/>
            <w:sz w:val="16"/>
            <w:szCs w:val="16"/>
          </w:rPr>
          <w:t>https://www.england.nhs.uk/long-read/the-provider-selection-regime-statutory-guidance/</w:t>
        </w:r>
      </w:hyperlink>
      <w:r w:rsidR="0017781A" w:rsidRPr="003475C7">
        <w:rPr>
          <w:sz w:val="16"/>
          <w:szCs w:val="16"/>
        </w:rPr>
        <w:t xml:space="preserve"> </w:t>
      </w:r>
    </w:p>
  </w:footnote>
  <w:footnote w:id="11">
    <w:p w14:paraId="3C39B894" w14:textId="69CB1960" w:rsidR="00060828" w:rsidRPr="00D557B6" w:rsidRDefault="00060828">
      <w:pPr>
        <w:pStyle w:val="FootnoteText"/>
        <w:rPr>
          <w:sz w:val="16"/>
          <w:szCs w:val="16"/>
        </w:rPr>
      </w:pPr>
      <w:r w:rsidRPr="00D557B6">
        <w:rPr>
          <w:rStyle w:val="FootnoteReference"/>
          <w:sz w:val="16"/>
          <w:szCs w:val="16"/>
        </w:rPr>
        <w:footnoteRef/>
      </w:r>
      <w:r w:rsidRPr="00D557B6">
        <w:rPr>
          <w:sz w:val="16"/>
          <w:szCs w:val="16"/>
        </w:rPr>
        <w:t xml:space="preserve"> The Panel recently reviewed a </w:t>
      </w:r>
      <w:r w:rsidR="002F6AC7" w:rsidRPr="00D557B6">
        <w:rPr>
          <w:sz w:val="16"/>
          <w:szCs w:val="16"/>
        </w:rPr>
        <w:t>contract award decision for insourced services</w:t>
      </w:r>
      <w:r w:rsidR="00556488">
        <w:rPr>
          <w:sz w:val="16"/>
          <w:szCs w:val="16"/>
        </w:rPr>
        <w:t xml:space="preserve">: </w:t>
      </w:r>
      <w:r w:rsidR="00556488" w:rsidRPr="00556488">
        <w:rPr>
          <w:sz w:val="16"/>
          <w:szCs w:val="16"/>
        </w:rPr>
        <w:t xml:space="preserve">IPCPP, </w:t>
      </w:r>
      <w:r w:rsidR="00556488" w:rsidRPr="00556488">
        <w:rPr>
          <w:i/>
          <w:iCs/>
          <w:sz w:val="16"/>
          <w:szCs w:val="16"/>
        </w:rPr>
        <w:t>Insourced Services in Leicester (CR0031-25)</w:t>
      </w:r>
      <w:r w:rsidR="00556488" w:rsidRPr="00556488">
        <w:rPr>
          <w:sz w:val="16"/>
          <w:szCs w:val="16"/>
        </w:rPr>
        <w:t>, 21 January 2026.</w:t>
      </w:r>
    </w:p>
  </w:footnote>
  <w:footnote w:id="12">
    <w:p w14:paraId="1B4605FC" w14:textId="7E478A38" w:rsidR="00FA57EE" w:rsidRPr="00403C0C" w:rsidRDefault="00FA57EE">
      <w:pPr>
        <w:pStyle w:val="FootnoteText"/>
        <w:rPr>
          <w:sz w:val="16"/>
          <w:szCs w:val="16"/>
        </w:rPr>
      </w:pPr>
      <w:r w:rsidRPr="00403C0C">
        <w:rPr>
          <w:rStyle w:val="FootnoteReference"/>
          <w:sz w:val="16"/>
          <w:szCs w:val="16"/>
        </w:rPr>
        <w:footnoteRef/>
      </w:r>
      <w:r w:rsidRPr="00403C0C">
        <w:rPr>
          <w:sz w:val="16"/>
          <w:szCs w:val="16"/>
        </w:rPr>
        <w:t xml:space="preserve"> NCA, </w:t>
      </w:r>
      <w:r w:rsidR="00403C0C" w:rsidRPr="005E5030">
        <w:rPr>
          <w:i/>
          <w:iCs/>
          <w:sz w:val="16"/>
          <w:szCs w:val="16"/>
        </w:rPr>
        <w:t>Schedule A</w:t>
      </w:r>
      <w:r w:rsidR="005E5030" w:rsidRPr="005E5030">
        <w:rPr>
          <w:i/>
          <w:iCs/>
          <w:sz w:val="16"/>
          <w:szCs w:val="16"/>
        </w:rPr>
        <w:t xml:space="preserve"> - NCA</w:t>
      </w:r>
      <w:r w:rsidR="00403C0C" w:rsidRPr="005E5030">
        <w:rPr>
          <w:i/>
          <w:iCs/>
          <w:sz w:val="16"/>
          <w:szCs w:val="16"/>
        </w:rPr>
        <w:t xml:space="preserve"> </w:t>
      </w:r>
      <w:r w:rsidRPr="005E5030">
        <w:rPr>
          <w:i/>
          <w:iCs/>
          <w:sz w:val="16"/>
          <w:szCs w:val="16"/>
        </w:rPr>
        <w:t>Service Specification</w:t>
      </w:r>
      <w:r w:rsidRPr="00403C0C">
        <w:rPr>
          <w:sz w:val="16"/>
          <w:szCs w:val="16"/>
        </w:rPr>
        <w:t xml:space="preserve">, </w:t>
      </w:r>
      <w:r w:rsidR="00403C0C" w:rsidRPr="00403C0C">
        <w:rPr>
          <w:sz w:val="16"/>
          <w:szCs w:val="16"/>
        </w:rPr>
        <w:t>13 October 2025.</w:t>
      </w:r>
    </w:p>
  </w:footnote>
  <w:footnote w:id="13">
    <w:p w14:paraId="79AE646B" w14:textId="77777777" w:rsidR="008C0BC2" w:rsidRDefault="008C0BC2" w:rsidP="008C0BC2">
      <w:pPr>
        <w:pStyle w:val="FootnoteText"/>
      </w:pPr>
      <w:r w:rsidRPr="00AE2726">
        <w:rPr>
          <w:rStyle w:val="FootnoteReference"/>
          <w:sz w:val="16"/>
          <w:szCs w:val="16"/>
        </w:rPr>
        <w:footnoteRef/>
      </w:r>
      <w:r w:rsidRPr="00AE2726">
        <w:rPr>
          <w:sz w:val="16"/>
          <w:szCs w:val="16"/>
        </w:rPr>
        <w:t xml:space="preserve"> Panel meeting with NCA, 2 April 2026</w:t>
      </w:r>
      <w:r>
        <w:t>.</w:t>
      </w:r>
    </w:p>
  </w:footnote>
  <w:footnote w:id="14">
    <w:p w14:paraId="7AD3C184" w14:textId="13215112" w:rsidR="00F67D4C" w:rsidRPr="00666BAE" w:rsidRDefault="00F67D4C">
      <w:pPr>
        <w:pStyle w:val="FootnoteText"/>
        <w:rPr>
          <w:sz w:val="16"/>
          <w:szCs w:val="16"/>
        </w:rPr>
      </w:pPr>
      <w:r w:rsidRPr="00666BAE">
        <w:rPr>
          <w:rStyle w:val="FootnoteReference"/>
          <w:sz w:val="16"/>
          <w:szCs w:val="16"/>
        </w:rPr>
        <w:footnoteRef/>
      </w:r>
      <w:r w:rsidRPr="00666BAE">
        <w:rPr>
          <w:sz w:val="16"/>
          <w:szCs w:val="16"/>
        </w:rPr>
        <w:t xml:space="preserve"> </w:t>
      </w:r>
      <w:bookmarkStart w:id="4" w:name="_Ref219208520"/>
      <w:r w:rsidR="005D252F" w:rsidRPr="00666BAE">
        <w:rPr>
          <w:sz w:val="16"/>
          <w:szCs w:val="16"/>
        </w:rPr>
        <w:t>The NHS Workforce Alliance Framework Agreement for Insourced Services, which has 87 accredited providers, is one of a</w:t>
      </w:r>
      <w:r w:rsidRPr="00666BAE">
        <w:rPr>
          <w:sz w:val="16"/>
          <w:szCs w:val="16"/>
        </w:rPr>
        <w:t>t least two framework agreements support insourcing</w:t>
      </w:r>
      <w:r w:rsidR="005D252F" w:rsidRPr="00666BAE">
        <w:rPr>
          <w:sz w:val="16"/>
          <w:szCs w:val="16"/>
        </w:rPr>
        <w:t xml:space="preserve"> for the NHS</w:t>
      </w:r>
      <w:r w:rsidR="00666BAE" w:rsidRPr="00666BAE">
        <w:rPr>
          <w:sz w:val="16"/>
          <w:szCs w:val="16"/>
        </w:rPr>
        <w:t xml:space="preserve">. Another framework supported by </w:t>
      </w:r>
      <w:r w:rsidRPr="00666BAE">
        <w:rPr>
          <w:sz w:val="16"/>
          <w:szCs w:val="16"/>
        </w:rPr>
        <w:t>NHS Shared Business Services has 71 accredited providers.</w:t>
      </w:r>
      <w:bookmarkEnd w:id="4"/>
    </w:p>
  </w:footnote>
  <w:footnote w:id="15">
    <w:p w14:paraId="5F37A070" w14:textId="1FF23E2E" w:rsidR="00CB4F68" w:rsidRPr="00F5620D" w:rsidRDefault="00CB4F68">
      <w:pPr>
        <w:pStyle w:val="FootnoteText"/>
        <w:rPr>
          <w:sz w:val="16"/>
          <w:szCs w:val="16"/>
        </w:rPr>
      </w:pPr>
      <w:r w:rsidRPr="00F5620D">
        <w:rPr>
          <w:rStyle w:val="FootnoteReference"/>
          <w:sz w:val="16"/>
          <w:szCs w:val="16"/>
        </w:rPr>
        <w:footnoteRef/>
      </w:r>
      <w:r w:rsidRPr="00F5620D">
        <w:rPr>
          <w:sz w:val="16"/>
          <w:szCs w:val="16"/>
        </w:rPr>
        <w:t xml:space="preserve"> NCA, </w:t>
      </w:r>
      <w:r w:rsidR="00F5620D" w:rsidRPr="00D55F45">
        <w:rPr>
          <w:i/>
          <w:iCs/>
          <w:sz w:val="16"/>
          <w:szCs w:val="16"/>
        </w:rPr>
        <w:t xml:space="preserve">Contract </w:t>
      </w:r>
      <w:r w:rsidR="00D55F45">
        <w:rPr>
          <w:i/>
          <w:iCs/>
          <w:sz w:val="16"/>
          <w:szCs w:val="16"/>
        </w:rPr>
        <w:t>N</w:t>
      </w:r>
      <w:r w:rsidR="00F5620D" w:rsidRPr="00D55F45">
        <w:rPr>
          <w:i/>
          <w:iCs/>
          <w:sz w:val="16"/>
          <w:szCs w:val="16"/>
        </w:rPr>
        <w:t xml:space="preserve">otice </w:t>
      </w:r>
      <w:r w:rsidR="00F5620D" w:rsidRPr="00D55F45">
        <w:rPr>
          <w:sz w:val="16"/>
          <w:szCs w:val="16"/>
        </w:rPr>
        <w:t>on</w:t>
      </w:r>
      <w:r w:rsidR="00F5620D" w:rsidRPr="00D55F45">
        <w:rPr>
          <w:i/>
          <w:iCs/>
          <w:sz w:val="16"/>
          <w:szCs w:val="16"/>
        </w:rPr>
        <w:t xml:space="preserve"> Find a Tender Service</w:t>
      </w:r>
      <w:r w:rsidR="00F5620D" w:rsidRPr="00F5620D">
        <w:rPr>
          <w:sz w:val="16"/>
          <w:szCs w:val="16"/>
        </w:rPr>
        <w:t xml:space="preserve">, 13 October 2025. </w:t>
      </w:r>
      <w:r w:rsidR="00D55F45" w:rsidRPr="00D55F45">
        <w:rPr>
          <w:sz w:val="16"/>
          <w:szCs w:val="16"/>
        </w:rPr>
        <w:t>A copy of the notice can be found a</w:t>
      </w:r>
      <w:r w:rsidR="00D55F45">
        <w:rPr>
          <w:sz w:val="16"/>
          <w:szCs w:val="16"/>
        </w:rPr>
        <w:t>t</w:t>
      </w:r>
      <w:r w:rsidR="00604F3A">
        <w:rPr>
          <w:sz w:val="16"/>
          <w:szCs w:val="16"/>
        </w:rPr>
        <w:t xml:space="preserve"> </w:t>
      </w:r>
      <w:hyperlink r:id="rId8" w:history="1">
        <w:r w:rsidR="00604F3A" w:rsidRPr="004067BE">
          <w:rPr>
            <w:rStyle w:val="Hyperlink"/>
            <w:sz w:val="16"/>
            <w:szCs w:val="16"/>
          </w:rPr>
          <w:t>https://www.find-tender.service.gov.uk/Notice/064939-2025</w:t>
        </w:r>
      </w:hyperlink>
      <w:r w:rsidR="00604F3A">
        <w:rPr>
          <w:sz w:val="16"/>
          <w:szCs w:val="16"/>
        </w:rPr>
        <w:t xml:space="preserve">. </w:t>
      </w:r>
    </w:p>
  </w:footnote>
  <w:footnote w:id="16">
    <w:p w14:paraId="1671121F" w14:textId="77777777" w:rsidR="009D537C" w:rsidRDefault="009D537C" w:rsidP="009D537C">
      <w:pPr>
        <w:pStyle w:val="FootnoteText"/>
      </w:pPr>
      <w:r w:rsidRPr="00DE5580">
        <w:rPr>
          <w:rStyle w:val="FootnoteReference"/>
          <w:sz w:val="16"/>
          <w:szCs w:val="16"/>
        </w:rPr>
        <w:footnoteRef/>
      </w:r>
      <w:r w:rsidRPr="00DE5580">
        <w:rPr>
          <w:sz w:val="16"/>
          <w:szCs w:val="16"/>
        </w:rPr>
        <w:t xml:space="preserve"> Endocare told the Panel that </w:t>
      </w:r>
      <w:r>
        <w:rPr>
          <w:sz w:val="16"/>
          <w:szCs w:val="16"/>
        </w:rPr>
        <w:t>three Directors continue to be</w:t>
      </w:r>
      <w:r w:rsidRPr="00DE5580">
        <w:rPr>
          <w:sz w:val="16"/>
          <w:szCs w:val="16"/>
        </w:rPr>
        <w:t xml:space="preserve"> substantively employed by NCA. Panel meeting with Endocare, 1 April 2026. </w:t>
      </w:r>
    </w:p>
  </w:footnote>
  <w:footnote w:id="17">
    <w:p w14:paraId="019B7729" w14:textId="12507531" w:rsidR="00284F9E" w:rsidRPr="000D3C73" w:rsidRDefault="00284F9E" w:rsidP="00284F9E">
      <w:pPr>
        <w:pStyle w:val="FootnoteText"/>
        <w:rPr>
          <w:sz w:val="16"/>
          <w:szCs w:val="16"/>
        </w:rPr>
      </w:pPr>
      <w:r w:rsidRPr="000D3C73">
        <w:rPr>
          <w:rStyle w:val="FootnoteReference"/>
          <w:sz w:val="16"/>
          <w:szCs w:val="16"/>
        </w:rPr>
        <w:footnoteRef/>
      </w:r>
      <w:r w:rsidRPr="000D3C73">
        <w:rPr>
          <w:sz w:val="16"/>
          <w:szCs w:val="16"/>
        </w:rPr>
        <w:t xml:space="preserve"> </w:t>
      </w:r>
      <w:r>
        <w:rPr>
          <w:sz w:val="16"/>
          <w:szCs w:val="16"/>
        </w:rPr>
        <w:t xml:space="preserve">Further information about Venture can be found on its website at </w:t>
      </w:r>
      <w:hyperlink r:id="rId9" w:history="1">
        <w:r w:rsidRPr="009908E4">
          <w:rPr>
            <w:rStyle w:val="Hyperlink"/>
            <w:sz w:val="16"/>
            <w:szCs w:val="16"/>
          </w:rPr>
          <w:t>https://venturehealth.co.uk/</w:t>
        </w:r>
      </w:hyperlink>
      <w:r>
        <w:rPr>
          <w:sz w:val="16"/>
          <w:szCs w:val="16"/>
        </w:rPr>
        <w:t>.</w:t>
      </w:r>
    </w:p>
  </w:footnote>
  <w:footnote w:id="18">
    <w:p w14:paraId="54193C58" w14:textId="22065FC2" w:rsidR="00367B72" w:rsidRPr="00367B72" w:rsidRDefault="00367B72">
      <w:pPr>
        <w:pStyle w:val="FootnoteText"/>
        <w:rPr>
          <w:sz w:val="16"/>
          <w:szCs w:val="16"/>
        </w:rPr>
      </w:pPr>
      <w:r w:rsidRPr="00367B72">
        <w:rPr>
          <w:rStyle w:val="FootnoteReference"/>
          <w:sz w:val="16"/>
          <w:szCs w:val="16"/>
        </w:rPr>
        <w:footnoteRef/>
      </w:r>
      <w:r w:rsidRPr="00367B72">
        <w:rPr>
          <w:sz w:val="16"/>
          <w:szCs w:val="16"/>
        </w:rPr>
        <w:t xml:space="preserve"> Endocare, </w:t>
      </w:r>
      <w:r w:rsidRPr="00367B72">
        <w:rPr>
          <w:i/>
          <w:iCs/>
          <w:sz w:val="16"/>
          <w:szCs w:val="16"/>
        </w:rPr>
        <w:t>Representations</w:t>
      </w:r>
      <w:r>
        <w:rPr>
          <w:i/>
          <w:iCs/>
          <w:sz w:val="16"/>
          <w:szCs w:val="16"/>
        </w:rPr>
        <w:t xml:space="preserve"> letter</w:t>
      </w:r>
      <w:r w:rsidRPr="00367B72">
        <w:rPr>
          <w:i/>
          <w:iCs/>
          <w:sz w:val="16"/>
          <w:szCs w:val="16"/>
        </w:rPr>
        <w:t xml:space="preserve"> to NCA</w:t>
      </w:r>
      <w:r w:rsidRPr="00367B72">
        <w:rPr>
          <w:sz w:val="16"/>
          <w:szCs w:val="16"/>
        </w:rPr>
        <w:t>, 26 January 2026.</w:t>
      </w:r>
    </w:p>
  </w:footnote>
  <w:footnote w:id="19">
    <w:p w14:paraId="63910B74" w14:textId="6E85C77A" w:rsidR="006C77A0" w:rsidRPr="006C77A0" w:rsidRDefault="006C77A0">
      <w:pPr>
        <w:pStyle w:val="FootnoteText"/>
        <w:rPr>
          <w:sz w:val="16"/>
          <w:szCs w:val="16"/>
        </w:rPr>
      </w:pPr>
      <w:r w:rsidRPr="006C77A0">
        <w:rPr>
          <w:rStyle w:val="FootnoteReference"/>
          <w:sz w:val="16"/>
          <w:szCs w:val="16"/>
        </w:rPr>
        <w:footnoteRef/>
      </w:r>
      <w:r w:rsidRPr="006C77A0">
        <w:rPr>
          <w:sz w:val="16"/>
          <w:szCs w:val="16"/>
        </w:rPr>
        <w:t xml:space="preserve"> NCA, </w:t>
      </w:r>
      <w:r w:rsidRPr="006C77A0">
        <w:rPr>
          <w:i/>
          <w:iCs/>
          <w:sz w:val="16"/>
          <w:szCs w:val="16"/>
        </w:rPr>
        <w:t>Representations response letter to Endocare</w:t>
      </w:r>
      <w:r w:rsidRPr="006C77A0">
        <w:rPr>
          <w:sz w:val="16"/>
          <w:szCs w:val="16"/>
        </w:rPr>
        <w:t>, 17 February 2026.</w:t>
      </w:r>
    </w:p>
  </w:footnote>
  <w:footnote w:id="20">
    <w:p w14:paraId="5CA398E7" w14:textId="77777777" w:rsidR="00AF49FA" w:rsidRPr="00D43734" w:rsidRDefault="00AF49FA" w:rsidP="00AF49FA">
      <w:pPr>
        <w:pStyle w:val="FootnoteText"/>
        <w:rPr>
          <w:sz w:val="16"/>
          <w:szCs w:val="16"/>
        </w:rPr>
      </w:pPr>
      <w:r w:rsidRPr="00D43734">
        <w:rPr>
          <w:rStyle w:val="FootnoteReference"/>
          <w:sz w:val="16"/>
          <w:szCs w:val="16"/>
        </w:rPr>
        <w:footnoteRef/>
      </w:r>
      <w:r w:rsidRPr="00D43734">
        <w:rPr>
          <w:sz w:val="16"/>
          <w:szCs w:val="16"/>
        </w:rPr>
        <w:t xml:space="preserve"> Paragraph 6(5) sets out the conditions under which the relevant authority may follow Direct Award Process C, while paragraph 6(6) sets out the conditions under which the relevant authority may follow the Most Suitable Provider Process; such choice being at the discretion of the relevant authority</w:t>
      </w:r>
      <w:r>
        <w:rPr>
          <w:sz w:val="16"/>
          <w:szCs w:val="16"/>
        </w:rPr>
        <w:t>.</w:t>
      </w:r>
    </w:p>
  </w:footnote>
  <w:footnote w:id="21">
    <w:p w14:paraId="73248C19" w14:textId="424E5DB2" w:rsidR="00873325" w:rsidRPr="00E8382C" w:rsidRDefault="00873325">
      <w:pPr>
        <w:pStyle w:val="FootnoteText"/>
        <w:rPr>
          <w:sz w:val="16"/>
          <w:szCs w:val="16"/>
        </w:rPr>
      </w:pPr>
      <w:r w:rsidRPr="00E8382C">
        <w:rPr>
          <w:rStyle w:val="FootnoteReference"/>
          <w:sz w:val="16"/>
          <w:szCs w:val="16"/>
        </w:rPr>
        <w:footnoteRef/>
      </w:r>
      <w:r w:rsidRPr="00E8382C">
        <w:rPr>
          <w:sz w:val="16"/>
          <w:szCs w:val="16"/>
        </w:rPr>
        <w:t xml:space="preserve"> </w:t>
      </w:r>
      <w:r w:rsidR="00121813" w:rsidRPr="00E8382C">
        <w:rPr>
          <w:sz w:val="16"/>
          <w:szCs w:val="16"/>
        </w:rPr>
        <w:t xml:space="preserve">NHS England, </w:t>
      </w:r>
      <w:r w:rsidR="00121813" w:rsidRPr="00E8382C">
        <w:rPr>
          <w:i/>
          <w:iCs/>
          <w:sz w:val="16"/>
          <w:szCs w:val="16"/>
        </w:rPr>
        <w:t>The Provider Selection Regime: statutory guidance</w:t>
      </w:r>
      <w:r w:rsidR="00121813" w:rsidRPr="00E8382C">
        <w:rPr>
          <w:sz w:val="16"/>
          <w:szCs w:val="16"/>
        </w:rPr>
        <w:t>, April 2025.</w:t>
      </w:r>
    </w:p>
  </w:footnote>
  <w:footnote w:id="22">
    <w:p w14:paraId="74D81C56" w14:textId="1C14FC8D" w:rsidR="00F66327" w:rsidRPr="005E1170" w:rsidRDefault="00F66327" w:rsidP="00F66327">
      <w:pPr>
        <w:pStyle w:val="FootnoteText"/>
        <w:rPr>
          <w:sz w:val="16"/>
          <w:szCs w:val="16"/>
        </w:rPr>
      </w:pPr>
      <w:r w:rsidRPr="005E1170">
        <w:rPr>
          <w:rStyle w:val="FootnoteReference"/>
          <w:sz w:val="16"/>
          <w:szCs w:val="16"/>
        </w:rPr>
        <w:footnoteRef/>
      </w:r>
      <w:r w:rsidRPr="005E1170">
        <w:rPr>
          <w:sz w:val="16"/>
          <w:szCs w:val="16"/>
        </w:rPr>
        <w:t xml:space="preserve"> NCA’s </w:t>
      </w:r>
      <w:r>
        <w:rPr>
          <w:sz w:val="16"/>
          <w:szCs w:val="16"/>
        </w:rPr>
        <w:t xml:space="preserve">evaluation of bidders’ responses to the financial question (i.e. commercial offers) </w:t>
      </w:r>
      <w:r w:rsidR="002D19E7">
        <w:rPr>
          <w:sz w:val="16"/>
          <w:szCs w:val="16"/>
        </w:rPr>
        <w:t>is</w:t>
      </w:r>
      <w:r w:rsidRPr="005E1170">
        <w:rPr>
          <w:sz w:val="16"/>
          <w:szCs w:val="16"/>
        </w:rPr>
        <w:t xml:space="preserve"> further discussed in Section 7.2.</w:t>
      </w:r>
    </w:p>
  </w:footnote>
  <w:footnote w:id="23">
    <w:p w14:paraId="7536980E" w14:textId="77777777" w:rsidR="0027501F" w:rsidRPr="00C27C88" w:rsidRDefault="0027501F" w:rsidP="0027501F">
      <w:pPr>
        <w:pStyle w:val="FootnoteText"/>
        <w:rPr>
          <w:sz w:val="16"/>
          <w:szCs w:val="16"/>
        </w:rPr>
      </w:pPr>
      <w:r w:rsidRPr="00C27C88">
        <w:rPr>
          <w:rStyle w:val="FootnoteReference"/>
          <w:sz w:val="16"/>
          <w:szCs w:val="16"/>
        </w:rPr>
        <w:footnoteRef/>
      </w:r>
      <w:r w:rsidRPr="00C27C88">
        <w:rPr>
          <w:sz w:val="16"/>
          <w:szCs w:val="16"/>
        </w:rPr>
        <w:t xml:space="preserve"> Endocare, </w:t>
      </w:r>
      <w:r w:rsidRPr="00C27C88">
        <w:rPr>
          <w:i/>
          <w:iCs/>
          <w:sz w:val="16"/>
          <w:szCs w:val="16"/>
        </w:rPr>
        <w:t xml:space="preserve">Representations </w:t>
      </w:r>
      <w:r>
        <w:rPr>
          <w:i/>
          <w:iCs/>
          <w:sz w:val="16"/>
          <w:szCs w:val="16"/>
        </w:rPr>
        <w:t xml:space="preserve">letter </w:t>
      </w:r>
      <w:r w:rsidRPr="00C27C88">
        <w:rPr>
          <w:i/>
          <w:iCs/>
          <w:sz w:val="16"/>
          <w:szCs w:val="16"/>
        </w:rPr>
        <w:t>to NCA</w:t>
      </w:r>
      <w:r w:rsidRPr="00C27C88">
        <w:rPr>
          <w:sz w:val="16"/>
          <w:szCs w:val="16"/>
        </w:rPr>
        <w:t>, 26 January 2026.</w:t>
      </w:r>
    </w:p>
  </w:footnote>
  <w:footnote w:id="24">
    <w:p w14:paraId="014A4079" w14:textId="771A4828" w:rsidR="00495F76" w:rsidRPr="00062431" w:rsidRDefault="00495F76">
      <w:pPr>
        <w:pStyle w:val="FootnoteText"/>
        <w:rPr>
          <w:sz w:val="16"/>
          <w:szCs w:val="16"/>
        </w:rPr>
      </w:pPr>
      <w:r w:rsidRPr="00062431">
        <w:rPr>
          <w:rStyle w:val="FootnoteReference"/>
          <w:sz w:val="16"/>
          <w:szCs w:val="16"/>
        </w:rPr>
        <w:footnoteRef/>
      </w:r>
      <w:r w:rsidRPr="00062431">
        <w:rPr>
          <w:sz w:val="16"/>
          <w:szCs w:val="16"/>
        </w:rPr>
        <w:t xml:space="preserve"> NCA, </w:t>
      </w:r>
      <w:r w:rsidRPr="00062431">
        <w:rPr>
          <w:i/>
          <w:iCs/>
          <w:sz w:val="16"/>
          <w:szCs w:val="16"/>
        </w:rPr>
        <w:t xml:space="preserve">Representations response letter to </w:t>
      </w:r>
      <w:r w:rsidR="00062431" w:rsidRPr="00062431">
        <w:rPr>
          <w:i/>
          <w:iCs/>
          <w:sz w:val="16"/>
          <w:szCs w:val="16"/>
        </w:rPr>
        <w:t>Endocare</w:t>
      </w:r>
      <w:r w:rsidR="00062431" w:rsidRPr="00062431">
        <w:rPr>
          <w:sz w:val="16"/>
          <w:szCs w:val="16"/>
        </w:rPr>
        <w:t>, 17 February 2026.</w:t>
      </w:r>
    </w:p>
  </w:footnote>
  <w:footnote w:id="25">
    <w:p w14:paraId="353FB9E3" w14:textId="6A01F0DA" w:rsidR="00C75345" w:rsidRPr="000A4A90" w:rsidRDefault="00C75345">
      <w:pPr>
        <w:pStyle w:val="FootnoteText"/>
        <w:rPr>
          <w:sz w:val="16"/>
          <w:szCs w:val="16"/>
        </w:rPr>
      </w:pPr>
      <w:r w:rsidRPr="000A4A90">
        <w:rPr>
          <w:rStyle w:val="FootnoteReference"/>
          <w:sz w:val="16"/>
          <w:szCs w:val="16"/>
        </w:rPr>
        <w:footnoteRef/>
      </w:r>
      <w:r w:rsidRPr="000A4A90">
        <w:rPr>
          <w:sz w:val="16"/>
          <w:szCs w:val="16"/>
        </w:rPr>
        <w:t xml:space="preserve"> NCA, </w:t>
      </w:r>
      <w:r w:rsidRPr="000A4A90">
        <w:rPr>
          <w:i/>
          <w:iCs/>
          <w:sz w:val="16"/>
          <w:szCs w:val="16"/>
        </w:rPr>
        <w:t>Follow up letter to the Panel</w:t>
      </w:r>
      <w:r w:rsidRPr="000A4A90">
        <w:rPr>
          <w:sz w:val="16"/>
          <w:szCs w:val="16"/>
        </w:rPr>
        <w:t xml:space="preserve">, </w:t>
      </w:r>
      <w:r w:rsidR="000A4A90" w:rsidRPr="000A4A90">
        <w:rPr>
          <w:sz w:val="16"/>
          <w:szCs w:val="16"/>
        </w:rPr>
        <w:t>10 April 2026.</w:t>
      </w:r>
    </w:p>
  </w:footnote>
  <w:footnote w:id="26">
    <w:p w14:paraId="4777F3ED" w14:textId="14CBC759" w:rsidR="006367FD" w:rsidRDefault="006367FD">
      <w:pPr>
        <w:pStyle w:val="FootnoteText"/>
      </w:pPr>
      <w:r w:rsidRPr="00634360">
        <w:rPr>
          <w:rStyle w:val="FootnoteReference"/>
          <w:sz w:val="16"/>
          <w:szCs w:val="16"/>
        </w:rPr>
        <w:footnoteRef/>
      </w:r>
      <w:r w:rsidRPr="00634360">
        <w:rPr>
          <w:sz w:val="16"/>
          <w:szCs w:val="16"/>
        </w:rPr>
        <w:t xml:space="preserve"> </w:t>
      </w:r>
      <w:r w:rsidR="005233A8" w:rsidRPr="00634360">
        <w:rPr>
          <w:sz w:val="16"/>
          <w:szCs w:val="16"/>
        </w:rPr>
        <w:t xml:space="preserve">NCA, </w:t>
      </w:r>
      <w:r w:rsidR="00DB406A" w:rsidRPr="00634360">
        <w:rPr>
          <w:i/>
          <w:iCs/>
          <w:sz w:val="16"/>
          <w:szCs w:val="16"/>
        </w:rPr>
        <w:t>Tender outcome letter to Endocare</w:t>
      </w:r>
      <w:r w:rsidR="00DB406A" w:rsidRPr="00634360">
        <w:rPr>
          <w:sz w:val="16"/>
          <w:szCs w:val="16"/>
        </w:rPr>
        <w:t>,</w:t>
      </w:r>
      <w:r w:rsidR="00634360" w:rsidRPr="00634360">
        <w:rPr>
          <w:sz w:val="16"/>
          <w:szCs w:val="16"/>
        </w:rPr>
        <w:t xml:space="preserve"> 16 January 2026.</w:t>
      </w:r>
    </w:p>
  </w:footnote>
  <w:footnote w:id="27">
    <w:p w14:paraId="0B7D0A94" w14:textId="35318A94" w:rsidR="00607F62" w:rsidRPr="007E43A9" w:rsidRDefault="00607F62" w:rsidP="00607F62">
      <w:pPr>
        <w:pStyle w:val="FootnoteText"/>
        <w:rPr>
          <w:sz w:val="16"/>
          <w:szCs w:val="16"/>
        </w:rPr>
      </w:pPr>
      <w:r w:rsidRPr="007E43A9">
        <w:rPr>
          <w:rStyle w:val="FootnoteReference"/>
          <w:sz w:val="16"/>
          <w:szCs w:val="16"/>
        </w:rPr>
        <w:footnoteRef/>
      </w:r>
      <w:r w:rsidRPr="007E43A9">
        <w:rPr>
          <w:sz w:val="16"/>
          <w:szCs w:val="16"/>
        </w:rPr>
        <w:t xml:space="preserve"> </w:t>
      </w:r>
      <w:r w:rsidRPr="00645CF5">
        <w:rPr>
          <w:sz w:val="16"/>
          <w:szCs w:val="16"/>
        </w:rPr>
        <w:t xml:space="preserve">NCA, </w:t>
      </w:r>
      <w:r w:rsidR="00827879" w:rsidRPr="00D41F15">
        <w:rPr>
          <w:i/>
          <w:iCs/>
          <w:sz w:val="16"/>
          <w:szCs w:val="16"/>
        </w:rPr>
        <w:t>Follow up</w:t>
      </w:r>
      <w:r w:rsidR="00827879">
        <w:rPr>
          <w:sz w:val="16"/>
          <w:szCs w:val="16"/>
        </w:rPr>
        <w:t xml:space="preserve"> </w:t>
      </w:r>
      <w:r w:rsidR="00827879">
        <w:rPr>
          <w:i/>
          <w:iCs/>
          <w:sz w:val="16"/>
          <w:szCs w:val="16"/>
        </w:rPr>
        <w:t>l</w:t>
      </w:r>
      <w:r w:rsidRPr="00645CF5">
        <w:rPr>
          <w:i/>
          <w:iCs/>
          <w:sz w:val="16"/>
          <w:szCs w:val="16"/>
        </w:rPr>
        <w:t>etter to the Panel,</w:t>
      </w:r>
      <w:r w:rsidRPr="00645CF5">
        <w:rPr>
          <w:sz w:val="16"/>
          <w:szCs w:val="16"/>
        </w:rPr>
        <w:t xml:space="preserve"> 10 April 2026</w:t>
      </w:r>
    </w:p>
  </w:footnote>
  <w:footnote w:id="28">
    <w:p w14:paraId="7D0EE4D3" w14:textId="519C157E" w:rsidR="006C1A58" w:rsidRPr="00711B7E" w:rsidRDefault="006C1A58" w:rsidP="006C1A58">
      <w:pPr>
        <w:pStyle w:val="FootnoteText"/>
        <w:rPr>
          <w:sz w:val="16"/>
          <w:szCs w:val="16"/>
        </w:rPr>
      </w:pPr>
      <w:r w:rsidRPr="00711B7E">
        <w:rPr>
          <w:rStyle w:val="FootnoteReference"/>
          <w:sz w:val="16"/>
          <w:szCs w:val="16"/>
        </w:rPr>
        <w:footnoteRef/>
      </w:r>
      <w:r w:rsidRPr="00711B7E">
        <w:rPr>
          <w:sz w:val="16"/>
          <w:szCs w:val="16"/>
        </w:rPr>
        <w:t xml:space="preserve"> NCA described to the Panel how it had trained its evaluators, saying that members of its procurement team had presented a set of training slides in a virtual training session, and that “the information contained within the slides </w:t>
      </w:r>
      <w:r w:rsidR="00C56322">
        <w:rPr>
          <w:sz w:val="16"/>
          <w:szCs w:val="16"/>
        </w:rPr>
        <w:t>are</w:t>
      </w:r>
      <w:r w:rsidRPr="00711B7E">
        <w:rPr>
          <w:sz w:val="16"/>
          <w:szCs w:val="16"/>
        </w:rPr>
        <w:t xml:space="preserve"> for educational purposes only and do not represent the specifics for the procurement ie the scoring matrix. This is stated clearly within the training slides and was emphasised during the training session, held on MS Teams” (NCA, </w:t>
      </w:r>
      <w:r w:rsidRPr="00711B7E">
        <w:rPr>
          <w:i/>
          <w:iCs/>
          <w:sz w:val="16"/>
          <w:szCs w:val="16"/>
        </w:rPr>
        <w:t>Response to Panel questions</w:t>
      </w:r>
      <w:r w:rsidRPr="00711B7E">
        <w:rPr>
          <w:sz w:val="16"/>
          <w:szCs w:val="16"/>
        </w:rPr>
        <w:t>, 2</w:t>
      </w:r>
      <w:r w:rsidR="002368AA">
        <w:rPr>
          <w:sz w:val="16"/>
          <w:szCs w:val="16"/>
        </w:rPr>
        <w:t>4</w:t>
      </w:r>
      <w:r w:rsidRPr="00711B7E">
        <w:rPr>
          <w:sz w:val="16"/>
          <w:szCs w:val="16"/>
        </w:rPr>
        <w:t xml:space="preserve"> March 2026).</w:t>
      </w:r>
    </w:p>
  </w:footnote>
  <w:footnote w:id="29">
    <w:p w14:paraId="0AB515CD" w14:textId="3AB31972" w:rsidR="00F526A6" w:rsidRPr="00D41F15" w:rsidRDefault="00F526A6">
      <w:pPr>
        <w:pStyle w:val="FootnoteText"/>
        <w:rPr>
          <w:sz w:val="16"/>
          <w:szCs w:val="16"/>
        </w:rPr>
      </w:pPr>
      <w:r w:rsidRPr="00D41F15">
        <w:rPr>
          <w:rStyle w:val="FootnoteReference"/>
          <w:sz w:val="16"/>
          <w:szCs w:val="16"/>
        </w:rPr>
        <w:footnoteRef/>
      </w:r>
      <w:r w:rsidRPr="00D41F15">
        <w:rPr>
          <w:sz w:val="16"/>
          <w:szCs w:val="16"/>
        </w:rPr>
        <w:t xml:space="preserve"> NCA, </w:t>
      </w:r>
      <w:r w:rsidR="00827879" w:rsidRPr="00D41F15">
        <w:rPr>
          <w:i/>
          <w:iCs/>
          <w:sz w:val="16"/>
          <w:szCs w:val="16"/>
        </w:rPr>
        <w:t xml:space="preserve">Follow up </w:t>
      </w:r>
      <w:r w:rsidR="00827879">
        <w:rPr>
          <w:i/>
          <w:iCs/>
          <w:sz w:val="16"/>
          <w:szCs w:val="16"/>
        </w:rPr>
        <w:t>l</w:t>
      </w:r>
      <w:r w:rsidRPr="00D41F15">
        <w:rPr>
          <w:i/>
          <w:iCs/>
          <w:sz w:val="16"/>
          <w:szCs w:val="16"/>
        </w:rPr>
        <w:t>etter to the Panel</w:t>
      </w:r>
      <w:r w:rsidRPr="00D41F15">
        <w:rPr>
          <w:sz w:val="16"/>
          <w:szCs w:val="16"/>
        </w:rPr>
        <w:t>, 10 April 2026</w:t>
      </w:r>
    </w:p>
  </w:footnote>
  <w:footnote w:id="30">
    <w:p w14:paraId="1DDA0ACB" w14:textId="3BFB182E" w:rsidR="00221CA1" w:rsidRPr="00221CA1" w:rsidRDefault="00221CA1">
      <w:pPr>
        <w:pStyle w:val="FootnoteText"/>
        <w:rPr>
          <w:sz w:val="16"/>
          <w:szCs w:val="16"/>
        </w:rPr>
      </w:pPr>
      <w:r w:rsidRPr="00221CA1">
        <w:rPr>
          <w:rStyle w:val="FootnoteReference"/>
          <w:sz w:val="16"/>
          <w:szCs w:val="16"/>
        </w:rPr>
        <w:footnoteRef/>
      </w:r>
      <w:r w:rsidRPr="00221CA1">
        <w:rPr>
          <w:sz w:val="16"/>
          <w:szCs w:val="16"/>
        </w:rPr>
        <w:t xml:space="preserve"> Endocare, </w:t>
      </w:r>
      <w:r w:rsidRPr="00221CA1">
        <w:rPr>
          <w:i/>
          <w:iCs/>
          <w:sz w:val="16"/>
          <w:szCs w:val="16"/>
        </w:rPr>
        <w:t>Representations letter to NCA</w:t>
      </w:r>
      <w:r w:rsidRPr="00221CA1">
        <w:rPr>
          <w:sz w:val="16"/>
          <w:szCs w:val="16"/>
        </w:rPr>
        <w:t>, 26 January 2026.</w:t>
      </w:r>
    </w:p>
  </w:footnote>
  <w:footnote w:id="31">
    <w:p w14:paraId="7647D195" w14:textId="4227A84C" w:rsidR="00221CA1" w:rsidRPr="00221CA1" w:rsidRDefault="00221CA1">
      <w:pPr>
        <w:pStyle w:val="FootnoteText"/>
        <w:rPr>
          <w:sz w:val="16"/>
          <w:szCs w:val="16"/>
        </w:rPr>
      </w:pPr>
      <w:r w:rsidRPr="00221CA1">
        <w:rPr>
          <w:rStyle w:val="FootnoteReference"/>
          <w:sz w:val="16"/>
          <w:szCs w:val="16"/>
        </w:rPr>
        <w:footnoteRef/>
      </w:r>
      <w:r w:rsidRPr="00221CA1">
        <w:rPr>
          <w:sz w:val="16"/>
          <w:szCs w:val="16"/>
        </w:rPr>
        <w:t xml:space="preserve"> NCA, </w:t>
      </w:r>
      <w:r w:rsidRPr="00221CA1">
        <w:rPr>
          <w:i/>
          <w:iCs/>
          <w:sz w:val="16"/>
          <w:szCs w:val="16"/>
        </w:rPr>
        <w:t>Representations response letter to Endocare</w:t>
      </w:r>
      <w:r w:rsidRPr="00221CA1">
        <w:rPr>
          <w:sz w:val="16"/>
          <w:szCs w:val="16"/>
        </w:rPr>
        <w:t>, 17 February 2026.</w:t>
      </w:r>
    </w:p>
  </w:footnote>
  <w:footnote w:id="32">
    <w:p w14:paraId="053899C0" w14:textId="77777777" w:rsidR="00D153EB" w:rsidRPr="00D41F15" w:rsidRDefault="00D153EB">
      <w:pPr>
        <w:pStyle w:val="FootnoteText"/>
        <w:rPr>
          <w:sz w:val="16"/>
          <w:szCs w:val="16"/>
        </w:rPr>
      </w:pPr>
      <w:r w:rsidRPr="00D41F15">
        <w:rPr>
          <w:rStyle w:val="FootnoteReference"/>
          <w:sz w:val="16"/>
          <w:szCs w:val="16"/>
        </w:rPr>
        <w:footnoteRef/>
      </w:r>
      <w:r w:rsidRPr="00D41F15">
        <w:rPr>
          <w:sz w:val="16"/>
          <w:szCs w:val="16"/>
        </w:rPr>
        <w:t xml:space="preserve"> </w:t>
      </w:r>
      <w:r w:rsidR="003E6D8D">
        <w:rPr>
          <w:sz w:val="16"/>
          <w:szCs w:val="16"/>
        </w:rPr>
        <w:t xml:space="preserve">The Panel’s view on </w:t>
      </w:r>
      <w:proofErr w:type="spellStart"/>
      <w:r w:rsidR="00E073B8" w:rsidRPr="00D41F15">
        <w:rPr>
          <w:sz w:val="16"/>
          <w:szCs w:val="16"/>
        </w:rPr>
        <w:t>Endocare’s</w:t>
      </w:r>
      <w:proofErr w:type="spellEnd"/>
      <w:r w:rsidR="00E073B8" w:rsidRPr="00D41F15">
        <w:rPr>
          <w:sz w:val="16"/>
          <w:szCs w:val="16"/>
        </w:rPr>
        <w:t xml:space="preserve"> concern</w:t>
      </w:r>
      <w:r w:rsidR="00E04C80" w:rsidRPr="00D41F15">
        <w:rPr>
          <w:sz w:val="16"/>
          <w:szCs w:val="16"/>
        </w:rPr>
        <w:t xml:space="preserve">s about NCA’s consideration of </w:t>
      </w:r>
      <w:r w:rsidR="004804AE" w:rsidRPr="00D41F15">
        <w:rPr>
          <w:sz w:val="16"/>
          <w:szCs w:val="16"/>
        </w:rPr>
        <w:t xml:space="preserve">evidence provided in relation to </w:t>
      </w:r>
      <w:proofErr w:type="spellStart"/>
      <w:r w:rsidR="00D93B39">
        <w:rPr>
          <w:sz w:val="16"/>
          <w:szCs w:val="16"/>
        </w:rPr>
        <w:t>Endocare’s</w:t>
      </w:r>
      <w:proofErr w:type="spellEnd"/>
      <w:r w:rsidR="00E04C80" w:rsidRPr="00D41F15">
        <w:rPr>
          <w:sz w:val="16"/>
          <w:szCs w:val="16"/>
        </w:rPr>
        <w:t xml:space="preserve"> commercial offer </w:t>
      </w:r>
      <w:r w:rsidR="003E6D8D">
        <w:rPr>
          <w:sz w:val="16"/>
          <w:szCs w:val="16"/>
        </w:rPr>
        <w:t>is discussed in Section 7.2.2.</w:t>
      </w:r>
    </w:p>
  </w:footnote>
  <w:footnote w:id="33">
    <w:p w14:paraId="06E7EF3A" w14:textId="2726B90A" w:rsidR="00E661D3" w:rsidRPr="00E661D3" w:rsidRDefault="00E661D3">
      <w:pPr>
        <w:pStyle w:val="FootnoteText"/>
        <w:rPr>
          <w:sz w:val="16"/>
          <w:szCs w:val="16"/>
        </w:rPr>
      </w:pPr>
      <w:r w:rsidRPr="00E661D3">
        <w:rPr>
          <w:rStyle w:val="FootnoteReference"/>
          <w:sz w:val="16"/>
          <w:szCs w:val="16"/>
        </w:rPr>
        <w:footnoteRef/>
      </w:r>
      <w:r w:rsidRPr="00E661D3">
        <w:rPr>
          <w:sz w:val="16"/>
          <w:szCs w:val="16"/>
        </w:rPr>
        <w:t xml:space="preserve"> </w:t>
      </w:r>
      <w:proofErr w:type="spellStart"/>
      <w:r w:rsidRPr="00E661D3">
        <w:rPr>
          <w:sz w:val="16"/>
          <w:szCs w:val="16"/>
        </w:rPr>
        <w:t>Endocare</w:t>
      </w:r>
      <w:proofErr w:type="spellEnd"/>
      <w:r w:rsidRPr="00E661D3">
        <w:rPr>
          <w:sz w:val="16"/>
          <w:szCs w:val="16"/>
        </w:rPr>
        <w:t xml:space="preserve">, </w:t>
      </w:r>
      <w:r w:rsidRPr="00E661D3">
        <w:rPr>
          <w:i/>
          <w:iCs/>
          <w:sz w:val="16"/>
          <w:szCs w:val="16"/>
        </w:rPr>
        <w:t>Representations letter to NCA</w:t>
      </w:r>
      <w:r w:rsidRPr="00E661D3">
        <w:rPr>
          <w:sz w:val="16"/>
          <w:szCs w:val="16"/>
        </w:rPr>
        <w:t>, 26 January 2026.</w:t>
      </w:r>
    </w:p>
  </w:footnote>
  <w:footnote w:id="34">
    <w:p w14:paraId="10EA95B5" w14:textId="3D1604C0" w:rsidR="00544221" w:rsidRDefault="00544221">
      <w:pPr>
        <w:pStyle w:val="FootnoteText"/>
      </w:pPr>
      <w:r w:rsidRPr="00544221">
        <w:rPr>
          <w:rStyle w:val="FootnoteReference"/>
          <w:sz w:val="16"/>
          <w:szCs w:val="16"/>
        </w:rPr>
        <w:footnoteRef/>
      </w:r>
      <w:r w:rsidRPr="00544221">
        <w:rPr>
          <w:sz w:val="16"/>
          <w:szCs w:val="16"/>
        </w:rPr>
        <w:t xml:space="preserve"> The Panel’s view on NCA’s design and application of the scoring methodology is discussed in Section 7.1.1.</w:t>
      </w:r>
    </w:p>
  </w:footnote>
  <w:footnote w:id="35">
    <w:p w14:paraId="0B87C1D8" w14:textId="77777777" w:rsidR="003E21B6" w:rsidRPr="00ED16FE" w:rsidRDefault="003E21B6" w:rsidP="003E21B6">
      <w:pPr>
        <w:pStyle w:val="FootnoteText"/>
        <w:rPr>
          <w:sz w:val="16"/>
          <w:szCs w:val="16"/>
        </w:rPr>
      </w:pPr>
      <w:r w:rsidRPr="00ED16FE">
        <w:rPr>
          <w:rStyle w:val="FootnoteReference"/>
          <w:sz w:val="16"/>
          <w:szCs w:val="16"/>
        </w:rPr>
        <w:footnoteRef/>
      </w:r>
      <w:r w:rsidRPr="00ED16FE">
        <w:rPr>
          <w:sz w:val="16"/>
          <w:szCs w:val="16"/>
        </w:rPr>
        <w:t xml:space="preserve"> </w:t>
      </w:r>
      <w:r>
        <w:rPr>
          <w:sz w:val="16"/>
          <w:szCs w:val="16"/>
        </w:rPr>
        <w:t xml:space="preserve">The tender question in relation to the “value” criterion was question Q08. </w:t>
      </w:r>
      <w:r w:rsidRPr="00ED16FE">
        <w:rPr>
          <w:sz w:val="16"/>
          <w:szCs w:val="16"/>
        </w:rPr>
        <w:t xml:space="preserve">NCA, </w:t>
      </w:r>
      <w:r w:rsidRPr="00ED16FE">
        <w:rPr>
          <w:i/>
          <w:iCs/>
          <w:sz w:val="16"/>
          <w:szCs w:val="16"/>
        </w:rPr>
        <w:t>Schedule B - Bidder Response Document</w:t>
      </w:r>
      <w:r w:rsidRPr="00ED16FE">
        <w:rPr>
          <w:sz w:val="16"/>
          <w:szCs w:val="16"/>
        </w:rPr>
        <w:t>, 13 October 2025.</w:t>
      </w:r>
    </w:p>
  </w:footnote>
  <w:footnote w:id="36">
    <w:p w14:paraId="7153C096" w14:textId="77777777" w:rsidR="005A7DA3" w:rsidRPr="00203DFA" w:rsidRDefault="005A7DA3" w:rsidP="005A7DA3">
      <w:pPr>
        <w:pStyle w:val="FootnoteText"/>
        <w:rPr>
          <w:sz w:val="16"/>
          <w:szCs w:val="16"/>
        </w:rPr>
      </w:pPr>
      <w:r w:rsidRPr="00203DFA">
        <w:rPr>
          <w:rStyle w:val="FootnoteReference"/>
          <w:sz w:val="16"/>
          <w:szCs w:val="16"/>
        </w:rPr>
        <w:footnoteRef/>
      </w:r>
      <w:r w:rsidRPr="00203DFA">
        <w:rPr>
          <w:sz w:val="16"/>
          <w:szCs w:val="16"/>
        </w:rPr>
        <w:t xml:space="preserve"> NCA, </w:t>
      </w:r>
      <w:r w:rsidRPr="00203DFA">
        <w:rPr>
          <w:i/>
          <w:iCs/>
          <w:sz w:val="16"/>
          <w:szCs w:val="16"/>
        </w:rPr>
        <w:t>Schedule B - Bidder Response Document</w:t>
      </w:r>
      <w:r w:rsidRPr="00203DFA">
        <w:rPr>
          <w:sz w:val="16"/>
          <w:szCs w:val="16"/>
        </w:rPr>
        <w:t>, 13 October 2025.</w:t>
      </w:r>
    </w:p>
  </w:footnote>
  <w:footnote w:id="37">
    <w:p w14:paraId="3042F29D" w14:textId="77777777" w:rsidR="001851D9" w:rsidRPr="00072B61" w:rsidRDefault="001851D9" w:rsidP="001851D9">
      <w:pPr>
        <w:pStyle w:val="FootnoteText"/>
        <w:rPr>
          <w:sz w:val="16"/>
          <w:szCs w:val="16"/>
        </w:rPr>
      </w:pPr>
      <w:r w:rsidRPr="00072B61">
        <w:rPr>
          <w:rStyle w:val="FootnoteReference"/>
          <w:sz w:val="16"/>
          <w:szCs w:val="16"/>
        </w:rPr>
        <w:footnoteRef/>
      </w:r>
      <w:r w:rsidRPr="00072B61">
        <w:rPr>
          <w:sz w:val="16"/>
          <w:szCs w:val="16"/>
        </w:rPr>
        <w:t xml:space="preserve"> NCA, </w:t>
      </w:r>
      <w:r w:rsidRPr="00072B61">
        <w:rPr>
          <w:i/>
          <w:iCs/>
          <w:sz w:val="16"/>
          <w:szCs w:val="16"/>
        </w:rPr>
        <w:t>Invitation to Tender Documentation</w:t>
      </w:r>
      <w:r w:rsidRPr="00072B61">
        <w:rPr>
          <w:sz w:val="16"/>
          <w:szCs w:val="16"/>
        </w:rPr>
        <w:t>, 13 October 2025.</w:t>
      </w:r>
    </w:p>
  </w:footnote>
  <w:footnote w:id="38">
    <w:p w14:paraId="5D8C4101" w14:textId="77777777" w:rsidR="006D6F4F" w:rsidRDefault="006D6F4F" w:rsidP="006D6F4F">
      <w:pPr>
        <w:pStyle w:val="FootnoteText"/>
      </w:pPr>
      <w:r w:rsidRPr="007735D6">
        <w:rPr>
          <w:rStyle w:val="FootnoteReference"/>
          <w:sz w:val="16"/>
          <w:szCs w:val="16"/>
        </w:rPr>
        <w:footnoteRef/>
      </w:r>
      <w:r w:rsidRPr="007735D6">
        <w:rPr>
          <w:sz w:val="16"/>
          <w:szCs w:val="16"/>
        </w:rPr>
        <w:t xml:space="preserve"> </w:t>
      </w:r>
      <w:r w:rsidRPr="00B03F43">
        <w:rPr>
          <w:sz w:val="16"/>
          <w:szCs w:val="16"/>
        </w:rPr>
        <w:t>The NHS Payment Scheme is a set of rules, prices and guidance that determine how providers of NHS-funded healthcare are paid for the services they provide. It is designed to ensure that funding flows fairly and efficiently across the healthcare system. The Payment Scheme mainly applies to secondary care services – this includes hospitals, community services, ambulance trusts, and mental health care.</w:t>
      </w:r>
      <w:r>
        <w:rPr>
          <w:sz w:val="16"/>
          <w:szCs w:val="16"/>
        </w:rPr>
        <w:t xml:space="preserve"> Further information on the NHS Payment Scheme can be found at </w:t>
      </w:r>
      <w:hyperlink r:id="rId10" w:history="1">
        <w:r w:rsidRPr="008B65DB">
          <w:rPr>
            <w:rStyle w:val="Hyperlink"/>
            <w:sz w:val="16"/>
            <w:szCs w:val="16"/>
          </w:rPr>
          <w:t>https://www.england.nhs.uk/pay-syst/nhs-payment-scheme/</w:t>
        </w:r>
      </w:hyperlink>
      <w:r>
        <w:rPr>
          <w:sz w:val="16"/>
          <w:szCs w:val="16"/>
        </w:rPr>
        <w:t xml:space="preserve">. </w:t>
      </w:r>
    </w:p>
  </w:footnote>
  <w:footnote w:id="39">
    <w:p w14:paraId="68A69F4C" w14:textId="77777777" w:rsidR="006D6F4F" w:rsidRPr="00CF5D66" w:rsidRDefault="006D6F4F" w:rsidP="006D6F4F">
      <w:pPr>
        <w:pStyle w:val="FootnoteText"/>
        <w:rPr>
          <w:sz w:val="16"/>
          <w:szCs w:val="16"/>
        </w:rPr>
      </w:pPr>
      <w:r w:rsidRPr="00CF5D66">
        <w:rPr>
          <w:rStyle w:val="FootnoteReference"/>
          <w:sz w:val="16"/>
          <w:szCs w:val="16"/>
        </w:rPr>
        <w:footnoteRef/>
      </w:r>
      <w:r w:rsidRPr="00CF5D66">
        <w:rPr>
          <w:sz w:val="16"/>
          <w:szCs w:val="16"/>
        </w:rPr>
        <w:t xml:space="preserve"> NCA, </w:t>
      </w:r>
      <w:r w:rsidRPr="00CF5D66">
        <w:rPr>
          <w:i/>
          <w:iCs/>
          <w:sz w:val="16"/>
          <w:szCs w:val="16"/>
        </w:rPr>
        <w:t>Commercial evaluation and clarifications</w:t>
      </w:r>
      <w:r w:rsidRPr="00CF5D66">
        <w:rPr>
          <w:sz w:val="16"/>
          <w:szCs w:val="16"/>
        </w:rPr>
        <w:t>, November 2025.</w:t>
      </w:r>
    </w:p>
  </w:footnote>
  <w:footnote w:id="40">
    <w:p w14:paraId="095E8D92" w14:textId="550021D4" w:rsidR="00DD0D65" w:rsidRPr="00DD0D65" w:rsidRDefault="00DD0D65">
      <w:pPr>
        <w:pStyle w:val="FootnoteText"/>
        <w:rPr>
          <w:sz w:val="16"/>
          <w:szCs w:val="16"/>
        </w:rPr>
      </w:pPr>
      <w:r w:rsidRPr="00DD0D65">
        <w:rPr>
          <w:rStyle w:val="FootnoteReference"/>
          <w:sz w:val="16"/>
          <w:szCs w:val="16"/>
        </w:rPr>
        <w:footnoteRef/>
      </w:r>
      <w:r w:rsidRPr="00DD0D65">
        <w:rPr>
          <w:sz w:val="16"/>
          <w:szCs w:val="16"/>
        </w:rPr>
        <w:t xml:space="preserve"> Th</w:t>
      </w:r>
      <w:r w:rsidR="0091649E">
        <w:rPr>
          <w:sz w:val="16"/>
          <w:szCs w:val="16"/>
        </w:rPr>
        <w:t>e</w:t>
      </w:r>
      <w:r w:rsidRPr="00DD0D65">
        <w:rPr>
          <w:sz w:val="16"/>
          <w:szCs w:val="16"/>
        </w:rPr>
        <w:t>s</w:t>
      </w:r>
      <w:r w:rsidR="0091649E">
        <w:rPr>
          <w:sz w:val="16"/>
          <w:szCs w:val="16"/>
        </w:rPr>
        <w:t>e</w:t>
      </w:r>
      <w:r w:rsidRPr="00DD0D65">
        <w:rPr>
          <w:sz w:val="16"/>
          <w:szCs w:val="16"/>
        </w:rPr>
        <w:t xml:space="preserve"> figure</w:t>
      </w:r>
      <w:r w:rsidR="0091649E">
        <w:rPr>
          <w:sz w:val="16"/>
          <w:szCs w:val="16"/>
        </w:rPr>
        <w:t>s</w:t>
      </w:r>
      <w:r w:rsidRPr="00DD0D65">
        <w:rPr>
          <w:sz w:val="16"/>
          <w:szCs w:val="16"/>
        </w:rPr>
        <w:t xml:space="preserve"> (and other figures as indicated in this paragraph) have been excised from the report on the basis that the Panel has reasonable grounds to consider that they may be commercially confidential.</w:t>
      </w:r>
    </w:p>
  </w:footnote>
  <w:footnote w:id="41">
    <w:p w14:paraId="5B3A21F1" w14:textId="77777777" w:rsidR="006D6F4F" w:rsidRPr="00240111" w:rsidRDefault="006D6F4F" w:rsidP="006D6F4F">
      <w:pPr>
        <w:pStyle w:val="FootnoteText"/>
        <w:rPr>
          <w:sz w:val="16"/>
          <w:szCs w:val="16"/>
        </w:rPr>
      </w:pPr>
      <w:r w:rsidRPr="00240111">
        <w:rPr>
          <w:rStyle w:val="FootnoteReference"/>
          <w:sz w:val="16"/>
          <w:szCs w:val="16"/>
        </w:rPr>
        <w:footnoteRef/>
      </w:r>
      <w:r w:rsidRPr="00240111">
        <w:rPr>
          <w:sz w:val="16"/>
          <w:szCs w:val="16"/>
        </w:rPr>
        <w:t xml:space="preserve"> NCA, </w:t>
      </w:r>
      <w:r w:rsidRPr="00240111">
        <w:rPr>
          <w:i/>
          <w:iCs/>
          <w:sz w:val="16"/>
          <w:szCs w:val="16"/>
        </w:rPr>
        <w:t>Commercial evaluation and clarifications</w:t>
      </w:r>
      <w:r w:rsidRPr="00240111">
        <w:rPr>
          <w:sz w:val="16"/>
          <w:szCs w:val="16"/>
        </w:rPr>
        <w:t>, November 2025.</w:t>
      </w:r>
    </w:p>
  </w:footnote>
  <w:footnote w:id="42">
    <w:p w14:paraId="6034F3A4" w14:textId="77777777" w:rsidR="006D6F4F" w:rsidRPr="009043FE" w:rsidRDefault="006D6F4F" w:rsidP="006D6F4F">
      <w:pPr>
        <w:pStyle w:val="FootnoteText"/>
        <w:rPr>
          <w:sz w:val="16"/>
          <w:szCs w:val="16"/>
        </w:rPr>
      </w:pPr>
      <w:r w:rsidRPr="009043FE">
        <w:rPr>
          <w:rStyle w:val="FootnoteReference"/>
          <w:sz w:val="16"/>
          <w:szCs w:val="16"/>
        </w:rPr>
        <w:footnoteRef/>
      </w:r>
      <w:r w:rsidRPr="009043FE">
        <w:rPr>
          <w:sz w:val="16"/>
          <w:szCs w:val="16"/>
        </w:rPr>
        <w:t xml:space="preserve"> NCA, </w:t>
      </w:r>
      <w:r>
        <w:rPr>
          <w:i/>
          <w:iCs/>
          <w:sz w:val="16"/>
          <w:szCs w:val="16"/>
        </w:rPr>
        <w:t>R</w:t>
      </w:r>
      <w:r w:rsidRPr="009043FE">
        <w:rPr>
          <w:i/>
          <w:iCs/>
          <w:sz w:val="16"/>
          <w:szCs w:val="16"/>
        </w:rPr>
        <w:t>esponse to Panel questions,</w:t>
      </w:r>
      <w:r w:rsidRPr="009043FE">
        <w:rPr>
          <w:sz w:val="16"/>
          <w:szCs w:val="16"/>
        </w:rPr>
        <w:t xml:space="preserve"> 12 March 2026</w:t>
      </w:r>
      <w:r>
        <w:rPr>
          <w:sz w:val="16"/>
          <w:szCs w:val="16"/>
        </w:rPr>
        <w:t>.</w:t>
      </w:r>
    </w:p>
  </w:footnote>
  <w:footnote w:id="43">
    <w:p w14:paraId="2AF61024" w14:textId="4EDE338E" w:rsidR="006A5C7C" w:rsidRPr="003F0104" w:rsidRDefault="006A5C7C">
      <w:pPr>
        <w:pStyle w:val="FootnoteText"/>
        <w:rPr>
          <w:rFonts w:cs="Arial"/>
          <w:sz w:val="16"/>
          <w:szCs w:val="16"/>
        </w:rPr>
      </w:pPr>
      <w:r w:rsidRPr="003F0104">
        <w:rPr>
          <w:rStyle w:val="FootnoteReference"/>
          <w:rFonts w:cs="Arial"/>
          <w:sz w:val="16"/>
          <w:szCs w:val="16"/>
        </w:rPr>
        <w:footnoteRef/>
      </w:r>
      <w:r w:rsidRPr="003F0104">
        <w:rPr>
          <w:rFonts w:cs="Arial"/>
          <w:sz w:val="16"/>
          <w:szCs w:val="16"/>
        </w:rPr>
        <w:t xml:space="preserve"> “</w:t>
      </w:r>
      <w:r w:rsidRPr="003F0104">
        <w:rPr>
          <w:rFonts w:eastAsia="Segoe UI" w:cs="Arial"/>
          <w:color w:val="232330"/>
          <w:sz w:val="16"/>
          <w:szCs w:val="16"/>
          <w:lang w:val="en-US"/>
        </w:rPr>
        <w:t xml:space="preserve">We use the most minimum base costs that we are aware of as an NHS organisation” </w:t>
      </w:r>
      <w:r w:rsidR="00FD68DD">
        <w:rPr>
          <w:rFonts w:eastAsia="Segoe UI" w:cs="Arial"/>
          <w:color w:val="232330"/>
          <w:sz w:val="16"/>
          <w:szCs w:val="16"/>
          <w:lang w:val="en-US"/>
        </w:rPr>
        <w:t>(</w:t>
      </w:r>
      <w:r w:rsidRPr="003F0104">
        <w:rPr>
          <w:rFonts w:eastAsia="Segoe UI" w:cs="Arial"/>
          <w:color w:val="232330"/>
          <w:sz w:val="16"/>
          <w:szCs w:val="16"/>
          <w:lang w:val="en-US"/>
        </w:rPr>
        <w:t>Panel meeting with NCA, 2 April 2026</w:t>
      </w:r>
      <w:r w:rsidR="00FD68DD">
        <w:rPr>
          <w:rFonts w:eastAsia="Segoe UI" w:cs="Arial"/>
          <w:color w:val="232330"/>
          <w:sz w:val="16"/>
          <w:szCs w:val="16"/>
          <w:lang w:val="en-US"/>
        </w:rPr>
        <w:t>)</w:t>
      </w:r>
      <w:r w:rsidRPr="003F0104">
        <w:rPr>
          <w:rFonts w:eastAsia="Segoe UI" w:cs="Arial"/>
          <w:color w:val="232330"/>
          <w:sz w:val="16"/>
          <w:szCs w:val="16"/>
          <w:lang w:val="en-US"/>
        </w:rPr>
        <w:t>.</w:t>
      </w:r>
    </w:p>
  </w:footnote>
  <w:footnote w:id="44">
    <w:p w14:paraId="7CA24806" w14:textId="53F07D94" w:rsidR="00827879" w:rsidRPr="003F0104" w:rsidRDefault="00827879">
      <w:pPr>
        <w:pStyle w:val="FootnoteText"/>
        <w:rPr>
          <w:sz w:val="16"/>
          <w:szCs w:val="16"/>
        </w:rPr>
      </w:pPr>
      <w:r w:rsidRPr="003F0104">
        <w:rPr>
          <w:rStyle w:val="FootnoteReference"/>
          <w:sz w:val="16"/>
          <w:szCs w:val="16"/>
        </w:rPr>
        <w:footnoteRef/>
      </w:r>
      <w:r w:rsidRPr="003F0104">
        <w:rPr>
          <w:sz w:val="16"/>
          <w:szCs w:val="16"/>
        </w:rPr>
        <w:t xml:space="preserve"> NCA, </w:t>
      </w:r>
      <w:r w:rsidRPr="003F0104">
        <w:rPr>
          <w:i/>
          <w:sz w:val="16"/>
          <w:szCs w:val="16"/>
        </w:rPr>
        <w:t>Follow up letter to the Panel</w:t>
      </w:r>
      <w:r w:rsidRPr="003F0104">
        <w:rPr>
          <w:sz w:val="16"/>
          <w:szCs w:val="16"/>
        </w:rPr>
        <w:t>, 10 April 2026</w:t>
      </w:r>
    </w:p>
  </w:footnote>
  <w:footnote w:id="45">
    <w:p w14:paraId="6A73B34A" w14:textId="77777777" w:rsidR="006D6F4F" w:rsidRPr="00E33B78" w:rsidRDefault="006D6F4F" w:rsidP="006D6F4F">
      <w:pPr>
        <w:pStyle w:val="FootnoteText"/>
        <w:rPr>
          <w:sz w:val="16"/>
          <w:szCs w:val="16"/>
        </w:rPr>
      </w:pPr>
      <w:r w:rsidRPr="00E33B78">
        <w:rPr>
          <w:rStyle w:val="FootnoteReference"/>
          <w:sz w:val="16"/>
          <w:szCs w:val="16"/>
        </w:rPr>
        <w:footnoteRef/>
      </w:r>
      <w:r w:rsidRPr="00E33B78">
        <w:rPr>
          <w:sz w:val="16"/>
          <w:szCs w:val="16"/>
        </w:rPr>
        <w:t xml:space="preserve"> Panel meeting with NCA, 2 April 2026.</w:t>
      </w:r>
    </w:p>
  </w:footnote>
  <w:footnote w:id="46">
    <w:p w14:paraId="73B2207B" w14:textId="77777777" w:rsidR="006D6F4F" w:rsidRPr="00EB3667" w:rsidRDefault="006D6F4F" w:rsidP="006D6F4F">
      <w:pPr>
        <w:pStyle w:val="FootnoteText"/>
        <w:rPr>
          <w:sz w:val="16"/>
          <w:szCs w:val="16"/>
        </w:rPr>
      </w:pPr>
      <w:r w:rsidRPr="00EB3667">
        <w:rPr>
          <w:rStyle w:val="FootnoteReference"/>
          <w:sz w:val="16"/>
          <w:szCs w:val="16"/>
        </w:rPr>
        <w:footnoteRef/>
      </w:r>
      <w:r w:rsidRPr="00EB3667">
        <w:rPr>
          <w:sz w:val="16"/>
          <w:szCs w:val="16"/>
        </w:rPr>
        <w:t xml:space="preserve"> NCA, </w:t>
      </w:r>
      <w:r w:rsidRPr="00EB3667">
        <w:rPr>
          <w:i/>
          <w:iCs/>
          <w:sz w:val="16"/>
          <w:szCs w:val="16"/>
        </w:rPr>
        <w:t>Commercial evaluation and clarifications</w:t>
      </w:r>
      <w:r w:rsidRPr="00EB3667">
        <w:rPr>
          <w:sz w:val="16"/>
          <w:szCs w:val="16"/>
        </w:rPr>
        <w:t xml:space="preserve">, </w:t>
      </w:r>
      <w:r>
        <w:rPr>
          <w:sz w:val="16"/>
          <w:szCs w:val="16"/>
        </w:rPr>
        <w:t>December</w:t>
      </w:r>
      <w:r w:rsidRPr="00EB3667">
        <w:rPr>
          <w:sz w:val="16"/>
          <w:szCs w:val="16"/>
        </w:rPr>
        <w:t xml:space="preserve"> 2025.</w:t>
      </w:r>
    </w:p>
  </w:footnote>
  <w:footnote w:id="47">
    <w:p w14:paraId="04F66B09" w14:textId="77777777" w:rsidR="00187B12" w:rsidRPr="002C633A" w:rsidRDefault="00187B12" w:rsidP="00187B12">
      <w:pPr>
        <w:pStyle w:val="FootnoteText"/>
        <w:rPr>
          <w:sz w:val="16"/>
          <w:szCs w:val="16"/>
        </w:rPr>
      </w:pPr>
      <w:r w:rsidRPr="002C633A">
        <w:rPr>
          <w:rStyle w:val="FootnoteReference"/>
          <w:sz w:val="16"/>
          <w:szCs w:val="16"/>
        </w:rPr>
        <w:footnoteRef/>
      </w:r>
      <w:r w:rsidRPr="002C633A">
        <w:rPr>
          <w:sz w:val="16"/>
          <w:szCs w:val="16"/>
        </w:rPr>
        <w:t xml:space="preserve"> Endocare, </w:t>
      </w:r>
      <w:r w:rsidRPr="002C633A">
        <w:rPr>
          <w:i/>
          <w:iCs/>
          <w:sz w:val="16"/>
          <w:szCs w:val="16"/>
        </w:rPr>
        <w:t>Representations letter to NCA</w:t>
      </w:r>
      <w:r w:rsidRPr="002C633A">
        <w:rPr>
          <w:sz w:val="16"/>
          <w:szCs w:val="16"/>
        </w:rPr>
        <w:t>, 26 January 2026.</w:t>
      </w:r>
    </w:p>
  </w:footnote>
  <w:footnote w:id="48">
    <w:p w14:paraId="7C74DBC8" w14:textId="77777777" w:rsidR="00187B12" w:rsidRPr="00154357" w:rsidRDefault="00187B12" w:rsidP="00187B12">
      <w:pPr>
        <w:pStyle w:val="FootnoteText"/>
        <w:rPr>
          <w:sz w:val="16"/>
          <w:szCs w:val="16"/>
        </w:rPr>
      </w:pPr>
      <w:r w:rsidRPr="00154357">
        <w:rPr>
          <w:rStyle w:val="FootnoteReference"/>
          <w:sz w:val="16"/>
          <w:szCs w:val="16"/>
        </w:rPr>
        <w:footnoteRef/>
      </w:r>
      <w:r w:rsidRPr="00154357">
        <w:rPr>
          <w:sz w:val="16"/>
          <w:szCs w:val="16"/>
        </w:rPr>
        <w:t xml:space="preserve"> NCA, </w:t>
      </w:r>
      <w:r w:rsidRPr="00154357">
        <w:rPr>
          <w:i/>
          <w:iCs/>
          <w:sz w:val="16"/>
          <w:szCs w:val="16"/>
        </w:rPr>
        <w:t>Representations response letter to Endocare</w:t>
      </w:r>
      <w:r w:rsidRPr="00154357">
        <w:rPr>
          <w:sz w:val="16"/>
          <w:szCs w:val="16"/>
        </w:rPr>
        <w:t>, 17 February 2026.</w:t>
      </w:r>
    </w:p>
  </w:footnote>
  <w:footnote w:id="49">
    <w:p w14:paraId="78DAF5AD" w14:textId="77777777" w:rsidR="003E2BF8" w:rsidRPr="00462A1B" w:rsidRDefault="003E2BF8" w:rsidP="003E2BF8">
      <w:pPr>
        <w:pStyle w:val="FootnoteText"/>
        <w:rPr>
          <w:sz w:val="16"/>
          <w:szCs w:val="16"/>
        </w:rPr>
      </w:pPr>
      <w:r w:rsidRPr="00462A1B">
        <w:rPr>
          <w:rStyle w:val="FootnoteReference"/>
          <w:sz w:val="16"/>
          <w:szCs w:val="16"/>
        </w:rPr>
        <w:footnoteRef/>
      </w:r>
      <w:r w:rsidRPr="00462A1B">
        <w:rPr>
          <w:sz w:val="16"/>
          <w:szCs w:val="16"/>
        </w:rPr>
        <w:t xml:space="preserve"> Panel meeting with Endocare, 1 April 2026.</w:t>
      </w:r>
    </w:p>
  </w:footnote>
  <w:footnote w:id="50">
    <w:p w14:paraId="3CDEE840" w14:textId="77777777" w:rsidR="00D8406E" w:rsidRPr="00023B2F" w:rsidRDefault="00D8406E" w:rsidP="00D8406E">
      <w:pPr>
        <w:pStyle w:val="FootnoteText"/>
        <w:rPr>
          <w:sz w:val="16"/>
          <w:szCs w:val="16"/>
        </w:rPr>
      </w:pPr>
      <w:r w:rsidRPr="00023B2F">
        <w:rPr>
          <w:rStyle w:val="FootnoteReference"/>
          <w:sz w:val="16"/>
          <w:szCs w:val="16"/>
        </w:rPr>
        <w:footnoteRef/>
      </w:r>
      <w:r w:rsidRPr="00023B2F">
        <w:rPr>
          <w:sz w:val="16"/>
          <w:szCs w:val="16"/>
        </w:rPr>
        <w:t xml:space="preserve"> Panel meeting with NCA, 2 April 2026.</w:t>
      </w:r>
    </w:p>
  </w:footnote>
  <w:footnote w:id="51">
    <w:p w14:paraId="4E80BEEF" w14:textId="77777777" w:rsidR="00D8406E" w:rsidRPr="001E14AF" w:rsidRDefault="00D8406E" w:rsidP="00D8406E">
      <w:pPr>
        <w:pStyle w:val="FootnoteText"/>
        <w:rPr>
          <w:sz w:val="16"/>
          <w:szCs w:val="16"/>
        </w:rPr>
      </w:pPr>
      <w:r w:rsidRPr="001E14AF">
        <w:rPr>
          <w:rStyle w:val="FootnoteReference"/>
          <w:sz w:val="16"/>
          <w:szCs w:val="16"/>
        </w:rPr>
        <w:footnoteRef/>
      </w:r>
      <w:r w:rsidRPr="001E14AF">
        <w:rPr>
          <w:sz w:val="16"/>
          <w:szCs w:val="16"/>
        </w:rPr>
        <w:t xml:space="preserve"> Panel meeting with NCA, 2 April 2026.</w:t>
      </w:r>
    </w:p>
  </w:footnote>
  <w:footnote w:id="52">
    <w:p w14:paraId="463790F7" w14:textId="77777777" w:rsidR="00635983" w:rsidRPr="00AF33BC" w:rsidRDefault="00635983" w:rsidP="00635983">
      <w:pPr>
        <w:pStyle w:val="FootnoteText"/>
        <w:rPr>
          <w:sz w:val="16"/>
          <w:szCs w:val="16"/>
        </w:rPr>
      </w:pPr>
      <w:r w:rsidRPr="00AF33BC">
        <w:rPr>
          <w:rStyle w:val="FootnoteReference"/>
          <w:sz w:val="16"/>
          <w:szCs w:val="16"/>
        </w:rPr>
        <w:footnoteRef/>
      </w:r>
      <w:r w:rsidRPr="00AF33BC">
        <w:rPr>
          <w:sz w:val="16"/>
          <w:szCs w:val="16"/>
        </w:rPr>
        <w:t xml:space="preserve"> NCA, </w:t>
      </w:r>
      <w:r w:rsidRPr="00AF33BC">
        <w:rPr>
          <w:i/>
          <w:iCs/>
          <w:sz w:val="16"/>
          <w:szCs w:val="16"/>
        </w:rPr>
        <w:t>Financial clarifications to Endocare</w:t>
      </w:r>
      <w:r w:rsidRPr="00AF33BC">
        <w:rPr>
          <w:sz w:val="16"/>
          <w:szCs w:val="16"/>
        </w:rPr>
        <w:t>, 2 December 2025.</w:t>
      </w:r>
    </w:p>
  </w:footnote>
  <w:footnote w:id="53">
    <w:p w14:paraId="5CC11F2F" w14:textId="77777777" w:rsidR="00635983" w:rsidRPr="00AF33BC" w:rsidRDefault="00635983" w:rsidP="00635983">
      <w:pPr>
        <w:pStyle w:val="FootnoteText"/>
        <w:rPr>
          <w:sz w:val="16"/>
          <w:szCs w:val="16"/>
        </w:rPr>
      </w:pPr>
      <w:r w:rsidRPr="00AF33BC">
        <w:rPr>
          <w:rStyle w:val="FootnoteReference"/>
          <w:sz w:val="16"/>
          <w:szCs w:val="16"/>
        </w:rPr>
        <w:footnoteRef/>
      </w:r>
      <w:r w:rsidRPr="00AF33BC">
        <w:rPr>
          <w:sz w:val="16"/>
          <w:szCs w:val="16"/>
        </w:rPr>
        <w:t xml:space="preserve"> NCA, </w:t>
      </w:r>
      <w:r w:rsidRPr="00E333E1">
        <w:rPr>
          <w:i/>
          <w:iCs/>
          <w:sz w:val="16"/>
          <w:szCs w:val="16"/>
        </w:rPr>
        <w:t>Commercial evaluation and clarifications</w:t>
      </w:r>
      <w:r w:rsidRPr="00E333E1">
        <w:rPr>
          <w:sz w:val="16"/>
          <w:szCs w:val="16"/>
        </w:rPr>
        <w:t>, December 2025</w:t>
      </w:r>
      <w:r w:rsidRPr="00AF33BC">
        <w:rPr>
          <w:sz w:val="16"/>
          <w:szCs w:val="16"/>
        </w:rPr>
        <w:t xml:space="preserve">. </w:t>
      </w:r>
    </w:p>
  </w:footnote>
  <w:footnote w:id="54">
    <w:p w14:paraId="0D0CFAE8" w14:textId="17EA58D1" w:rsidR="0002294C" w:rsidRPr="00076147" w:rsidRDefault="0002294C" w:rsidP="0002294C">
      <w:pPr>
        <w:pStyle w:val="FootnoteText"/>
        <w:rPr>
          <w:sz w:val="16"/>
          <w:szCs w:val="16"/>
        </w:rPr>
      </w:pPr>
      <w:r w:rsidRPr="00076147">
        <w:rPr>
          <w:rStyle w:val="FootnoteReference"/>
          <w:sz w:val="16"/>
          <w:szCs w:val="16"/>
        </w:rPr>
        <w:footnoteRef/>
      </w:r>
      <w:r w:rsidRPr="00076147">
        <w:rPr>
          <w:sz w:val="16"/>
          <w:szCs w:val="16"/>
        </w:rPr>
        <w:t xml:space="preserve"> </w:t>
      </w:r>
      <w:r w:rsidR="004A604A">
        <w:rPr>
          <w:sz w:val="16"/>
          <w:szCs w:val="16"/>
        </w:rPr>
        <w:t xml:space="preserve">NCA told the Panel that </w:t>
      </w:r>
      <w:r w:rsidRPr="00076147">
        <w:rPr>
          <w:sz w:val="16"/>
          <w:szCs w:val="16"/>
        </w:rPr>
        <w:t xml:space="preserve">“What we didn't include within that </w:t>
      </w:r>
      <w:r w:rsidR="004A604A">
        <w:rPr>
          <w:sz w:val="16"/>
          <w:szCs w:val="16"/>
        </w:rPr>
        <w:t>[</w:t>
      </w:r>
      <w:r w:rsidR="00550EEA">
        <w:rPr>
          <w:sz w:val="16"/>
          <w:szCs w:val="16"/>
        </w:rPr>
        <w:t>NCA’</w:t>
      </w:r>
      <w:r w:rsidR="004A604A">
        <w:rPr>
          <w:sz w:val="16"/>
          <w:szCs w:val="16"/>
        </w:rPr>
        <w:t xml:space="preserve">s financial model] </w:t>
      </w:r>
      <w:r w:rsidRPr="00076147">
        <w:rPr>
          <w:sz w:val="16"/>
          <w:szCs w:val="16"/>
        </w:rPr>
        <w:t>was digital systems, any other staff</w:t>
      </w:r>
      <w:r w:rsidR="009A40BC">
        <w:rPr>
          <w:sz w:val="16"/>
          <w:szCs w:val="16"/>
        </w:rPr>
        <w:t xml:space="preserve"> </w:t>
      </w:r>
      <w:r w:rsidRPr="00076147">
        <w:rPr>
          <w:sz w:val="16"/>
          <w:szCs w:val="16"/>
        </w:rPr>
        <w:t xml:space="preserve">cost, any profit share that they might use, statutory employment costs, uniform and PPE and CQC accreditation JAG costs as well because you know we could go on forever with that” </w:t>
      </w:r>
      <w:r w:rsidR="00CF6DAE">
        <w:rPr>
          <w:sz w:val="16"/>
          <w:szCs w:val="16"/>
        </w:rPr>
        <w:t>(</w:t>
      </w:r>
      <w:r w:rsidRPr="00076147">
        <w:rPr>
          <w:sz w:val="16"/>
          <w:szCs w:val="16"/>
        </w:rPr>
        <w:t>Panel meeting with NCA, 2 April 2026</w:t>
      </w:r>
      <w:r w:rsidR="00CF6DAE">
        <w:rPr>
          <w:sz w:val="16"/>
          <w:szCs w:val="16"/>
        </w:rPr>
        <w:t>)</w:t>
      </w:r>
      <w:r w:rsidRPr="00076147">
        <w:rPr>
          <w:sz w:val="16"/>
          <w:szCs w:val="16"/>
        </w:rPr>
        <w:t>.</w:t>
      </w:r>
    </w:p>
  </w:footnote>
  <w:footnote w:id="55">
    <w:p w14:paraId="1C2DC088" w14:textId="431111A0" w:rsidR="001233D3" w:rsidRPr="00AF33BC" w:rsidRDefault="001233D3">
      <w:pPr>
        <w:pStyle w:val="FootnoteText"/>
        <w:rPr>
          <w:sz w:val="16"/>
          <w:szCs w:val="16"/>
        </w:rPr>
      </w:pPr>
      <w:r w:rsidRPr="00AF33BC">
        <w:rPr>
          <w:rStyle w:val="FootnoteReference"/>
          <w:sz w:val="16"/>
          <w:szCs w:val="16"/>
        </w:rPr>
        <w:footnoteRef/>
      </w:r>
      <w:r w:rsidRPr="00AF33BC">
        <w:rPr>
          <w:sz w:val="16"/>
          <w:szCs w:val="16"/>
        </w:rPr>
        <w:t xml:space="preserve"> NCA Clinical Director, </w:t>
      </w:r>
      <w:r w:rsidRPr="00AF33BC">
        <w:rPr>
          <w:i/>
          <w:iCs/>
          <w:sz w:val="16"/>
          <w:szCs w:val="16"/>
        </w:rPr>
        <w:t>Email to consultant gastroenterologists at NCA</w:t>
      </w:r>
      <w:r w:rsidRPr="00AF33BC">
        <w:rPr>
          <w:sz w:val="16"/>
          <w:szCs w:val="16"/>
        </w:rPr>
        <w:t>, 20 January 2026.</w:t>
      </w:r>
    </w:p>
  </w:footnote>
  <w:footnote w:id="56">
    <w:p w14:paraId="6EF5DE25" w14:textId="6B59E90F" w:rsidR="005A3496" w:rsidRPr="005A3496" w:rsidRDefault="005A3496">
      <w:pPr>
        <w:pStyle w:val="FootnoteText"/>
        <w:rPr>
          <w:sz w:val="16"/>
          <w:szCs w:val="16"/>
        </w:rPr>
      </w:pPr>
      <w:r w:rsidRPr="005A3496">
        <w:rPr>
          <w:rStyle w:val="FootnoteReference"/>
          <w:sz w:val="16"/>
          <w:szCs w:val="16"/>
        </w:rPr>
        <w:footnoteRef/>
      </w:r>
      <w:r w:rsidRPr="005A3496">
        <w:rPr>
          <w:sz w:val="16"/>
          <w:szCs w:val="16"/>
        </w:rPr>
        <w:t xml:space="preserve"> NCA, </w:t>
      </w:r>
      <w:r w:rsidRPr="003A0030">
        <w:rPr>
          <w:i/>
          <w:iCs/>
          <w:sz w:val="16"/>
          <w:szCs w:val="16"/>
        </w:rPr>
        <w:t>Response to Panel questions</w:t>
      </w:r>
      <w:r w:rsidRPr="005A3496">
        <w:rPr>
          <w:sz w:val="16"/>
          <w:szCs w:val="16"/>
        </w:rPr>
        <w:t>, 6 March 2026.</w:t>
      </w:r>
    </w:p>
  </w:footnote>
  <w:footnote w:id="57">
    <w:p w14:paraId="7A8ED11C" w14:textId="1408B68D" w:rsidR="00EF4807" w:rsidRPr="005A3496" w:rsidRDefault="00EF4807">
      <w:pPr>
        <w:pStyle w:val="FootnoteText"/>
        <w:rPr>
          <w:sz w:val="16"/>
          <w:szCs w:val="16"/>
        </w:rPr>
      </w:pPr>
      <w:r w:rsidRPr="005A3496">
        <w:rPr>
          <w:rStyle w:val="FootnoteReference"/>
          <w:sz w:val="16"/>
          <w:szCs w:val="16"/>
        </w:rPr>
        <w:footnoteRef/>
      </w:r>
      <w:r w:rsidRPr="005A3496">
        <w:rPr>
          <w:sz w:val="16"/>
          <w:szCs w:val="16"/>
        </w:rPr>
        <w:t xml:space="preserve"> NCA, </w:t>
      </w:r>
      <w:r w:rsidRPr="003A0030">
        <w:rPr>
          <w:i/>
          <w:iCs/>
          <w:sz w:val="16"/>
          <w:szCs w:val="16"/>
        </w:rPr>
        <w:t>Response to Panel questions</w:t>
      </w:r>
      <w:r w:rsidRPr="005A3496">
        <w:rPr>
          <w:sz w:val="16"/>
          <w:szCs w:val="16"/>
        </w:rPr>
        <w:t xml:space="preserve">, </w:t>
      </w:r>
      <w:r w:rsidR="005A3496" w:rsidRPr="005A3496">
        <w:rPr>
          <w:sz w:val="16"/>
          <w:szCs w:val="16"/>
        </w:rPr>
        <w:t>6 March 2026.</w:t>
      </w:r>
    </w:p>
  </w:footnote>
  <w:footnote w:id="58">
    <w:p w14:paraId="34B6021F" w14:textId="5E6AC2D9" w:rsidR="002E03DF" w:rsidRPr="002E03DF" w:rsidRDefault="002E03DF">
      <w:pPr>
        <w:pStyle w:val="FootnoteText"/>
        <w:rPr>
          <w:sz w:val="16"/>
          <w:szCs w:val="16"/>
        </w:rPr>
      </w:pPr>
      <w:r w:rsidRPr="002E03DF">
        <w:rPr>
          <w:rStyle w:val="FootnoteReference"/>
          <w:sz w:val="16"/>
          <w:szCs w:val="16"/>
        </w:rPr>
        <w:footnoteRef/>
      </w:r>
      <w:r w:rsidRPr="002E03DF">
        <w:rPr>
          <w:sz w:val="16"/>
          <w:szCs w:val="16"/>
        </w:rPr>
        <w:t xml:space="preserve"> Endocare, </w:t>
      </w:r>
      <w:r w:rsidRPr="002E03DF">
        <w:rPr>
          <w:i/>
          <w:iCs/>
          <w:sz w:val="16"/>
          <w:szCs w:val="16"/>
        </w:rPr>
        <w:t>Representations letter to NCA</w:t>
      </w:r>
      <w:r w:rsidRPr="002E03DF">
        <w:rPr>
          <w:sz w:val="16"/>
          <w:szCs w:val="16"/>
        </w:rPr>
        <w:t>, 26 January 2026.</w:t>
      </w:r>
    </w:p>
  </w:footnote>
  <w:footnote w:id="59">
    <w:p w14:paraId="6E97DA26" w14:textId="67F48D8F" w:rsidR="00F573B2" w:rsidRPr="00F573B2" w:rsidRDefault="00F573B2">
      <w:pPr>
        <w:pStyle w:val="FootnoteText"/>
        <w:rPr>
          <w:sz w:val="16"/>
          <w:szCs w:val="16"/>
        </w:rPr>
      </w:pPr>
      <w:r w:rsidRPr="00F573B2">
        <w:rPr>
          <w:rStyle w:val="FootnoteReference"/>
          <w:sz w:val="16"/>
          <w:szCs w:val="16"/>
        </w:rPr>
        <w:footnoteRef/>
      </w:r>
      <w:r w:rsidRPr="00F573B2">
        <w:rPr>
          <w:sz w:val="16"/>
          <w:szCs w:val="16"/>
        </w:rPr>
        <w:t xml:space="preserve"> NCA, </w:t>
      </w:r>
      <w:r w:rsidRPr="00F573B2">
        <w:rPr>
          <w:i/>
          <w:iCs/>
          <w:sz w:val="16"/>
          <w:szCs w:val="16"/>
        </w:rPr>
        <w:t>Representations response letter to Endocare</w:t>
      </w:r>
      <w:r w:rsidRPr="00F573B2">
        <w:rPr>
          <w:sz w:val="16"/>
          <w:szCs w:val="16"/>
        </w:rPr>
        <w:t>, 17 February 2026</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2CC"/>
    <w:multiLevelType w:val="hybridMultilevel"/>
    <w:tmpl w:val="31D2AF12"/>
    <w:lvl w:ilvl="0" w:tplc="D0141C00">
      <w:start w:val="1"/>
      <w:numFmt w:val="bullet"/>
      <w:lvlText w:val=""/>
      <w:lvlJc w:val="left"/>
      <w:pPr>
        <w:ind w:left="1440" w:hanging="360"/>
      </w:pPr>
      <w:rPr>
        <w:rFonts w:ascii="Symbol" w:hAnsi="Symbol"/>
      </w:rPr>
    </w:lvl>
    <w:lvl w:ilvl="1" w:tplc="B6FE9F24">
      <w:start w:val="1"/>
      <w:numFmt w:val="bullet"/>
      <w:lvlText w:val=""/>
      <w:lvlJc w:val="left"/>
      <w:pPr>
        <w:ind w:left="1440" w:hanging="360"/>
      </w:pPr>
      <w:rPr>
        <w:rFonts w:ascii="Symbol" w:hAnsi="Symbol"/>
      </w:rPr>
    </w:lvl>
    <w:lvl w:ilvl="2" w:tplc="C7B647E0">
      <w:start w:val="1"/>
      <w:numFmt w:val="bullet"/>
      <w:lvlText w:val=""/>
      <w:lvlJc w:val="left"/>
      <w:pPr>
        <w:ind w:left="1440" w:hanging="360"/>
      </w:pPr>
      <w:rPr>
        <w:rFonts w:ascii="Symbol" w:hAnsi="Symbol"/>
      </w:rPr>
    </w:lvl>
    <w:lvl w:ilvl="3" w:tplc="B6D4776A">
      <w:start w:val="1"/>
      <w:numFmt w:val="bullet"/>
      <w:lvlText w:val=""/>
      <w:lvlJc w:val="left"/>
      <w:pPr>
        <w:ind w:left="1440" w:hanging="360"/>
      </w:pPr>
      <w:rPr>
        <w:rFonts w:ascii="Symbol" w:hAnsi="Symbol"/>
      </w:rPr>
    </w:lvl>
    <w:lvl w:ilvl="4" w:tplc="8830F914">
      <w:start w:val="1"/>
      <w:numFmt w:val="bullet"/>
      <w:lvlText w:val=""/>
      <w:lvlJc w:val="left"/>
      <w:pPr>
        <w:ind w:left="1440" w:hanging="360"/>
      </w:pPr>
      <w:rPr>
        <w:rFonts w:ascii="Symbol" w:hAnsi="Symbol"/>
      </w:rPr>
    </w:lvl>
    <w:lvl w:ilvl="5" w:tplc="2F1252C0">
      <w:start w:val="1"/>
      <w:numFmt w:val="bullet"/>
      <w:lvlText w:val=""/>
      <w:lvlJc w:val="left"/>
      <w:pPr>
        <w:ind w:left="1440" w:hanging="360"/>
      </w:pPr>
      <w:rPr>
        <w:rFonts w:ascii="Symbol" w:hAnsi="Symbol"/>
      </w:rPr>
    </w:lvl>
    <w:lvl w:ilvl="6" w:tplc="F77C17CA">
      <w:start w:val="1"/>
      <w:numFmt w:val="bullet"/>
      <w:lvlText w:val=""/>
      <w:lvlJc w:val="left"/>
      <w:pPr>
        <w:ind w:left="1440" w:hanging="360"/>
      </w:pPr>
      <w:rPr>
        <w:rFonts w:ascii="Symbol" w:hAnsi="Symbol"/>
      </w:rPr>
    </w:lvl>
    <w:lvl w:ilvl="7" w:tplc="2062CE46">
      <w:start w:val="1"/>
      <w:numFmt w:val="bullet"/>
      <w:lvlText w:val=""/>
      <w:lvlJc w:val="left"/>
      <w:pPr>
        <w:ind w:left="1440" w:hanging="360"/>
      </w:pPr>
      <w:rPr>
        <w:rFonts w:ascii="Symbol" w:hAnsi="Symbol"/>
      </w:rPr>
    </w:lvl>
    <w:lvl w:ilvl="8" w:tplc="EC88D902">
      <w:start w:val="1"/>
      <w:numFmt w:val="bullet"/>
      <w:lvlText w:val=""/>
      <w:lvlJc w:val="left"/>
      <w:pPr>
        <w:ind w:left="1440" w:hanging="360"/>
      </w:pPr>
      <w:rPr>
        <w:rFonts w:ascii="Symbol" w:hAnsi="Symbol"/>
      </w:rPr>
    </w:lvl>
  </w:abstractNum>
  <w:abstractNum w:abstractNumId="1" w15:restartNumberingAfterBreak="0">
    <w:nsid w:val="09D32095"/>
    <w:multiLevelType w:val="hybridMultilevel"/>
    <w:tmpl w:val="44F4B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5B2207"/>
    <w:multiLevelType w:val="hybridMultilevel"/>
    <w:tmpl w:val="260E38E0"/>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3" w15:restartNumberingAfterBreak="0">
    <w:nsid w:val="1BF94741"/>
    <w:multiLevelType w:val="hybridMultilevel"/>
    <w:tmpl w:val="72E2B4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F7F7393"/>
    <w:multiLevelType w:val="hybridMultilevel"/>
    <w:tmpl w:val="5C92A23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0D135C1"/>
    <w:multiLevelType w:val="hybridMultilevel"/>
    <w:tmpl w:val="BD72759C"/>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6" w15:restartNumberingAfterBreak="0">
    <w:nsid w:val="25A27C41"/>
    <w:multiLevelType w:val="hybridMultilevel"/>
    <w:tmpl w:val="32DC7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3E280C"/>
    <w:multiLevelType w:val="hybridMultilevel"/>
    <w:tmpl w:val="2A2A1814"/>
    <w:lvl w:ilvl="0" w:tplc="395010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BB4F52"/>
    <w:multiLevelType w:val="hybridMultilevel"/>
    <w:tmpl w:val="83C6A37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E8029A4"/>
    <w:multiLevelType w:val="hybridMultilevel"/>
    <w:tmpl w:val="FDE4A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7E4BCF"/>
    <w:multiLevelType w:val="hybridMultilevel"/>
    <w:tmpl w:val="949A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6F14F7"/>
    <w:multiLevelType w:val="multilevel"/>
    <w:tmpl w:val="01CC3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A42345"/>
    <w:multiLevelType w:val="hybridMultilevel"/>
    <w:tmpl w:val="7AF8FC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C97461"/>
    <w:multiLevelType w:val="multilevel"/>
    <w:tmpl w:val="1E68CE7A"/>
    <w:lvl w:ilvl="0">
      <w:start w:val="7"/>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4540BA"/>
    <w:multiLevelType w:val="multilevel"/>
    <w:tmpl w:val="9EF23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5045F5"/>
    <w:multiLevelType w:val="hybridMultilevel"/>
    <w:tmpl w:val="F8AC7DC6"/>
    <w:lvl w:ilvl="0" w:tplc="08090001">
      <w:start w:val="1"/>
      <w:numFmt w:val="bullet"/>
      <w:lvlText w:val=""/>
      <w:lvlJc w:val="left"/>
      <w:pPr>
        <w:ind w:left="1074" w:hanging="360"/>
      </w:pPr>
      <w:rPr>
        <w:rFonts w:ascii="Symbol" w:hAnsi="Symbol" w:hint="default"/>
      </w:rPr>
    </w:lvl>
    <w:lvl w:ilvl="1" w:tplc="08090003">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6" w15:restartNumberingAfterBreak="0">
    <w:nsid w:val="515E3F09"/>
    <w:multiLevelType w:val="hybridMultilevel"/>
    <w:tmpl w:val="EB6A0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E70973"/>
    <w:multiLevelType w:val="hybridMultilevel"/>
    <w:tmpl w:val="552CEC6C"/>
    <w:lvl w:ilvl="0" w:tplc="4EAA5550">
      <w:start w:val="1"/>
      <w:numFmt w:val="decimal"/>
      <w:pStyle w:val="ListParagraph"/>
      <w:lvlText w:val="%1."/>
      <w:lvlJc w:val="left"/>
      <w:pPr>
        <w:ind w:left="720" w:hanging="360"/>
      </w:pPr>
      <w:rPr>
        <w:rFonts w:hint="default"/>
      </w:rPr>
    </w:lvl>
    <w:lvl w:ilvl="1" w:tplc="6374DA84">
      <w:numFmt w:val="bullet"/>
      <w:lvlText w:val="•"/>
      <w:lvlJc w:val="left"/>
      <w:pPr>
        <w:ind w:left="1440" w:hanging="360"/>
      </w:pPr>
      <w:rPr>
        <w:rFonts w:ascii="Arial" w:eastAsiaTheme="minorHAnsi"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484E05"/>
    <w:multiLevelType w:val="hybridMultilevel"/>
    <w:tmpl w:val="B9FA4908"/>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9" w15:restartNumberingAfterBreak="0">
    <w:nsid w:val="56596AC6"/>
    <w:multiLevelType w:val="hybridMultilevel"/>
    <w:tmpl w:val="F6329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A8200C5"/>
    <w:multiLevelType w:val="multilevel"/>
    <w:tmpl w:val="2FF2A666"/>
    <w:lvl w:ilvl="0">
      <w:start w:val="3"/>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CCE078A"/>
    <w:multiLevelType w:val="hybridMultilevel"/>
    <w:tmpl w:val="EB501A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D042580"/>
    <w:multiLevelType w:val="hybridMultilevel"/>
    <w:tmpl w:val="808C188C"/>
    <w:lvl w:ilvl="0" w:tplc="F5CADA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2954AD"/>
    <w:multiLevelType w:val="hybridMultilevel"/>
    <w:tmpl w:val="8DBCF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B72953"/>
    <w:multiLevelType w:val="hybridMultilevel"/>
    <w:tmpl w:val="33CA4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C1416FF"/>
    <w:multiLevelType w:val="hybridMultilevel"/>
    <w:tmpl w:val="E1D69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E6C74BB"/>
    <w:multiLevelType w:val="hybridMultilevel"/>
    <w:tmpl w:val="EF844D00"/>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27" w15:restartNumberingAfterBreak="0">
    <w:nsid w:val="749F5395"/>
    <w:multiLevelType w:val="hybridMultilevel"/>
    <w:tmpl w:val="DC10D6C4"/>
    <w:lvl w:ilvl="0" w:tplc="99B43C12">
      <w:start w:val="1"/>
      <w:numFmt w:val="decimal"/>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55C0B87"/>
    <w:multiLevelType w:val="multilevel"/>
    <w:tmpl w:val="B6823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6177EF"/>
    <w:multiLevelType w:val="hybridMultilevel"/>
    <w:tmpl w:val="C57A91A0"/>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0" w15:restartNumberingAfterBreak="0">
    <w:nsid w:val="7B385561"/>
    <w:multiLevelType w:val="multilevel"/>
    <w:tmpl w:val="89142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492E30"/>
    <w:multiLevelType w:val="hybridMultilevel"/>
    <w:tmpl w:val="4FF8393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num w:numId="1" w16cid:durableId="699167938">
    <w:abstractNumId w:val="16"/>
  </w:num>
  <w:num w:numId="2" w16cid:durableId="688677479">
    <w:abstractNumId w:val="27"/>
  </w:num>
  <w:num w:numId="3" w16cid:durableId="1553033104">
    <w:abstractNumId w:val="19"/>
  </w:num>
  <w:num w:numId="4" w16cid:durableId="1957641585">
    <w:abstractNumId w:val="21"/>
  </w:num>
  <w:num w:numId="5" w16cid:durableId="194780621">
    <w:abstractNumId w:val="24"/>
  </w:num>
  <w:num w:numId="6" w16cid:durableId="895160670">
    <w:abstractNumId w:val="25"/>
  </w:num>
  <w:num w:numId="7" w16cid:durableId="709499666">
    <w:abstractNumId w:val="27"/>
  </w:num>
  <w:num w:numId="8" w16cid:durableId="1864128803">
    <w:abstractNumId w:val="27"/>
    <w:lvlOverride w:ilvl="0">
      <w:startOverride w:val="2"/>
    </w:lvlOverride>
  </w:num>
  <w:num w:numId="9" w16cid:durableId="1139496106">
    <w:abstractNumId w:val="20"/>
  </w:num>
  <w:num w:numId="10" w16cid:durableId="643857812">
    <w:abstractNumId w:val="22"/>
  </w:num>
  <w:num w:numId="11" w16cid:durableId="2000695017">
    <w:abstractNumId w:val="17"/>
  </w:num>
  <w:num w:numId="12" w16cid:durableId="641428876">
    <w:abstractNumId w:val="15"/>
  </w:num>
  <w:num w:numId="13" w16cid:durableId="1084454028">
    <w:abstractNumId w:val="26"/>
  </w:num>
  <w:num w:numId="14" w16cid:durableId="1965429470">
    <w:abstractNumId w:val="1"/>
  </w:num>
  <w:num w:numId="15" w16cid:durableId="1918244656">
    <w:abstractNumId w:val="12"/>
  </w:num>
  <w:num w:numId="16" w16cid:durableId="1361857261">
    <w:abstractNumId w:val="10"/>
  </w:num>
  <w:num w:numId="17" w16cid:durableId="1874728926">
    <w:abstractNumId w:val="13"/>
  </w:num>
  <w:num w:numId="18" w16cid:durableId="45104576">
    <w:abstractNumId w:val="6"/>
  </w:num>
  <w:num w:numId="19" w16cid:durableId="461002247">
    <w:abstractNumId w:val="5"/>
  </w:num>
  <w:num w:numId="20" w16cid:durableId="311637486">
    <w:abstractNumId w:val="4"/>
  </w:num>
  <w:num w:numId="21" w16cid:durableId="888298285">
    <w:abstractNumId w:val="8"/>
  </w:num>
  <w:num w:numId="22" w16cid:durableId="1892956042">
    <w:abstractNumId w:val="18"/>
  </w:num>
  <w:num w:numId="23" w16cid:durableId="43070657">
    <w:abstractNumId w:val="3"/>
  </w:num>
  <w:num w:numId="24" w16cid:durableId="1503857806">
    <w:abstractNumId w:val="11"/>
    <w:lvlOverride w:ilvl="0">
      <w:startOverride w:val="1"/>
    </w:lvlOverride>
  </w:num>
  <w:num w:numId="25" w16cid:durableId="754742539">
    <w:abstractNumId w:val="29"/>
  </w:num>
  <w:num w:numId="26" w16cid:durableId="372733363">
    <w:abstractNumId w:val="7"/>
  </w:num>
  <w:num w:numId="27" w16cid:durableId="1680768758">
    <w:abstractNumId w:val="31"/>
  </w:num>
  <w:num w:numId="28" w16cid:durableId="2085057259">
    <w:abstractNumId w:val="14"/>
    <w:lvlOverride w:ilvl="0">
      <w:startOverride w:val="1"/>
    </w:lvlOverride>
  </w:num>
  <w:num w:numId="29" w16cid:durableId="1349791132">
    <w:abstractNumId w:val="23"/>
  </w:num>
  <w:num w:numId="30" w16cid:durableId="1656714529">
    <w:abstractNumId w:val="9"/>
  </w:num>
  <w:num w:numId="31" w16cid:durableId="88087715">
    <w:abstractNumId w:val="30"/>
  </w:num>
  <w:num w:numId="32" w16cid:durableId="1045448414">
    <w:abstractNumId w:val="28"/>
  </w:num>
  <w:num w:numId="33" w16cid:durableId="1960985033">
    <w:abstractNumId w:val="2"/>
  </w:num>
  <w:num w:numId="34" w16cid:durableId="1410537840">
    <w:abstractNumId w:val="0"/>
  </w:num>
  <w:num w:numId="35" w16cid:durableId="19256005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ZdUvQLvt3iZM9pD0Qj9uxLzDT8QpImG/c2nIWnlrgZKJMq7bfG70akdTZIPYWUS6ep1xYywUBQVjt9prQteyaA==" w:salt="IIfIuwlpZxx49lS15Ol01g=="/>
  <w:defaultTabStop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EA"/>
    <w:rsid w:val="00000057"/>
    <w:rsid w:val="00000339"/>
    <w:rsid w:val="000008BA"/>
    <w:rsid w:val="000011F7"/>
    <w:rsid w:val="0000138D"/>
    <w:rsid w:val="00002601"/>
    <w:rsid w:val="00002884"/>
    <w:rsid w:val="00003E15"/>
    <w:rsid w:val="00004E1B"/>
    <w:rsid w:val="00005270"/>
    <w:rsid w:val="00006175"/>
    <w:rsid w:val="000067EE"/>
    <w:rsid w:val="00006917"/>
    <w:rsid w:val="000073E5"/>
    <w:rsid w:val="00007966"/>
    <w:rsid w:val="00007A95"/>
    <w:rsid w:val="00007AA0"/>
    <w:rsid w:val="00007CAE"/>
    <w:rsid w:val="000103CB"/>
    <w:rsid w:val="00010855"/>
    <w:rsid w:val="0001153C"/>
    <w:rsid w:val="0001158B"/>
    <w:rsid w:val="00011697"/>
    <w:rsid w:val="0001194E"/>
    <w:rsid w:val="00012170"/>
    <w:rsid w:val="0001281B"/>
    <w:rsid w:val="000129BF"/>
    <w:rsid w:val="000138A4"/>
    <w:rsid w:val="0001415C"/>
    <w:rsid w:val="00014C69"/>
    <w:rsid w:val="000158D5"/>
    <w:rsid w:val="00015D91"/>
    <w:rsid w:val="00016193"/>
    <w:rsid w:val="00016968"/>
    <w:rsid w:val="00017B1E"/>
    <w:rsid w:val="00017E35"/>
    <w:rsid w:val="000215A7"/>
    <w:rsid w:val="00021D83"/>
    <w:rsid w:val="00021F8C"/>
    <w:rsid w:val="000225F6"/>
    <w:rsid w:val="000226A0"/>
    <w:rsid w:val="00022890"/>
    <w:rsid w:val="0002294C"/>
    <w:rsid w:val="000230D5"/>
    <w:rsid w:val="00023270"/>
    <w:rsid w:val="0002335F"/>
    <w:rsid w:val="000236D5"/>
    <w:rsid w:val="00023854"/>
    <w:rsid w:val="00023B2F"/>
    <w:rsid w:val="00023BB5"/>
    <w:rsid w:val="00023C06"/>
    <w:rsid w:val="00023EB5"/>
    <w:rsid w:val="0002424A"/>
    <w:rsid w:val="00024627"/>
    <w:rsid w:val="00024D44"/>
    <w:rsid w:val="00024EAB"/>
    <w:rsid w:val="000252CD"/>
    <w:rsid w:val="00025A01"/>
    <w:rsid w:val="00025CFA"/>
    <w:rsid w:val="000260CA"/>
    <w:rsid w:val="0002677E"/>
    <w:rsid w:val="00027691"/>
    <w:rsid w:val="000302C5"/>
    <w:rsid w:val="0003043B"/>
    <w:rsid w:val="00030809"/>
    <w:rsid w:val="00030B67"/>
    <w:rsid w:val="00030BBF"/>
    <w:rsid w:val="00031366"/>
    <w:rsid w:val="00031666"/>
    <w:rsid w:val="000318EF"/>
    <w:rsid w:val="00031D8C"/>
    <w:rsid w:val="00032174"/>
    <w:rsid w:val="00032641"/>
    <w:rsid w:val="00034579"/>
    <w:rsid w:val="00034754"/>
    <w:rsid w:val="0003527F"/>
    <w:rsid w:val="00035BAE"/>
    <w:rsid w:val="000362A7"/>
    <w:rsid w:val="000362AD"/>
    <w:rsid w:val="000362F2"/>
    <w:rsid w:val="0003679D"/>
    <w:rsid w:val="000367DB"/>
    <w:rsid w:val="000369F5"/>
    <w:rsid w:val="00036EEC"/>
    <w:rsid w:val="00037029"/>
    <w:rsid w:val="00037AB6"/>
    <w:rsid w:val="00037C9F"/>
    <w:rsid w:val="0004052A"/>
    <w:rsid w:val="00040D5B"/>
    <w:rsid w:val="00040EE4"/>
    <w:rsid w:val="00040F79"/>
    <w:rsid w:val="00041173"/>
    <w:rsid w:val="00041361"/>
    <w:rsid w:val="000416A5"/>
    <w:rsid w:val="00041E28"/>
    <w:rsid w:val="00042480"/>
    <w:rsid w:val="000429E9"/>
    <w:rsid w:val="00042C19"/>
    <w:rsid w:val="00043063"/>
    <w:rsid w:val="0004332C"/>
    <w:rsid w:val="00043DD3"/>
    <w:rsid w:val="000445FA"/>
    <w:rsid w:val="00044A1C"/>
    <w:rsid w:val="00044A88"/>
    <w:rsid w:val="00044AA3"/>
    <w:rsid w:val="00044FD3"/>
    <w:rsid w:val="00045023"/>
    <w:rsid w:val="00046A25"/>
    <w:rsid w:val="00046D8E"/>
    <w:rsid w:val="00047341"/>
    <w:rsid w:val="00047DFA"/>
    <w:rsid w:val="00047E56"/>
    <w:rsid w:val="00047F52"/>
    <w:rsid w:val="00047FDD"/>
    <w:rsid w:val="00050130"/>
    <w:rsid w:val="00050DD3"/>
    <w:rsid w:val="00051BB0"/>
    <w:rsid w:val="000523C2"/>
    <w:rsid w:val="00052D17"/>
    <w:rsid w:val="00053C3B"/>
    <w:rsid w:val="00054466"/>
    <w:rsid w:val="00054691"/>
    <w:rsid w:val="00054877"/>
    <w:rsid w:val="00054BC9"/>
    <w:rsid w:val="00055035"/>
    <w:rsid w:val="00055203"/>
    <w:rsid w:val="00055DD8"/>
    <w:rsid w:val="000560D0"/>
    <w:rsid w:val="00056863"/>
    <w:rsid w:val="00056916"/>
    <w:rsid w:val="00056F9E"/>
    <w:rsid w:val="00056FE3"/>
    <w:rsid w:val="0005719F"/>
    <w:rsid w:val="00057221"/>
    <w:rsid w:val="000604C6"/>
    <w:rsid w:val="000604EF"/>
    <w:rsid w:val="000605F6"/>
    <w:rsid w:val="00060651"/>
    <w:rsid w:val="00060828"/>
    <w:rsid w:val="0006090D"/>
    <w:rsid w:val="0006094D"/>
    <w:rsid w:val="0006219E"/>
    <w:rsid w:val="00062391"/>
    <w:rsid w:val="00062431"/>
    <w:rsid w:val="0006289D"/>
    <w:rsid w:val="00062A04"/>
    <w:rsid w:val="00063352"/>
    <w:rsid w:val="000633A3"/>
    <w:rsid w:val="00063F56"/>
    <w:rsid w:val="000646FC"/>
    <w:rsid w:val="00064A87"/>
    <w:rsid w:val="00064D6F"/>
    <w:rsid w:val="00064E0C"/>
    <w:rsid w:val="00064F08"/>
    <w:rsid w:val="0006505D"/>
    <w:rsid w:val="00065092"/>
    <w:rsid w:val="0006524F"/>
    <w:rsid w:val="00065BEA"/>
    <w:rsid w:val="00065BF9"/>
    <w:rsid w:val="00066061"/>
    <w:rsid w:val="00066837"/>
    <w:rsid w:val="00067760"/>
    <w:rsid w:val="000704A0"/>
    <w:rsid w:val="0007063D"/>
    <w:rsid w:val="00070DBA"/>
    <w:rsid w:val="00070E79"/>
    <w:rsid w:val="00071570"/>
    <w:rsid w:val="00071AC2"/>
    <w:rsid w:val="00072460"/>
    <w:rsid w:val="00072650"/>
    <w:rsid w:val="00072B61"/>
    <w:rsid w:val="00073052"/>
    <w:rsid w:val="0007310B"/>
    <w:rsid w:val="00073872"/>
    <w:rsid w:val="000743AF"/>
    <w:rsid w:val="00074660"/>
    <w:rsid w:val="000747CC"/>
    <w:rsid w:val="0007486A"/>
    <w:rsid w:val="00074A45"/>
    <w:rsid w:val="00074C21"/>
    <w:rsid w:val="00075188"/>
    <w:rsid w:val="00075236"/>
    <w:rsid w:val="00075FA6"/>
    <w:rsid w:val="00076147"/>
    <w:rsid w:val="00076D04"/>
    <w:rsid w:val="000772C4"/>
    <w:rsid w:val="000773AE"/>
    <w:rsid w:val="000779B7"/>
    <w:rsid w:val="00080006"/>
    <w:rsid w:val="0008007C"/>
    <w:rsid w:val="000801EC"/>
    <w:rsid w:val="000802A6"/>
    <w:rsid w:val="00080570"/>
    <w:rsid w:val="000808B5"/>
    <w:rsid w:val="00081866"/>
    <w:rsid w:val="00081A29"/>
    <w:rsid w:val="00081E52"/>
    <w:rsid w:val="000824E0"/>
    <w:rsid w:val="00082B5D"/>
    <w:rsid w:val="00083450"/>
    <w:rsid w:val="0008363E"/>
    <w:rsid w:val="000840C7"/>
    <w:rsid w:val="00084EC3"/>
    <w:rsid w:val="00084F7C"/>
    <w:rsid w:val="00085DB5"/>
    <w:rsid w:val="00086315"/>
    <w:rsid w:val="000866C9"/>
    <w:rsid w:val="000866EE"/>
    <w:rsid w:val="0008683A"/>
    <w:rsid w:val="00086EFA"/>
    <w:rsid w:val="00087047"/>
    <w:rsid w:val="00087052"/>
    <w:rsid w:val="00087742"/>
    <w:rsid w:val="00090365"/>
    <w:rsid w:val="00090529"/>
    <w:rsid w:val="00090C19"/>
    <w:rsid w:val="00090D5A"/>
    <w:rsid w:val="00090F51"/>
    <w:rsid w:val="000911D0"/>
    <w:rsid w:val="00091A17"/>
    <w:rsid w:val="00091E95"/>
    <w:rsid w:val="0009209A"/>
    <w:rsid w:val="000924E4"/>
    <w:rsid w:val="000927EE"/>
    <w:rsid w:val="000937F1"/>
    <w:rsid w:val="000949E3"/>
    <w:rsid w:val="00094EB8"/>
    <w:rsid w:val="0009518C"/>
    <w:rsid w:val="000952D2"/>
    <w:rsid w:val="00095686"/>
    <w:rsid w:val="00095973"/>
    <w:rsid w:val="00095FEA"/>
    <w:rsid w:val="0009623B"/>
    <w:rsid w:val="0009650D"/>
    <w:rsid w:val="00096751"/>
    <w:rsid w:val="00096A2E"/>
    <w:rsid w:val="000972D6"/>
    <w:rsid w:val="000974FB"/>
    <w:rsid w:val="00097588"/>
    <w:rsid w:val="00097B6B"/>
    <w:rsid w:val="000A06A8"/>
    <w:rsid w:val="000A0F43"/>
    <w:rsid w:val="000A13A3"/>
    <w:rsid w:val="000A242C"/>
    <w:rsid w:val="000A2583"/>
    <w:rsid w:val="000A269A"/>
    <w:rsid w:val="000A2C10"/>
    <w:rsid w:val="000A3218"/>
    <w:rsid w:val="000A36B8"/>
    <w:rsid w:val="000A4904"/>
    <w:rsid w:val="000A4974"/>
    <w:rsid w:val="000A4A90"/>
    <w:rsid w:val="000A5345"/>
    <w:rsid w:val="000A57D3"/>
    <w:rsid w:val="000A5FF4"/>
    <w:rsid w:val="000A69D9"/>
    <w:rsid w:val="000A6EB5"/>
    <w:rsid w:val="000A6EC9"/>
    <w:rsid w:val="000A714D"/>
    <w:rsid w:val="000A7AC4"/>
    <w:rsid w:val="000A7B09"/>
    <w:rsid w:val="000A7C06"/>
    <w:rsid w:val="000B010E"/>
    <w:rsid w:val="000B0163"/>
    <w:rsid w:val="000B033A"/>
    <w:rsid w:val="000B0378"/>
    <w:rsid w:val="000B06B6"/>
    <w:rsid w:val="000B07AD"/>
    <w:rsid w:val="000B08BB"/>
    <w:rsid w:val="000B096B"/>
    <w:rsid w:val="000B0C18"/>
    <w:rsid w:val="000B1233"/>
    <w:rsid w:val="000B2177"/>
    <w:rsid w:val="000B2931"/>
    <w:rsid w:val="000B2E33"/>
    <w:rsid w:val="000B3146"/>
    <w:rsid w:val="000B357F"/>
    <w:rsid w:val="000B396A"/>
    <w:rsid w:val="000B5246"/>
    <w:rsid w:val="000B5E41"/>
    <w:rsid w:val="000B5FBC"/>
    <w:rsid w:val="000B626B"/>
    <w:rsid w:val="000B6E5A"/>
    <w:rsid w:val="000B6FF8"/>
    <w:rsid w:val="000B748F"/>
    <w:rsid w:val="000B7592"/>
    <w:rsid w:val="000C0187"/>
    <w:rsid w:val="000C11E7"/>
    <w:rsid w:val="000C16E0"/>
    <w:rsid w:val="000C1C6E"/>
    <w:rsid w:val="000C1F97"/>
    <w:rsid w:val="000C1FF4"/>
    <w:rsid w:val="000C21A6"/>
    <w:rsid w:val="000C24B4"/>
    <w:rsid w:val="000C2999"/>
    <w:rsid w:val="000C2B4A"/>
    <w:rsid w:val="000C3436"/>
    <w:rsid w:val="000C353E"/>
    <w:rsid w:val="000C369D"/>
    <w:rsid w:val="000C3F2A"/>
    <w:rsid w:val="000C3F99"/>
    <w:rsid w:val="000C45E0"/>
    <w:rsid w:val="000C49D2"/>
    <w:rsid w:val="000C4A22"/>
    <w:rsid w:val="000C4AF1"/>
    <w:rsid w:val="000C4F90"/>
    <w:rsid w:val="000C521B"/>
    <w:rsid w:val="000C53AF"/>
    <w:rsid w:val="000C56A1"/>
    <w:rsid w:val="000C5940"/>
    <w:rsid w:val="000C5A00"/>
    <w:rsid w:val="000C660C"/>
    <w:rsid w:val="000C7008"/>
    <w:rsid w:val="000C7B75"/>
    <w:rsid w:val="000C7FEB"/>
    <w:rsid w:val="000D04A9"/>
    <w:rsid w:val="000D07B1"/>
    <w:rsid w:val="000D1E57"/>
    <w:rsid w:val="000D227F"/>
    <w:rsid w:val="000D33A6"/>
    <w:rsid w:val="000D356E"/>
    <w:rsid w:val="000D3597"/>
    <w:rsid w:val="000D38EB"/>
    <w:rsid w:val="000D3C73"/>
    <w:rsid w:val="000D3CC7"/>
    <w:rsid w:val="000D517D"/>
    <w:rsid w:val="000D53A8"/>
    <w:rsid w:val="000D58EA"/>
    <w:rsid w:val="000D5F56"/>
    <w:rsid w:val="000D61A1"/>
    <w:rsid w:val="000D6410"/>
    <w:rsid w:val="000D6C21"/>
    <w:rsid w:val="000D7852"/>
    <w:rsid w:val="000D78B6"/>
    <w:rsid w:val="000E0349"/>
    <w:rsid w:val="000E06A7"/>
    <w:rsid w:val="000E0B7E"/>
    <w:rsid w:val="000E0B9A"/>
    <w:rsid w:val="000E0C9C"/>
    <w:rsid w:val="000E0DAF"/>
    <w:rsid w:val="000E13BC"/>
    <w:rsid w:val="000E1695"/>
    <w:rsid w:val="000E18E7"/>
    <w:rsid w:val="000E2198"/>
    <w:rsid w:val="000E24F7"/>
    <w:rsid w:val="000E33CA"/>
    <w:rsid w:val="000E37CF"/>
    <w:rsid w:val="000E3C61"/>
    <w:rsid w:val="000E4452"/>
    <w:rsid w:val="000E47B7"/>
    <w:rsid w:val="000E499A"/>
    <w:rsid w:val="000E4A9F"/>
    <w:rsid w:val="000E53CB"/>
    <w:rsid w:val="000E5421"/>
    <w:rsid w:val="000E5549"/>
    <w:rsid w:val="000E6969"/>
    <w:rsid w:val="000E6B01"/>
    <w:rsid w:val="000E7364"/>
    <w:rsid w:val="000E76E9"/>
    <w:rsid w:val="000E7B2B"/>
    <w:rsid w:val="000F03AF"/>
    <w:rsid w:val="000F03C2"/>
    <w:rsid w:val="000F0710"/>
    <w:rsid w:val="000F1900"/>
    <w:rsid w:val="000F1911"/>
    <w:rsid w:val="000F197C"/>
    <w:rsid w:val="000F1B6F"/>
    <w:rsid w:val="000F2A5E"/>
    <w:rsid w:val="000F3742"/>
    <w:rsid w:val="000F3E2B"/>
    <w:rsid w:val="000F40CC"/>
    <w:rsid w:val="000F564C"/>
    <w:rsid w:val="000F5A16"/>
    <w:rsid w:val="000F5B64"/>
    <w:rsid w:val="000F608B"/>
    <w:rsid w:val="000F68A5"/>
    <w:rsid w:val="001002A1"/>
    <w:rsid w:val="0010047F"/>
    <w:rsid w:val="00100757"/>
    <w:rsid w:val="00100EA8"/>
    <w:rsid w:val="00102256"/>
    <w:rsid w:val="00102431"/>
    <w:rsid w:val="00102616"/>
    <w:rsid w:val="00102BEB"/>
    <w:rsid w:val="00103039"/>
    <w:rsid w:val="00103A8F"/>
    <w:rsid w:val="00103D75"/>
    <w:rsid w:val="0010442B"/>
    <w:rsid w:val="00104999"/>
    <w:rsid w:val="0010499F"/>
    <w:rsid w:val="0010568C"/>
    <w:rsid w:val="00105BAA"/>
    <w:rsid w:val="00105C04"/>
    <w:rsid w:val="00105E6C"/>
    <w:rsid w:val="001061B1"/>
    <w:rsid w:val="001061BD"/>
    <w:rsid w:val="00106439"/>
    <w:rsid w:val="00106505"/>
    <w:rsid w:val="00106EDD"/>
    <w:rsid w:val="00107173"/>
    <w:rsid w:val="00107479"/>
    <w:rsid w:val="0010770E"/>
    <w:rsid w:val="001077B7"/>
    <w:rsid w:val="00107816"/>
    <w:rsid w:val="00107C95"/>
    <w:rsid w:val="00107D47"/>
    <w:rsid w:val="001102F7"/>
    <w:rsid w:val="00110540"/>
    <w:rsid w:val="00110964"/>
    <w:rsid w:val="00110F56"/>
    <w:rsid w:val="00111252"/>
    <w:rsid w:val="00111B9E"/>
    <w:rsid w:val="00111EFD"/>
    <w:rsid w:val="00112887"/>
    <w:rsid w:val="00112B60"/>
    <w:rsid w:val="0011334D"/>
    <w:rsid w:val="0011362E"/>
    <w:rsid w:val="00113B97"/>
    <w:rsid w:val="00114514"/>
    <w:rsid w:val="001145A0"/>
    <w:rsid w:val="00114E2A"/>
    <w:rsid w:val="00115003"/>
    <w:rsid w:val="00116053"/>
    <w:rsid w:val="001166BE"/>
    <w:rsid w:val="00116C62"/>
    <w:rsid w:val="00117520"/>
    <w:rsid w:val="00117B5A"/>
    <w:rsid w:val="00120235"/>
    <w:rsid w:val="0012036E"/>
    <w:rsid w:val="00120932"/>
    <w:rsid w:val="00120AC9"/>
    <w:rsid w:val="00121147"/>
    <w:rsid w:val="001217F0"/>
    <w:rsid w:val="00121813"/>
    <w:rsid w:val="00122449"/>
    <w:rsid w:val="00122F97"/>
    <w:rsid w:val="001233D3"/>
    <w:rsid w:val="00123512"/>
    <w:rsid w:val="001236F7"/>
    <w:rsid w:val="00123810"/>
    <w:rsid w:val="0012383C"/>
    <w:rsid w:val="00123E0D"/>
    <w:rsid w:val="0012423D"/>
    <w:rsid w:val="00124781"/>
    <w:rsid w:val="00125297"/>
    <w:rsid w:val="0012583F"/>
    <w:rsid w:val="00126644"/>
    <w:rsid w:val="001267E1"/>
    <w:rsid w:val="00126C1C"/>
    <w:rsid w:val="001273BB"/>
    <w:rsid w:val="0013014A"/>
    <w:rsid w:val="00130195"/>
    <w:rsid w:val="0013021E"/>
    <w:rsid w:val="001302F4"/>
    <w:rsid w:val="0013054D"/>
    <w:rsid w:val="001309DD"/>
    <w:rsid w:val="00130AB5"/>
    <w:rsid w:val="00130E77"/>
    <w:rsid w:val="001310D3"/>
    <w:rsid w:val="001314AD"/>
    <w:rsid w:val="001315C1"/>
    <w:rsid w:val="00131756"/>
    <w:rsid w:val="00131A9C"/>
    <w:rsid w:val="00132037"/>
    <w:rsid w:val="001336D2"/>
    <w:rsid w:val="00133D7C"/>
    <w:rsid w:val="00133E94"/>
    <w:rsid w:val="00134100"/>
    <w:rsid w:val="00134262"/>
    <w:rsid w:val="00134BDB"/>
    <w:rsid w:val="001359A8"/>
    <w:rsid w:val="00135C2F"/>
    <w:rsid w:val="00135D5A"/>
    <w:rsid w:val="00137654"/>
    <w:rsid w:val="00137A1C"/>
    <w:rsid w:val="00137F13"/>
    <w:rsid w:val="001404AD"/>
    <w:rsid w:val="0014103D"/>
    <w:rsid w:val="00141404"/>
    <w:rsid w:val="00141BCC"/>
    <w:rsid w:val="00141D39"/>
    <w:rsid w:val="00141F0D"/>
    <w:rsid w:val="00142506"/>
    <w:rsid w:val="001427AF"/>
    <w:rsid w:val="00142C44"/>
    <w:rsid w:val="001432AA"/>
    <w:rsid w:val="001432CD"/>
    <w:rsid w:val="0014348C"/>
    <w:rsid w:val="00143769"/>
    <w:rsid w:val="00143A32"/>
    <w:rsid w:val="00143D21"/>
    <w:rsid w:val="001440AC"/>
    <w:rsid w:val="001441D5"/>
    <w:rsid w:val="0014433C"/>
    <w:rsid w:val="00144436"/>
    <w:rsid w:val="0014488E"/>
    <w:rsid w:val="00144EDE"/>
    <w:rsid w:val="001451B1"/>
    <w:rsid w:val="0014530B"/>
    <w:rsid w:val="001455C0"/>
    <w:rsid w:val="00145784"/>
    <w:rsid w:val="00146034"/>
    <w:rsid w:val="0014607A"/>
    <w:rsid w:val="00146317"/>
    <w:rsid w:val="001469C6"/>
    <w:rsid w:val="00147495"/>
    <w:rsid w:val="001478BC"/>
    <w:rsid w:val="001508D5"/>
    <w:rsid w:val="00150CBC"/>
    <w:rsid w:val="00150F62"/>
    <w:rsid w:val="00151193"/>
    <w:rsid w:val="001516BF"/>
    <w:rsid w:val="001518EF"/>
    <w:rsid w:val="00152435"/>
    <w:rsid w:val="00152686"/>
    <w:rsid w:val="0015290C"/>
    <w:rsid w:val="001533E1"/>
    <w:rsid w:val="0015361E"/>
    <w:rsid w:val="001538D8"/>
    <w:rsid w:val="001538FD"/>
    <w:rsid w:val="00153B1B"/>
    <w:rsid w:val="00153E9F"/>
    <w:rsid w:val="00154357"/>
    <w:rsid w:val="0015447C"/>
    <w:rsid w:val="00154779"/>
    <w:rsid w:val="00154899"/>
    <w:rsid w:val="00154ABB"/>
    <w:rsid w:val="00154B2F"/>
    <w:rsid w:val="00154D2E"/>
    <w:rsid w:val="00155489"/>
    <w:rsid w:val="00155713"/>
    <w:rsid w:val="001562FB"/>
    <w:rsid w:val="0015665D"/>
    <w:rsid w:val="001568C4"/>
    <w:rsid w:val="001570F8"/>
    <w:rsid w:val="00157C54"/>
    <w:rsid w:val="00160804"/>
    <w:rsid w:val="001609BE"/>
    <w:rsid w:val="00160A7B"/>
    <w:rsid w:val="00160FB8"/>
    <w:rsid w:val="001610D6"/>
    <w:rsid w:val="001612DF"/>
    <w:rsid w:val="00161B51"/>
    <w:rsid w:val="00161B90"/>
    <w:rsid w:val="00161DAF"/>
    <w:rsid w:val="0016214C"/>
    <w:rsid w:val="001629A9"/>
    <w:rsid w:val="00162E7B"/>
    <w:rsid w:val="00163606"/>
    <w:rsid w:val="00163D35"/>
    <w:rsid w:val="00164A5F"/>
    <w:rsid w:val="00164B80"/>
    <w:rsid w:val="00164F16"/>
    <w:rsid w:val="0016520B"/>
    <w:rsid w:val="001652A3"/>
    <w:rsid w:val="0016562B"/>
    <w:rsid w:val="00165744"/>
    <w:rsid w:val="001669C5"/>
    <w:rsid w:val="001669D8"/>
    <w:rsid w:val="00166B2C"/>
    <w:rsid w:val="00166E81"/>
    <w:rsid w:val="001671B5"/>
    <w:rsid w:val="001671DD"/>
    <w:rsid w:val="00167C62"/>
    <w:rsid w:val="00167DEF"/>
    <w:rsid w:val="00170831"/>
    <w:rsid w:val="0017173B"/>
    <w:rsid w:val="001730EE"/>
    <w:rsid w:val="00173622"/>
    <w:rsid w:val="0017362E"/>
    <w:rsid w:val="00173A83"/>
    <w:rsid w:val="00173BC8"/>
    <w:rsid w:val="00173D67"/>
    <w:rsid w:val="00174C68"/>
    <w:rsid w:val="00174DEE"/>
    <w:rsid w:val="00174E12"/>
    <w:rsid w:val="00174E1D"/>
    <w:rsid w:val="00175724"/>
    <w:rsid w:val="00175B1F"/>
    <w:rsid w:val="00176656"/>
    <w:rsid w:val="0017781A"/>
    <w:rsid w:val="00181258"/>
    <w:rsid w:val="001812EB"/>
    <w:rsid w:val="001835E8"/>
    <w:rsid w:val="00183A21"/>
    <w:rsid w:val="00183CA9"/>
    <w:rsid w:val="00184991"/>
    <w:rsid w:val="001849B9"/>
    <w:rsid w:val="00184E4B"/>
    <w:rsid w:val="001851D9"/>
    <w:rsid w:val="001854EB"/>
    <w:rsid w:val="00185C26"/>
    <w:rsid w:val="00186073"/>
    <w:rsid w:val="001862A4"/>
    <w:rsid w:val="001864EF"/>
    <w:rsid w:val="00186923"/>
    <w:rsid w:val="00186AA6"/>
    <w:rsid w:val="001870FC"/>
    <w:rsid w:val="00187302"/>
    <w:rsid w:val="00187A16"/>
    <w:rsid w:val="00187B12"/>
    <w:rsid w:val="001900DA"/>
    <w:rsid w:val="00190D0D"/>
    <w:rsid w:val="0019103E"/>
    <w:rsid w:val="00191100"/>
    <w:rsid w:val="0019123D"/>
    <w:rsid w:val="00191574"/>
    <w:rsid w:val="00191FD6"/>
    <w:rsid w:val="00192205"/>
    <w:rsid w:val="0019231B"/>
    <w:rsid w:val="00192EBC"/>
    <w:rsid w:val="00194000"/>
    <w:rsid w:val="00194285"/>
    <w:rsid w:val="00195553"/>
    <w:rsid w:val="00195DDE"/>
    <w:rsid w:val="00196BA9"/>
    <w:rsid w:val="001970DE"/>
    <w:rsid w:val="00197361"/>
    <w:rsid w:val="001978BC"/>
    <w:rsid w:val="00197AD5"/>
    <w:rsid w:val="001A0B80"/>
    <w:rsid w:val="001A3CD6"/>
    <w:rsid w:val="001A45BA"/>
    <w:rsid w:val="001A5074"/>
    <w:rsid w:val="001A5538"/>
    <w:rsid w:val="001A558B"/>
    <w:rsid w:val="001A5E34"/>
    <w:rsid w:val="001A691B"/>
    <w:rsid w:val="001A6968"/>
    <w:rsid w:val="001A6E3C"/>
    <w:rsid w:val="001A77B6"/>
    <w:rsid w:val="001A781D"/>
    <w:rsid w:val="001B06B1"/>
    <w:rsid w:val="001B0725"/>
    <w:rsid w:val="001B0BDA"/>
    <w:rsid w:val="001B3058"/>
    <w:rsid w:val="001B3306"/>
    <w:rsid w:val="001B38CE"/>
    <w:rsid w:val="001B42B3"/>
    <w:rsid w:val="001B47EE"/>
    <w:rsid w:val="001B52C8"/>
    <w:rsid w:val="001B5809"/>
    <w:rsid w:val="001B5C67"/>
    <w:rsid w:val="001B7081"/>
    <w:rsid w:val="001B7695"/>
    <w:rsid w:val="001B78CE"/>
    <w:rsid w:val="001B7BF1"/>
    <w:rsid w:val="001C0972"/>
    <w:rsid w:val="001C0C16"/>
    <w:rsid w:val="001C1285"/>
    <w:rsid w:val="001C2027"/>
    <w:rsid w:val="001C23CD"/>
    <w:rsid w:val="001C2E0B"/>
    <w:rsid w:val="001C3244"/>
    <w:rsid w:val="001C3A1C"/>
    <w:rsid w:val="001C4118"/>
    <w:rsid w:val="001C4654"/>
    <w:rsid w:val="001C4931"/>
    <w:rsid w:val="001C5401"/>
    <w:rsid w:val="001C54A3"/>
    <w:rsid w:val="001C5722"/>
    <w:rsid w:val="001C59BE"/>
    <w:rsid w:val="001C5C3E"/>
    <w:rsid w:val="001C60A8"/>
    <w:rsid w:val="001C6B7F"/>
    <w:rsid w:val="001C6EFE"/>
    <w:rsid w:val="001C7754"/>
    <w:rsid w:val="001C7DDB"/>
    <w:rsid w:val="001D05BD"/>
    <w:rsid w:val="001D0740"/>
    <w:rsid w:val="001D0A72"/>
    <w:rsid w:val="001D0AF2"/>
    <w:rsid w:val="001D19D4"/>
    <w:rsid w:val="001D19DB"/>
    <w:rsid w:val="001D1F9D"/>
    <w:rsid w:val="001D244D"/>
    <w:rsid w:val="001D2E14"/>
    <w:rsid w:val="001D2E1F"/>
    <w:rsid w:val="001D44EF"/>
    <w:rsid w:val="001D4E3D"/>
    <w:rsid w:val="001D5178"/>
    <w:rsid w:val="001D5308"/>
    <w:rsid w:val="001D559F"/>
    <w:rsid w:val="001D5698"/>
    <w:rsid w:val="001D57D8"/>
    <w:rsid w:val="001D6A89"/>
    <w:rsid w:val="001D6E89"/>
    <w:rsid w:val="001D76B1"/>
    <w:rsid w:val="001D76C1"/>
    <w:rsid w:val="001D7CE8"/>
    <w:rsid w:val="001E0907"/>
    <w:rsid w:val="001E0A88"/>
    <w:rsid w:val="001E0BCF"/>
    <w:rsid w:val="001E124F"/>
    <w:rsid w:val="001E14AF"/>
    <w:rsid w:val="001E17F5"/>
    <w:rsid w:val="001E2381"/>
    <w:rsid w:val="001E259E"/>
    <w:rsid w:val="001E320B"/>
    <w:rsid w:val="001E3422"/>
    <w:rsid w:val="001E3A69"/>
    <w:rsid w:val="001E488A"/>
    <w:rsid w:val="001E4BF0"/>
    <w:rsid w:val="001E52D2"/>
    <w:rsid w:val="001E5579"/>
    <w:rsid w:val="001E628C"/>
    <w:rsid w:val="001E6525"/>
    <w:rsid w:val="001E687B"/>
    <w:rsid w:val="001E6D0A"/>
    <w:rsid w:val="001E6F0E"/>
    <w:rsid w:val="001E6F7D"/>
    <w:rsid w:val="001E72D8"/>
    <w:rsid w:val="001E7A0E"/>
    <w:rsid w:val="001E7C4A"/>
    <w:rsid w:val="001E7F37"/>
    <w:rsid w:val="001F0B17"/>
    <w:rsid w:val="001F24BF"/>
    <w:rsid w:val="001F2A1B"/>
    <w:rsid w:val="001F3093"/>
    <w:rsid w:val="001F33E1"/>
    <w:rsid w:val="001F3511"/>
    <w:rsid w:val="001F3B0C"/>
    <w:rsid w:val="001F45F8"/>
    <w:rsid w:val="001F609B"/>
    <w:rsid w:val="001F6998"/>
    <w:rsid w:val="001F69F0"/>
    <w:rsid w:val="001F6AF9"/>
    <w:rsid w:val="001F7530"/>
    <w:rsid w:val="001F7AC2"/>
    <w:rsid w:val="0020004D"/>
    <w:rsid w:val="002001C3"/>
    <w:rsid w:val="00200294"/>
    <w:rsid w:val="002007EC"/>
    <w:rsid w:val="00200946"/>
    <w:rsid w:val="00201288"/>
    <w:rsid w:val="00201414"/>
    <w:rsid w:val="00201B28"/>
    <w:rsid w:val="00202207"/>
    <w:rsid w:val="0020236E"/>
    <w:rsid w:val="00202F85"/>
    <w:rsid w:val="00203468"/>
    <w:rsid w:val="00203626"/>
    <w:rsid w:val="00203DFA"/>
    <w:rsid w:val="002043AB"/>
    <w:rsid w:val="0020442F"/>
    <w:rsid w:val="002047C7"/>
    <w:rsid w:val="002058BA"/>
    <w:rsid w:val="002059FD"/>
    <w:rsid w:val="00205A55"/>
    <w:rsid w:val="00206071"/>
    <w:rsid w:val="002066DB"/>
    <w:rsid w:val="00207564"/>
    <w:rsid w:val="0020763F"/>
    <w:rsid w:val="002077E0"/>
    <w:rsid w:val="00210228"/>
    <w:rsid w:val="00210B34"/>
    <w:rsid w:val="00210F8A"/>
    <w:rsid w:val="00211118"/>
    <w:rsid w:val="00212047"/>
    <w:rsid w:val="00212048"/>
    <w:rsid w:val="002126BD"/>
    <w:rsid w:val="00212853"/>
    <w:rsid w:val="002133EE"/>
    <w:rsid w:val="00214DA5"/>
    <w:rsid w:val="0021502E"/>
    <w:rsid w:val="002150FF"/>
    <w:rsid w:val="0021515D"/>
    <w:rsid w:val="002154F5"/>
    <w:rsid w:val="00215952"/>
    <w:rsid w:val="0021597E"/>
    <w:rsid w:val="00215CE3"/>
    <w:rsid w:val="00216AB4"/>
    <w:rsid w:val="00216FB9"/>
    <w:rsid w:val="00217517"/>
    <w:rsid w:val="00217524"/>
    <w:rsid w:val="00217719"/>
    <w:rsid w:val="002177E0"/>
    <w:rsid w:val="0021791F"/>
    <w:rsid w:val="00217B02"/>
    <w:rsid w:val="00217F0D"/>
    <w:rsid w:val="00220DA6"/>
    <w:rsid w:val="002211BB"/>
    <w:rsid w:val="002216AF"/>
    <w:rsid w:val="002216CE"/>
    <w:rsid w:val="00221887"/>
    <w:rsid w:val="00221CA1"/>
    <w:rsid w:val="00221DBE"/>
    <w:rsid w:val="00222381"/>
    <w:rsid w:val="00222D50"/>
    <w:rsid w:val="002230AE"/>
    <w:rsid w:val="002236D7"/>
    <w:rsid w:val="00223F1C"/>
    <w:rsid w:val="002249A3"/>
    <w:rsid w:val="00224EAF"/>
    <w:rsid w:val="00225262"/>
    <w:rsid w:val="002258EE"/>
    <w:rsid w:val="002258EF"/>
    <w:rsid w:val="00225E4B"/>
    <w:rsid w:val="00226286"/>
    <w:rsid w:val="00226450"/>
    <w:rsid w:val="00226502"/>
    <w:rsid w:val="00227151"/>
    <w:rsid w:val="002300D4"/>
    <w:rsid w:val="002311A2"/>
    <w:rsid w:val="00231668"/>
    <w:rsid w:val="002324CA"/>
    <w:rsid w:val="002326FA"/>
    <w:rsid w:val="0023276B"/>
    <w:rsid w:val="0023352A"/>
    <w:rsid w:val="002337D1"/>
    <w:rsid w:val="00233EA7"/>
    <w:rsid w:val="00235151"/>
    <w:rsid w:val="0023520D"/>
    <w:rsid w:val="00235F82"/>
    <w:rsid w:val="002367EA"/>
    <w:rsid w:val="002368AA"/>
    <w:rsid w:val="00236B1E"/>
    <w:rsid w:val="00237631"/>
    <w:rsid w:val="00237CA2"/>
    <w:rsid w:val="00240111"/>
    <w:rsid w:val="002405F1"/>
    <w:rsid w:val="00240695"/>
    <w:rsid w:val="00240B02"/>
    <w:rsid w:val="00240E6D"/>
    <w:rsid w:val="00241445"/>
    <w:rsid w:val="00242A8D"/>
    <w:rsid w:val="00243B76"/>
    <w:rsid w:val="00244E19"/>
    <w:rsid w:val="00245357"/>
    <w:rsid w:val="00245428"/>
    <w:rsid w:val="00245ADB"/>
    <w:rsid w:val="00245E49"/>
    <w:rsid w:val="0024697B"/>
    <w:rsid w:val="00247607"/>
    <w:rsid w:val="00247649"/>
    <w:rsid w:val="00247869"/>
    <w:rsid w:val="002506A8"/>
    <w:rsid w:val="00250B3D"/>
    <w:rsid w:val="00250D79"/>
    <w:rsid w:val="00251B60"/>
    <w:rsid w:val="00251CBD"/>
    <w:rsid w:val="0025209E"/>
    <w:rsid w:val="00252789"/>
    <w:rsid w:val="002528B3"/>
    <w:rsid w:val="00252B96"/>
    <w:rsid w:val="00252E9E"/>
    <w:rsid w:val="002530DA"/>
    <w:rsid w:val="00253849"/>
    <w:rsid w:val="00253D20"/>
    <w:rsid w:val="00253FAE"/>
    <w:rsid w:val="00254B5B"/>
    <w:rsid w:val="002554B0"/>
    <w:rsid w:val="00255616"/>
    <w:rsid w:val="002561F3"/>
    <w:rsid w:val="00256279"/>
    <w:rsid w:val="00256EBC"/>
    <w:rsid w:val="00257AA6"/>
    <w:rsid w:val="00257D53"/>
    <w:rsid w:val="00257F2D"/>
    <w:rsid w:val="002600A0"/>
    <w:rsid w:val="002609F0"/>
    <w:rsid w:val="00260AC0"/>
    <w:rsid w:val="00261BCA"/>
    <w:rsid w:val="00261FB5"/>
    <w:rsid w:val="002620A2"/>
    <w:rsid w:val="002627F4"/>
    <w:rsid w:val="002632D1"/>
    <w:rsid w:val="00263E28"/>
    <w:rsid w:val="002640F3"/>
    <w:rsid w:val="00264AAC"/>
    <w:rsid w:val="00264E6F"/>
    <w:rsid w:val="00264F97"/>
    <w:rsid w:val="002653C9"/>
    <w:rsid w:val="002665FE"/>
    <w:rsid w:val="00266F11"/>
    <w:rsid w:val="00266FD6"/>
    <w:rsid w:val="0026737B"/>
    <w:rsid w:val="0026788D"/>
    <w:rsid w:val="002704DD"/>
    <w:rsid w:val="00270FE2"/>
    <w:rsid w:val="002711BA"/>
    <w:rsid w:val="00271670"/>
    <w:rsid w:val="00271C85"/>
    <w:rsid w:val="002727D2"/>
    <w:rsid w:val="0027294D"/>
    <w:rsid w:val="00272AF1"/>
    <w:rsid w:val="00272B29"/>
    <w:rsid w:val="002732B0"/>
    <w:rsid w:val="00273338"/>
    <w:rsid w:val="00273668"/>
    <w:rsid w:val="0027402E"/>
    <w:rsid w:val="002741FC"/>
    <w:rsid w:val="002748A2"/>
    <w:rsid w:val="00274A36"/>
    <w:rsid w:val="00274A8B"/>
    <w:rsid w:val="00274BB7"/>
    <w:rsid w:val="00274D28"/>
    <w:rsid w:val="0027501F"/>
    <w:rsid w:val="002755A9"/>
    <w:rsid w:val="002756A2"/>
    <w:rsid w:val="0027594A"/>
    <w:rsid w:val="00275D33"/>
    <w:rsid w:val="00275DC3"/>
    <w:rsid w:val="002771CE"/>
    <w:rsid w:val="002773F9"/>
    <w:rsid w:val="00277D2A"/>
    <w:rsid w:val="002802F4"/>
    <w:rsid w:val="00280672"/>
    <w:rsid w:val="00280B4D"/>
    <w:rsid w:val="00281DBB"/>
    <w:rsid w:val="00281E78"/>
    <w:rsid w:val="00282093"/>
    <w:rsid w:val="002826AE"/>
    <w:rsid w:val="0028302C"/>
    <w:rsid w:val="00283AC1"/>
    <w:rsid w:val="002847FD"/>
    <w:rsid w:val="00284F9E"/>
    <w:rsid w:val="0028513F"/>
    <w:rsid w:val="00285777"/>
    <w:rsid w:val="002858F2"/>
    <w:rsid w:val="00285C6F"/>
    <w:rsid w:val="002861F1"/>
    <w:rsid w:val="002867D9"/>
    <w:rsid w:val="00286A80"/>
    <w:rsid w:val="00286B74"/>
    <w:rsid w:val="00286F5D"/>
    <w:rsid w:val="002873AD"/>
    <w:rsid w:val="00290744"/>
    <w:rsid w:val="0029078F"/>
    <w:rsid w:val="002907B7"/>
    <w:rsid w:val="00290F37"/>
    <w:rsid w:val="0029100A"/>
    <w:rsid w:val="00292B20"/>
    <w:rsid w:val="002937BB"/>
    <w:rsid w:val="00293A96"/>
    <w:rsid w:val="00294861"/>
    <w:rsid w:val="00294EA9"/>
    <w:rsid w:val="0029547E"/>
    <w:rsid w:val="00295BCE"/>
    <w:rsid w:val="00295E1B"/>
    <w:rsid w:val="00296094"/>
    <w:rsid w:val="0029755C"/>
    <w:rsid w:val="00297AFD"/>
    <w:rsid w:val="00297B3A"/>
    <w:rsid w:val="002A05A8"/>
    <w:rsid w:val="002A0696"/>
    <w:rsid w:val="002A08D4"/>
    <w:rsid w:val="002A0CA8"/>
    <w:rsid w:val="002A11BA"/>
    <w:rsid w:val="002A195E"/>
    <w:rsid w:val="002A19B0"/>
    <w:rsid w:val="002A1B87"/>
    <w:rsid w:val="002A2F1C"/>
    <w:rsid w:val="002A3A7D"/>
    <w:rsid w:val="002A45A0"/>
    <w:rsid w:val="002A461E"/>
    <w:rsid w:val="002A4800"/>
    <w:rsid w:val="002A507B"/>
    <w:rsid w:val="002A591D"/>
    <w:rsid w:val="002A59C6"/>
    <w:rsid w:val="002A59CF"/>
    <w:rsid w:val="002A63A3"/>
    <w:rsid w:val="002A6C2F"/>
    <w:rsid w:val="002A6F01"/>
    <w:rsid w:val="002A7BE1"/>
    <w:rsid w:val="002A7EF1"/>
    <w:rsid w:val="002B0195"/>
    <w:rsid w:val="002B0407"/>
    <w:rsid w:val="002B0937"/>
    <w:rsid w:val="002B151F"/>
    <w:rsid w:val="002B272A"/>
    <w:rsid w:val="002B28C0"/>
    <w:rsid w:val="002B2FE4"/>
    <w:rsid w:val="002B3258"/>
    <w:rsid w:val="002B37E1"/>
    <w:rsid w:val="002B45C8"/>
    <w:rsid w:val="002B516F"/>
    <w:rsid w:val="002B5539"/>
    <w:rsid w:val="002B56ED"/>
    <w:rsid w:val="002B5FED"/>
    <w:rsid w:val="002B6252"/>
    <w:rsid w:val="002B6356"/>
    <w:rsid w:val="002B6B08"/>
    <w:rsid w:val="002B6D49"/>
    <w:rsid w:val="002B7715"/>
    <w:rsid w:val="002B78A4"/>
    <w:rsid w:val="002B7A19"/>
    <w:rsid w:val="002B7C02"/>
    <w:rsid w:val="002C0756"/>
    <w:rsid w:val="002C0D48"/>
    <w:rsid w:val="002C1AFA"/>
    <w:rsid w:val="002C2508"/>
    <w:rsid w:val="002C36CE"/>
    <w:rsid w:val="002C3B66"/>
    <w:rsid w:val="002C42A9"/>
    <w:rsid w:val="002C4611"/>
    <w:rsid w:val="002C46F3"/>
    <w:rsid w:val="002C4AA7"/>
    <w:rsid w:val="002C5B07"/>
    <w:rsid w:val="002C5BE0"/>
    <w:rsid w:val="002C5C24"/>
    <w:rsid w:val="002C633A"/>
    <w:rsid w:val="002C680A"/>
    <w:rsid w:val="002C6DCA"/>
    <w:rsid w:val="002C7006"/>
    <w:rsid w:val="002C7851"/>
    <w:rsid w:val="002D003F"/>
    <w:rsid w:val="002D00A9"/>
    <w:rsid w:val="002D0905"/>
    <w:rsid w:val="002D0DB8"/>
    <w:rsid w:val="002D1103"/>
    <w:rsid w:val="002D15E3"/>
    <w:rsid w:val="002D1655"/>
    <w:rsid w:val="002D1701"/>
    <w:rsid w:val="002D17BD"/>
    <w:rsid w:val="002D19E7"/>
    <w:rsid w:val="002D1EA5"/>
    <w:rsid w:val="002D1F89"/>
    <w:rsid w:val="002D2551"/>
    <w:rsid w:val="002D2D06"/>
    <w:rsid w:val="002D32CE"/>
    <w:rsid w:val="002D3337"/>
    <w:rsid w:val="002D4387"/>
    <w:rsid w:val="002D43B0"/>
    <w:rsid w:val="002D4406"/>
    <w:rsid w:val="002D55F3"/>
    <w:rsid w:val="002D5C1F"/>
    <w:rsid w:val="002D612E"/>
    <w:rsid w:val="002D632F"/>
    <w:rsid w:val="002D6405"/>
    <w:rsid w:val="002D6738"/>
    <w:rsid w:val="002D6A5F"/>
    <w:rsid w:val="002D70EF"/>
    <w:rsid w:val="002D763B"/>
    <w:rsid w:val="002D764C"/>
    <w:rsid w:val="002D78C5"/>
    <w:rsid w:val="002E03DF"/>
    <w:rsid w:val="002E124A"/>
    <w:rsid w:val="002E158B"/>
    <w:rsid w:val="002E1713"/>
    <w:rsid w:val="002E1808"/>
    <w:rsid w:val="002E18EE"/>
    <w:rsid w:val="002E194B"/>
    <w:rsid w:val="002E2BD5"/>
    <w:rsid w:val="002E30D6"/>
    <w:rsid w:val="002E3D7F"/>
    <w:rsid w:val="002E3E43"/>
    <w:rsid w:val="002E4E54"/>
    <w:rsid w:val="002E5170"/>
    <w:rsid w:val="002E5B2D"/>
    <w:rsid w:val="002E5CE0"/>
    <w:rsid w:val="002E5CEC"/>
    <w:rsid w:val="002E5E7B"/>
    <w:rsid w:val="002E5EEE"/>
    <w:rsid w:val="002E5F27"/>
    <w:rsid w:val="002E5F8F"/>
    <w:rsid w:val="002E660B"/>
    <w:rsid w:val="002E6B78"/>
    <w:rsid w:val="002E6CCA"/>
    <w:rsid w:val="002E7108"/>
    <w:rsid w:val="002E71EA"/>
    <w:rsid w:val="002E7571"/>
    <w:rsid w:val="002E7F57"/>
    <w:rsid w:val="002F00C5"/>
    <w:rsid w:val="002F0109"/>
    <w:rsid w:val="002F044E"/>
    <w:rsid w:val="002F0596"/>
    <w:rsid w:val="002F0F25"/>
    <w:rsid w:val="002F1286"/>
    <w:rsid w:val="002F12AB"/>
    <w:rsid w:val="002F14C0"/>
    <w:rsid w:val="002F1A30"/>
    <w:rsid w:val="002F1C80"/>
    <w:rsid w:val="002F1CB0"/>
    <w:rsid w:val="002F1ED7"/>
    <w:rsid w:val="002F20AD"/>
    <w:rsid w:val="002F2C32"/>
    <w:rsid w:val="002F2E87"/>
    <w:rsid w:val="002F4263"/>
    <w:rsid w:val="002F4ADB"/>
    <w:rsid w:val="002F4C95"/>
    <w:rsid w:val="002F597A"/>
    <w:rsid w:val="002F5C6C"/>
    <w:rsid w:val="002F6183"/>
    <w:rsid w:val="002F6724"/>
    <w:rsid w:val="002F6AC7"/>
    <w:rsid w:val="002F6C94"/>
    <w:rsid w:val="002F72BC"/>
    <w:rsid w:val="002F7DA1"/>
    <w:rsid w:val="002F7F4F"/>
    <w:rsid w:val="00300121"/>
    <w:rsid w:val="0030019D"/>
    <w:rsid w:val="0030031D"/>
    <w:rsid w:val="003008DB"/>
    <w:rsid w:val="00300A36"/>
    <w:rsid w:val="00300A74"/>
    <w:rsid w:val="00300BA6"/>
    <w:rsid w:val="00300E83"/>
    <w:rsid w:val="003013C7"/>
    <w:rsid w:val="00301D3B"/>
    <w:rsid w:val="0030228A"/>
    <w:rsid w:val="00302C55"/>
    <w:rsid w:val="00302D0C"/>
    <w:rsid w:val="00303561"/>
    <w:rsid w:val="00303892"/>
    <w:rsid w:val="00303FD6"/>
    <w:rsid w:val="0030413D"/>
    <w:rsid w:val="0030519D"/>
    <w:rsid w:val="00305334"/>
    <w:rsid w:val="003057B6"/>
    <w:rsid w:val="00305EB6"/>
    <w:rsid w:val="00305EFB"/>
    <w:rsid w:val="00306A1F"/>
    <w:rsid w:val="00307760"/>
    <w:rsid w:val="003077D6"/>
    <w:rsid w:val="00307BC3"/>
    <w:rsid w:val="00307C65"/>
    <w:rsid w:val="00310785"/>
    <w:rsid w:val="00310BF6"/>
    <w:rsid w:val="00310FEA"/>
    <w:rsid w:val="00311373"/>
    <w:rsid w:val="00311585"/>
    <w:rsid w:val="00312695"/>
    <w:rsid w:val="00312D08"/>
    <w:rsid w:val="00313190"/>
    <w:rsid w:val="003131EF"/>
    <w:rsid w:val="00313398"/>
    <w:rsid w:val="00313AFF"/>
    <w:rsid w:val="00313F20"/>
    <w:rsid w:val="003141F7"/>
    <w:rsid w:val="00314763"/>
    <w:rsid w:val="00315239"/>
    <w:rsid w:val="00315366"/>
    <w:rsid w:val="0031591B"/>
    <w:rsid w:val="00315A47"/>
    <w:rsid w:val="0031606B"/>
    <w:rsid w:val="00316097"/>
    <w:rsid w:val="0031628F"/>
    <w:rsid w:val="0031635D"/>
    <w:rsid w:val="00316707"/>
    <w:rsid w:val="00316E40"/>
    <w:rsid w:val="00316F7C"/>
    <w:rsid w:val="0031702A"/>
    <w:rsid w:val="00317A5D"/>
    <w:rsid w:val="00317BFE"/>
    <w:rsid w:val="003206F9"/>
    <w:rsid w:val="00320A1D"/>
    <w:rsid w:val="00320A4D"/>
    <w:rsid w:val="00320E42"/>
    <w:rsid w:val="00320F05"/>
    <w:rsid w:val="0032122E"/>
    <w:rsid w:val="00321764"/>
    <w:rsid w:val="003225D7"/>
    <w:rsid w:val="00323D41"/>
    <w:rsid w:val="00323D81"/>
    <w:rsid w:val="00324449"/>
    <w:rsid w:val="00324876"/>
    <w:rsid w:val="00325803"/>
    <w:rsid w:val="003259FA"/>
    <w:rsid w:val="00325A3E"/>
    <w:rsid w:val="00325D46"/>
    <w:rsid w:val="003260BE"/>
    <w:rsid w:val="00326437"/>
    <w:rsid w:val="0032643B"/>
    <w:rsid w:val="003271A4"/>
    <w:rsid w:val="003271A9"/>
    <w:rsid w:val="00327B16"/>
    <w:rsid w:val="00327F08"/>
    <w:rsid w:val="00330DBE"/>
    <w:rsid w:val="00331806"/>
    <w:rsid w:val="0033191D"/>
    <w:rsid w:val="00332148"/>
    <w:rsid w:val="0033252F"/>
    <w:rsid w:val="003334B6"/>
    <w:rsid w:val="003346CF"/>
    <w:rsid w:val="00334EB0"/>
    <w:rsid w:val="003353C5"/>
    <w:rsid w:val="00335521"/>
    <w:rsid w:val="003365BE"/>
    <w:rsid w:val="00336645"/>
    <w:rsid w:val="003366C8"/>
    <w:rsid w:val="003368BA"/>
    <w:rsid w:val="00336FFB"/>
    <w:rsid w:val="00337082"/>
    <w:rsid w:val="003371D6"/>
    <w:rsid w:val="00337A0E"/>
    <w:rsid w:val="00337A51"/>
    <w:rsid w:val="00337B48"/>
    <w:rsid w:val="00337EEF"/>
    <w:rsid w:val="003409AC"/>
    <w:rsid w:val="003411ED"/>
    <w:rsid w:val="003419FB"/>
    <w:rsid w:val="00342E27"/>
    <w:rsid w:val="00342F7E"/>
    <w:rsid w:val="00342FDE"/>
    <w:rsid w:val="003436B4"/>
    <w:rsid w:val="003436B5"/>
    <w:rsid w:val="00343DE2"/>
    <w:rsid w:val="0034415F"/>
    <w:rsid w:val="00344602"/>
    <w:rsid w:val="00344858"/>
    <w:rsid w:val="003452CF"/>
    <w:rsid w:val="003455B3"/>
    <w:rsid w:val="00346799"/>
    <w:rsid w:val="00346956"/>
    <w:rsid w:val="0034699F"/>
    <w:rsid w:val="00346FC6"/>
    <w:rsid w:val="0034701F"/>
    <w:rsid w:val="0034778B"/>
    <w:rsid w:val="00350596"/>
    <w:rsid w:val="003507D4"/>
    <w:rsid w:val="00350951"/>
    <w:rsid w:val="003510E6"/>
    <w:rsid w:val="0035156A"/>
    <w:rsid w:val="003517D9"/>
    <w:rsid w:val="003523D9"/>
    <w:rsid w:val="003527F2"/>
    <w:rsid w:val="003529A9"/>
    <w:rsid w:val="00352A02"/>
    <w:rsid w:val="00352BBE"/>
    <w:rsid w:val="0035314A"/>
    <w:rsid w:val="00353204"/>
    <w:rsid w:val="00353563"/>
    <w:rsid w:val="00353A23"/>
    <w:rsid w:val="00353CFA"/>
    <w:rsid w:val="00354607"/>
    <w:rsid w:val="003547A9"/>
    <w:rsid w:val="00354A80"/>
    <w:rsid w:val="00354B75"/>
    <w:rsid w:val="00354E68"/>
    <w:rsid w:val="00355AF5"/>
    <w:rsid w:val="003561FC"/>
    <w:rsid w:val="00356544"/>
    <w:rsid w:val="00356728"/>
    <w:rsid w:val="003567B6"/>
    <w:rsid w:val="00357245"/>
    <w:rsid w:val="00357C31"/>
    <w:rsid w:val="0036070D"/>
    <w:rsid w:val="00360D63"/>
    <w:rsid w:val="00361ADD"/>
    <w:rsid w:val="00361E85"/>
    <w:rsid w:val="0036209F"/>
    <w:rsid w:val="0036257F"/>
    <w:rsid w:val="003626B6"/>
    <w:rsid w:val="00362931"/>
    <w:rsid w:val="00362E82"/>
    <w:rsid w:val="00363EEA"/>
    <w:rsid w:val="00363EEF"/>
    <w:rsid w:val="00364178"/>
    <w:rsid w:val="00364384"/>
    <w:rsid w:val="0036440B"/>
    <w:rsid w:val="00366B2F"/>
    <w:rsid w:val="00366D52"/>
    <w:rsid w:val="003671D4"/>
    <w:rsid w:val="003671F1"/>
    <w:rsid w:val="0036771C"/>
    <w:rsid w:val="00367B72"/>
    <w:rsid w:val="00367F7B"/>
    <w:rsid w:val="003705A5"/>
    <w:rsid w:val="003707C2"/>
    <w:rsid w:val="00371025"/>
    <w:rsid w:val="00371146"/>
    <w:rsid w:val="00371AE8"/>
    <w:rsid w:val="00371FAA"/>
    <w:rsid w:val="0037251D"/>
    <w:rsid w:val="003725FE"/>
    <w:rsid w:val="00372AD4"/>
    <w:rsid w:val="00372F4F"/>
    <w:rsid w:val="0037374F"/>
    <w:rsid w:val="00373C2B"/>
    <w:rsid w:val="0037405F"/>
    <w:rsid w:val="003741A5"/>
    <w:rsid w:val="0037521E"/>
    <w:rsid w:val="003752EB"/>
    <w:rsid w:val="00375C3F"/>
    <w:rsid w:val="00376CB0"/>
    <w:rsid w:val="00376D13"/>
    <w:rsid w:val="00376D29"/>
    <w:rsid w:val="00376E14"/>
    <w:rsid w:val="00376E35"/>
    <w:rsid w:val="0038033D"/>
    <w:rsid w:val="00380764"/>
    <w:rsid w:val="00380F11"/>
    <w:rsid w:val="00381307"/>
    <w:rsid w:val="00383354"/>
    <w:rsid w:val="00383F47"/>
    <w:rsid w:val="00384ADB"/>
    <w:rsid w:val="00384CF5"/>
    <w:rsid w:val="00385376"/>
    <w:rsid w:val="00385685"/>
    <w:rsid w:val="00385D8B"/>
    <w:rsid w:val="00386050"/>
    <w:rsid w:val="00386B78"/>
    <w:rsid w:val="00387768"/>
    <w:rsid w:val="0039026F"/>
    <w:rsid w:val="0039027B"/>
    <w:rsid w:val="003915A8"/>
    <w:rsid w:val="0039179E"/>
    <w:rsid w:val="003917EA"/>
    <w:rsid w:val="00391903"/>
    <w:rsid w:val="00391926"/>
    <w:rsid w:val="00391FFA"/>
    <w:rsid w:val="003923AC"/>
    <w:rsid w:val="0039256A"/>
    <w:rsid w:val="00392EA1"/>
    <w:rsid w:val="0039311C"/>
    <w:rsid w:val="0039353D"/>
    <w:rsid w:val="003936F3"/>
    <w:rsid w:val="00393836"/>
    <w:rsid w:val="0039392A"/>
    <w:rsid w:val="00393ECE"/>
    <w:rsid w:val="0039478A"/>
    <w:rsid w:val="00394841"/>
    <w:rsid w:val="00395715"/>
    <w:rsid w:val="003960DB"/>
    <w:rsid w:val="0039666F"/>
    <w:rsid w:val="0039694A"/>
    <w:rsid w:val="00396A7B"/>
    <w:rsid w:val="00397360"/>
    <w:rsid w:val="003977F0"/>
    <w:rsid w:val="00397D97"/>
    <w:rsid w:val="003A0030"/>
    <w:rsid w:val="003A03F3"/>
    <w:rsid w:val="003A056D"/>
    <w:rsid w:val="003A0B37"/>
    <w:rsid w:val="003A1A87"/>
    <w:rsid w:val="003A222C"/>
    <w:rsid w:val="003A2D68"/>
    <w:rsid w:val="003A2EB3"/>
    <w:rsid w:val="003A38B2"/>
    <w:rsid w:val="003A3948"/>
    <w:rsid w:val="003A45CA"/>
    <w:rsid w:val="003A4893"/>
    <w:rsid w:val="003A4FF0"/>
    <w:rsid w:val="003A53CB"/>
    <w:rsid w:val="003A5A28"/>
    <w:rsid w:val="003A60EA"/>
    <w:rsid w:val="003A61FB"/>
    <w:rsid w:val="003A66C8"/>
    <w:rsid w:val="003A66E4"/>
    <w:rsid w:val="003A673B"/>
    <w:rsid w:val="003A6CC5"/>
    <w:rsid w:val="003A6DE5"/>
    <w:rsid w:val="003A7668"/>
    <w:rsid w:val="003A7807"/>
    <w:rsid w:val="003B0210"/>
    <w:rsid w:val="003B101A"/>
    <w:rsid w:val="003B293F"/>
    <w:rsid w:val="003B2A1A"/>
    <w:rsid w:val="003B2CB9"/>
    <w:rsid w:val="003B3016"/>
    <w:rsid w:val="003B3F90"/>
    <w:rsid w:val="003B4728"/>
    <w:rsid w:val="003B498D"/>
    <w:rsid w:val="003B5149"/>
    <w:rsid w:val="003B5789"/>
    <w:rsid w:val="003B58DD"/>
    <w:rsid w:val="003B5A53"/>
    <w:rsid w:val="003B6CED"/>
    <w:rsid w:val="003B6F54"/>
    <w:rsid w:val="003B7635"/>
    <w:rsid w:val="003B7799"/>
    <w:rsid w:val="003B7A94"/>
    <w:rsid w:val="003B7C56"/>
    <w:rsid w:val="003B7E33"/>
    <w:rsid w:val="003C00E8"/>
    <w:rsid w:val="003C014E"/>
    <w:rsid w:val="003C057D"/>
    <w:rsid w:val="003C09DD"/>
    <w:rsid w:val="003C171E"/>
    <w:rsid w:val="003C1DF1"/>
    <w:rsid w:val="003C1FBE"/>
    <w:rsid w:val="003C2428"/>
    <w:rsid w:val="003C27A8"/>
    <w:rsid w:val="003C344B"/>
    <w:rsid w:val="003C4B0A"/>
    <w:rsid w:val="003C4D4B"/>
    <w:rsid w:val="003C5E58"/>
    <w:rsid w:val="003C615D"/>
    <w:rsid w:val="003C6175"/>
    <w:rsid w:val="003C623A"/>
    <w:rsid w:val="003C6FAC"/>
    <w:rsid w:val="003C7129"/>
    <w:rsid w:val="003C73A6"/>
    <w:rsid w:val="003C7F3F"/>
    <w:rsid w:val="003D0222"/>
    <w:rsid w:val="003D02FD"/>
    <w:rsid w:val="003D0895"/>
    <w:rsid w:val="003D1133"/>
    <w:rsid w:val="003D117F"/>
    <w:rsid w:val="003D2061"/>
    <w:rsid w:val="003D21F7"/>
    <w:rsid w:val="003D27EE"/>
    <w:rsid w:val="003D3BE0"/>
    <w:rsid w:val="003D4214"/>
    <w:rsid w:val="003D439F"/>
    <w:rsid w:val="003D4ED8"/>
    <w:rsid w:val="003D5013"/>
    <w:rsid w:val="003D5400"/>
    <w:rsid w:val="003D5613"/>
    <w:rsid w:val="003D5651"/>
    <w:rsid w:val="003D5D86"/>
    <w:rsid w:val="003D6195"/>
    <w:rsid w:val="003D698C"/>
    <w:rsid w:val="003D6B9E"/>
    <w:rsid w:val="003D6F82"/>
    <w:rsid w:val="003D75F3"/>
    <w:rsid w:val="003D7614"/>
    <w:rsid w:val="003D7EB1"/>
    <w:rsid w:val="003E01E2"/>
    <w:rsid w:val="003E02DB"/>
    <w:rsid w:val="003E038C"/>
    <w:rsid w:val="003E08B5"/>
    <w:rsid w:val="003E12A6"/>
    <w:rsid w:val="003E167B"/>
    <w:rsid w:val="003E21B6"/>
    <w:rsid w:val="003E2AE8"/>
    <w:rsid w:val="003E2BF8"/>
    <w:rsid w:val="003E44EB"/>
    <w:rsid w:val="003E4891"/>
    <w:rsid w:val="003E580F"/>
    <w:rsid w:val="003E59D5"/>
    <w:rsid w:val="003E60D1"/>
    <w:rsid w:val="003E6836"/>
    <w:rsid w:val="003E6C1E"/>
    <w:rsid w:val="003E6D8D"/>
    <w:rsid w:val="003E6F8A"/>
    <w:rsid w:val="003E6FA9"/>
    <w:rsid w:val="003E73E7"/>
    <w:rsid w:val="003E7741"/>
    <w:rsid w:val="003E77B6"/>
    <w:rsid w:val="003E7ACC"/>
    <w:rsid w:val="003F00AE"/>
    <w:rsid w:val="003F0104"/>
    <w:rsid w:val="003F0354"/>
    <w:rsid w:val="003F0AC3"/>
    <w:rsid w:val="003F0BB0"/>
    <w:rsid w:val="003F10E6"/>
    <w:rsid w:val="003F1106"/>
    <w:rsid w:val="003F18A6"/>
    <w:rsid w:val="003F1DE7"/>
    <w:rsid w:val="003F1EE6"/>
    <w:rsid w:val="003F1F20"/>
    <w:rsid w:val="003F25E9"/>
    <w:rsid w:val="003F321E"/>
    <w:rsid w:val="003F366C"/>
    <w:rsid w:val="003F3D8A"/>
    <w:rsid w:val="003F3E44"/>
    <w:rsid w:val="003F4ADD"/>
    <w:rsid w:val="003F52F8"/>
    <w:rsid w:val="003F53E7"/>
    <w:rsid w:val="003F55A8"/>
    <w:rsid w:val="003F5772"/>
    <w:rsid w:val="003F5867"/>
    <w:rsid w:val="003F5904"/>
    <w:rsid w:val="003F5CE9"/>
    <w:rsid w:val="003F62D8"/>
    <w:rsid w:val="003F666B"/>
    <w:rsid w:val="003F722B"/>
    <w:rsid w:val="00400CF3"/>
    <w:rsid w:val="004017B0"/>
    <w:rsid w:val="0040180D"/>
    <w:rsid w:val="00401FBB"/>
    <w:rsid w:val="004026CB"/>
    <w:rsid w:val="004029FB"/>
    <w:rsid w:val="0040381F"/>
    <w:rsid w:val="00403B63"/>
    <w:rsid w:val="00403BBA"/>
    <w:rsid w:val="00403C0C"/>
    <w:rsid w:val="00404216"/>
    <w:rsid w:val="00404F36"/>
    <w:rsid w:val="004052D3"/>
    <w:rsid w:val="00405758"/>
    <w:rsid w:val="00405B1B"/>
    <w:rsid w:val="00405DF1"/>
    <w:rsid w:val="00405E9F"/>
    <w:rsid w:val="00406380"/>
    <w:rsid w:val="0040668A"/>
    <w:rsid w:val="00406A83"/>
    <w:rsid w:val="00406BA3"/>
    <w:rsid w:val="00406EA7"/>
    <w:rsid w:val="004077AF"/>
    <w:rsid w:val="00407E2A"/>
    <w:rsid w:val="0041037B"/>
    <w:rsid w:val="004103CE"/>
    <w:rsid w:val="00410AF4"/>
    <w:rsid w:val="00410BFF"/>
    <w:rsid w:val="00410CB4"/>
    <w:rsid w:val="00410FCC"/>
    <w:rsid w:val="004110EA"/>
    <w:rsid w:val="00411B98"/>
    <w:rsid w:val="004126DA"/>
    <w:rsid w:val="0041288E"/>
    <w:rsid w:val="00413BA5"/>
    <w:rsid w:val="00413E61"/>
    <w:rsid w:val="004141E1"/>
    <w:rsid w:val="00414548"/>
    <w:rsid w:val="004146B5"/>
    <w:rsid w:val="00414A65"/>
    <w:rsid w:val="00414ABE"/>
    <w:rsid w:val="00414C77"/>
    <w:rsid w:val="00415233"/>
    <w:rsid w:val="00415C53"/>
    <w:rsid w:val="00416269"/>
    <w:rsid w:val="00416B91"/>
    <w:rsid w:val="00416FF2"/>
    <w:rsid w:val="00417530"/>
    <w:rsid w:val="00417C87"/>
    <w:rsid w:val="00417F65"/>
    <w:rsid w:val="00420AEB"/>
    <w:rsid w:val="00421A56"/>
    <w:rsid w:val="00421C5F"/>
    <w:rsid w:val="00422E2C"/>
    <w:rsid w:val="00422F89"/>
    <w:rsid w:val="0042348C"/>
    <w:rsid w:val="00423AD2"/>
    <w:rsid w:val="00424971"/>
    <w:rsid w:val="00424BB6"/>
    <w:rsid w:val="004252D5"/>
    <w:rsid w:val="00425769"/>
    <w:rsid w:val="00425AB7"/>
    <w:rsid w:val="00425E37"/>
    <w:rsid w:val="00426059"/>
    <w:rsid w:val="00426C6A"/>
    <w:rsid w:val="004278EA"/>
    <w:rsid w:val="00427CCC"/>
    <w:rsid w:val="00430DC4"/>
    <w:rsid w:val="00430F8C"/>
    <w:rsid w:val="0043143F"/>
    <w:rsid w:val="004314CF"/>
    <w:rsid w:val="00431BCF"/>
    <w:rsid w:val="00432329"/>
    <w:rsid w:val="00432684"/>
    <w:rsid w:val="004326FE"/>
    <w:rsid w:val="00432ADA"/>
    <w:rsid w:val="0043325B"/>
    <w:rsid w:val="00434786"/>
    <w:rsid w:val="00434D5B"/>
    <w:rsid w:val="00434F3E"/>
    <w:rsid w:val="00435152"/>
    <w:rsid w:val="004351A1"/>
    <w:rsid w:val="00435D18"/>
    <w:rsid w:val="00436072"/>
    <w:rsid w:val="004361C6"/>
    <w:rsid w:val="004367E6"/>
    <w:rsid w:val="00436D04"/>
    <w:rsid w:val="00436DB3"/>
    <w:rsid w:val="00437190"/>
    <w:rsid w:val="004373D0"/>
    <w:rsid w:val="004374D9"/>
    <w:rsid w:val="00437BD3"/>
    <w:rsid w:val="004407BC"/>
    <w:rsid w:val="00440D12"/>
    <w:rsid w:val="00441668"/>
    <w:rsid w:val="00441EBD"/>
    <w:rsid w:val="00442D11"/>
    <w:rsid w:val="004432CE"/>
    <w:rsid w:val="00444092"/>
    <w:rsid w:val="004446AD"/>
    <w:rsid w:val="0044474D"/>
    <w:rsid w:val="00445284"/>
    <w:rsid w:val="00445B29"/>
    <w:rsid w:val="00446B5D"/>
    <w:rsid w:val="00446D57"/>
    <w:rsid w:val="00447527"/>
    <w:rsid w:val="00447D48"/>
    <w:rsid w:val="0045034F"/>
    <w:rsid w:val="00450E42"/>
    <w:rsid w:val="004510D4"/>
    <w:rsid w:val="004512EB"/>
    <w:rsid w:val="0045136F"/>
    <w:rsid w:val="0045167B"/>
    <w:rsid w:val="00451892"/>
    <w:rsid w:val="0045197C"/>
    <w:rsid w:val="00451CB1"/>
    <w:rsid w:val="00451F36"/>
    <w:rsid w:val="00452073"/>
    <w:rsid w:val="004521BD"/>
    <w:rsid w:val="004529CF"/>
    <w:rsid w:val="00452D1D"/>
    <w:rsid w:val="0045309F"/>
    <w:rsid w:val="0045332C"/>
    <w:rsid w:val="0045353F"/>
    <w:rsid w:val="004539D4"/>
    <w:rsid w:val="00453B43"/>
    <w:rsid w:val="00454093"/>
    <w:rsid w:val="00454125"/>
    <w:rsid w:val="00454D0B"/>
    <w:rsid w:val="00454E8E"/>
    <w:rsid w:val="00456151"/>
    <w:rsid w:val="004564B6"/>
    <w:rsid w:val="00456673"/>
    <w:rsid w:val="0045691F"/>
    <w:rsid w:val="00457104"/>
    <w:rsid w:val="00457106"/>
    <w:rsid w:val="00457AAC"/>
    <w:rsid w:val="00457C44"/>
    <w:rsid w:val="00457D7D"/>
    <w:rsid w:val="00457D9C"/>
    <w:rsid w:val="00457ED7"/>
    <w:rsid w:val="00460269"/>
    <w:rsid w:val="004609AF"/>
    <w:rsid w:val="00460F87"/>
    <w:rsid w:val="0046121C"/>
    <w:rsid w:val="004615B1"/>
    <w:rsid w:val="00461754"/>
    <w:rsid w:val="00461EAA"/>
    <w:rsid w:val="00462324"/>
    <w:rsid w:val="004623A3"/>
    <w:rsid w:val="004623CB"/>
    <w:rsid w:val="004625EE"/>
    <w:rsid w:val="004628A3"/>
    <w:rsid w:val="00462939"/>
    <w:rsid w:val="00462A1B"/>
    <w:rsid w:val="004637B2"/>
    <w:rsid w:val="00463B31"/>
    <w:rsid w:val="004641CC"/>
    <w:rsid w:val="00464979"/>
    <w:rsid w:val="00464CF8"/>
    <w:rsid w:val="00465F9F"/>
    <w:rsid w:val="0046682E"/>
    <w:rsid w:val="00470287"/>
    <w:rsid w:val="00470544"/>
    <w:rsid w:val="00470679"/>
    <w:rsid w:val="00470789"/>
    <w:rsid w:val="00470AB2"/>
    <w:rsid w:val="00470AED"/>
    <w:rsid w:val="00471244"/>
    <w:rsid w:val="004712A5"/>
    <w:rsid w:val="0047168F"/>
    <w:rsid w:val="0047254A"/>
    <w:rsid w:val="00472C92"/>
    <w:rsid w:val="00472F07"/>
    <w:rsid w:val="00472FB8"/>
    <w:rsid w:val="00473233"/>
    <w:rsid w:val="00473428"/>
    <w:rsid w:val="00473BF1"/>
    <w:rsid w:val="00473DB6"/>
    <w:rsid w:val="004740EC"/>
    <w:rsid w:val="0047423B"/>
    <w:rsid w:val="004748A2"/>
    <w:rsid w:val="00474A8A"/>
    <w:rsid w:val="004753D5"/>
    <w:rsid w:val="004756B1"/>
    <w:rsid w:val="004756E3"/>
    <w:rsid w:val="00475E50"/>
    <w:rsid w:val="00475F9C"/>
    <w:rsid w:val="0047621A"/>
    <w:rsid w:val="004766D9"/>
    <w:rsid w:val="00476781"/>
    <w:rsid w:val="00476A28"/>
    <w:rsid w:val="00476BA5"/>
    <w:rsid w:val="00476ED9"/>
    <w:rsid w:val="00476F2D"/>
    <w:rsid w:val="00477E47"/>
    <w:rsid w:val="0048044D"/>
    <w:rsid w:val="004804AE"/>
    <w:rsid w:val="00480801"/>
    <w:rsid w:val="00480B66"/>
    <w:rsid w:val="00480C35"/>
    <w:rsid w:val="00481949"/>
    <w:rsid w:val="00481C4E"/>
    <w:rsid w:val="00482761"/>
    <w:rsid w:val="00482A34"/>
    <w:rsid w:val="0048373E"/>
    <w:rsid w:val="00483D18"/>
    <w:rsid w:val="004848E5"/>
    <w:rsid w:val="00484EFC"/>
    <w:rsid w:val="00485293"/>
    <w:rsid w:val="0048549E"/>
    <w:rsid w:val="004857E2"/>
    <w:rsid w:val="004860F5"/>
    <w:rsid w:val="004864CA"/>
    <w:rsid w:val="00486938"/>
    <w:rsid w:val="00486A05"/>
    <w:rsid w:val="00486B56"/>
    <w:rsid w:val="004871B0"/>
    <w:rsid w:val="004876AE"/>
    <w:rsid w:val="004901C4"/>
    <w:rsid w:val="00490A74"/>
    <w:rsid w:val="00490AE4"/>
    <w:rsid w:val="00491058"/>
    <w:rsid w:val="00492D58"/>
    <w:rsid w:val="00492F7D"/>
    <w:rsid w:val="004934F0"/>
    <w:rsid w:val="004937F9"/>
    <w:rsid w:val="00493FA3"/>
    <w:rsid w:val="0049435E"/>
    <w:rsid w:val="004944F1"/>
    <w:rsid w:val="00494641"/>
    <w:rsid w:val="00494CF1"/>
    <w:rsid w:val="00495549"/>
    <w:rsid w:val="00495F76"/>
    <w:rsid w:val="004967D5"/>
    <w:rsid w:val="00496CF0"/>
    <w:rsid w:val="00496D43"/>
    <w:rsid w:val="0049725C"/>
    <w:rsid w:val="004976B4"/>
    <w:rsid w:val="0049770E"/>
    <w:rsid w:val="00497B3C"/>
    <w:rsid w:val="004A04A0"/>
    <w:rsid w:val="004A103D"/>
    <w:rsid w:val="004A14FA"/>
    <w:rsid w:val="004A1CE7"/>
    <w:rsid w:val="004A1F04"/>
    <w:rsid w:val="004A2757"/>
    <w:rsid w:val="004A27DF"/>
    <w:rsid w:val="004A2D23"/>
    <w:rsid w:val="004A3128"/>
    <w:rsid w:val="004A367A"/>
    <w:rsid w:val="004A4075"/>
    <w:rsid w:val="004A42B1"/>
    <w:rsid w:val="004A4309"/>
    <w:rsid w:val="004A458D"/>
    <w:rsid w:val="004A4EB1"/>
    <w:rsid w:val="004A4F69"/>
    <w:rsid w:val="004A5514"/>
    <w:rsid w:val="004A5A99"/>
    <w:rsid w:val="004A5DF6"/>
    <w:rsid w:val="004A604A"/>
    <w:rsid w:val="004A634C"/>
    <w:rsid w:val="004A6468"/>
    <w:rsid w:val="004A6B49"/>
    <w:rsid w:val="004A7199"/>
    <w:rsid w:val="004A7259"/>
    <w:rsid w:val="004B01C5"/>
    <w:rsid w:val="004B12BA"/>
    <w:rsid w:val="004B143B"/>
    <w:rsid w:val="004B1D29"/>
    <w:rsid w:val="004B1F27"/>
    <w:rsid w:val="004B23F3"/>
    <w:rsid w:val="004B2D76"/>
    <w:rsid w:val="004B3027"/>
    <w:rsid w:val="004B34CF"/>
    <w:rsid w:val="004B36BF"/>
    <w:rsid w:val="004B3859"/>
    <w:rsid w:val="004B4CE2"/>
    <w:rsid w:val="004B556B"/>
    <w:rsid w:val="004B6295"/>
    <w:rsid w:val="004B6568"/>
    <w:rsid w:val="004B66D8"/>
    <w:rsid w:val="004B6FAD"/>
    <w:rsid w:val="004B72CA"/>
    <w:rsid w:val="004C040E"/>
    <w:rsid w:val="004C08FB"/>
    <w:rsid w:val="004C09D3"/>
    <w:rsid w:val="004C0B22"/>
    <w:rsid w:val="004C2971"/>
    <w:rsid w:val="004C31E4"/>
    <w:rsid w:val="004C389A"/>
    <w:rsid w:val="004C3B30"/>
    <w:rsid w:val="004C460F"/>
    <w:rsid w:val="004C46FD"/>
    <w:rsid w:val="004C47B3"/>
    <w:rsid w:val="004C5152"/>
    <w:rsid w:val="004C54D0"/>
    <w:rsid w:val="004C6158"/>
    <w:rsid w:val="004C7142"/>
    <w:rsid w:val="004C79B0"/>
    <w:rsid w:val="004C7BBB"/>
    <w:rsid w:val="004D05A5"/>
    <w:rsid w:val="004D0985"/>
    <w:rsid w:val="004D09EE"/>
    <w:rsid w:val="004D0ADF"/>
    <w:rsid w:val="004D14B8"/>
    <w:rsid w:val="004D1FE6"/>
    <w:rsid w:val="004D2806"/>
    <w:rsid w:val="004D2A66"/>
    <w:rsid w:val="004D2AF9"/>
    <w:rsid w:val="004D2F18"/>
    <w:rsid w:val="004D3CAC"/>
    <w:rsid w:val="004D3D9A"/>
    <w:rsid w:val="004D3E17"/>
    <w:rsid w:val="004D3EDB"/>
    <w:rsid w:val="004D44B2"/>
    <w:rsid w:val="004D47CF"/>
    <w:rsid w:val="004D4A55"/>
    <w:rsid w:val="004D4E80"/>
    <w:rsid w:val="004D5274"/>
    <w:rsid w:val="004D695D"/>
    <w:rsid w:val="004D70A8"/>
    <w:rsid w:val="004D74C2"/>
    <w:rsid w:val="004D7855"/>
    <w:rsid w:val="004E02A1"/>
    <w:rsid w:val="004E0533"/>
    <w:rsid w:val="004E0C77"/>
    <w:rsid w:val="004E0D6C"/>
    <w:rsid w:val="004E0E7C"/>
    <w:rsid w:val="004E12F7"/>
    <w:rsid w:val="004E13DE"/>
    <w:rsid w:val="004E13ED"/>
    <w:rsid w:val="004E1BFC"/>
    <w:rsid w:val="004E20EF"/>
    <w:rsid w:val="004E2503"/>
    <w:rsid w:val="004E29F9"/>
    <w:rsid w:val="004E2EB3"/>
    <w:rsid w:val="004E2F91"/>
    <w:rsid w:val="004E2FC2"/>
    <w:rsid w:val="004E32D5"/>
    <w:rsid w:val="004E3887"/>
    <w:rsid w:val="004E3C61"/>
    <w:rsid w:val="004E40F3"/>
    <w:rsid w:val="004E480B"/>
    <w:rsid w:val="004E4837"/>
    <w:rsid w:val="004E4E55"/>
    <w:rsid w:val="004E52C3"/>
    <w:rsid w:val="004E578B"/>
    <w:rsid w:val="004E621E"/>
    <w:rsid w:val="004E6272"/>
    <w:rsid w:val="004E651A"/>
    <w:rsid w:val="004E6716"/>
    <w:rsid w:val="004E6ABC"/>
    <w:rsid w:val="004E6AF8"/>
    <w:rsid w:val="004E6DBB"/>
    <w:rsid w:val="004E6E99"/>
    <w:rsid w:val="004E75FD"/>
    <w:rsid w:val="004E771C"/>
    <w:rsid w:val="004E7FFC"/>
    <w:rsid w:val="004F0A14"/>
    <w:rsid w:val="004F104C"/>
    <w:rsid w:val="004F17F6"/>
    <w:rsid w:val="004F1D60"/>
    <w:rsid w:val="004F2BDA"/>
    <w:rsid w:val="004F2C9B"/>
    <w:rsid w:val="004F36FC"/>
    <w:rsid w:val="004F3873"/>
    <w:rsid w:val="004F3E39"/>
    <w:rsid w:val="004F40D2"/>
    <w:rsid w:val="004F4191"/>
    <w:rsid w:val="004F42F7"/>
    <w:rsid w:val="004F471D"/>
    <w:rsid w:val="004F483E"/>
    <w:rsid w:val="004F50F1"/>
    <w:rsid w:val="004F55C5"/>
    <w:rsid w:val="004F572B"/>
    <w:rsid w:val="004F59D7"/>
    <w:rsid w:val="004F5EEB"/>
    <w:rsid w:val="004F6090"/>
    <w:rsid w:val="004F6498"/>
    <w:rsid w:val="004F652C"/>
    <w:rsid w:val="004F6BD5"/>
    <w:rsid w:val="004F7464"/>
    <w:rsid w:val="004F7618"/>
    <w:rsid w:val="00500803"/>
    <w:rsid w:val="00500AD8"/>
    <w:rsid w:val="00500F28"/>
    <w:rsid w:val="005016FF"/>
    <w:rsid w:val="005017A4"/>
    <w:rsid w:val="005019D7"/>
    <w:rsid w:val="00501C31"/>
    <w:rsid w:val="0050276F"/>
    <w:rsid w:val="00502C85"/>
    <w:rsid w:val="005036F8"/>
    <w:rsid w:val="005037B0"/>
    <w:rsid w:val="005039A3"/>
    <w:rsid w:val="00504116"/>
    <w:rsid w:val="005046DD"/>
    <w:rsid w:val="00504945"/>
    <w:rsid w:val="005051CF"/>
    <w:rsid w:val="0050604B"/>
    <w:rsid w:val="005061CE"/>
    <w:rsid w:val="005063A8"/>
    <w:rsid w:val="005065B7"/>
    <w:rsid w:val="0050739D"/>
    <w:rsid w:val="0050791C"/>
    <w:rsid w:val="00510091"/>
    <w:rsid w:val="0051074C"/>
    <w:rsid w:val="005108C3"/>
    <w:rsid w:val="00510E76"/>
    <w:rsid w:val="00510F35"/>
    <w:rsid w:val="005114F1"/>
    <w:rsid w:val="00511C62"/>
    <w:rsid w:val="00511E2C"/>
    <w:rsid w:val="005123C2"/>
    <w:rsid w:val="00512776"/>
    <w:rsid w:val="00512F26"/>
    <w:rsid w:val="00513F95"/>
    <w:rsid w:val="00514B76"/>
    <w:rsid w:val="00514CF8"/>
    <w:rsid w:val="005151E6"/>
    <w:rsid w:val="005153BD"/>
    <w:rsid w:val="005153CB"/>
    <w:rsid w:val="005159F6"/>
    <w:rsid w:val="00516048"/>
    <w:rsid w:val="00516597"/>
    <w:rsid w:val="00516A65"/>
    <w:rsid w:val="00516CAD"/>
    <w:rsid w:val="00516D61"/>
    <w:rsid w:val="00516F7E"/>
    <w:rsid w:val="00516F8E"/>
    <w:rsid w:val="005176F5"/>
    <w:rsid w:val="00521BB8"/>
    <w:rsid w:val="00522872"/>
    <w:rsid w:val="00522A0C"/>
    <w:rsid w:val="00522CFE"/>
    <w:rsid w:val="005233A8"/>
    <w:rsid w:val="0052383C"/>
    <w:rsid w:val="005245A0"/>
    <w:rsid w:val="0052466B"/>
    <w:rsid w:val="00524C02"/>
    <w:rsid w:val="00525902"/>
    <w:rsid w:val="00525FA4"/>
    <w:rsid w:val="00525FC4"/>
    <w:rsid w:val="00527BB6"/>
    <w:rsid w:val="0053042D"/>
    <w:rsid w:val="00530B70"/>
    <w:rsid w:val="00530CE1"/>
    <w:rsid w:val="00531152"/>
    <w:rsid w:val="005319CC"/>
    <w:rsid w:val="00531C67"/>
    <w:rsid w:val="00531EA6"/>
    <w:rsid w:val="005324A9"/>
    <w:rsid w:val="0053280A"/>
    <w:rsid w:val="0053290A"/>
    <w:rsid w:val="00532B27"/>
    <w:rsid w:val="00534DCE"/>
    <w:rsid w:val="0053503F"/>
    <w:rsid w:val="0053532E"/>
    <w:rsid w:val="00536461"/>
    <w:rsid w:val="005378B7"/>
    <w:rsid w:val="005378C4"/>
    <w:rsid w:val="00540EB0"/>
    <w:rsid w:val="0054170D"/>
    <w:rsid w:val="00541A64"/>
    <w:rsid w:val="00542A00"/>
    <w:rsid w:val="00543C42"/>
    <w:rsid w:val="00543C85"/>
    <w:rsid w:val="00543C95"/>
    <w:rsid w:val="0054419C"/>
    <w:rsid w:val="00544221"/>
    <w:rsid w:val="0054458B"/>
    <w:rsid w:val="005446BF"/>
    <w:rsid w:val="0054514E"/>
    <w:rsid w:val="00545A97"/>
    <w:rsid w:val="0054634F"/>
    <w:rsid w:val="00546981"/>
    <w:rsid w:val="00546F05"/>
    <w:rsid w:val="005472E4"/>
    <w:rsid w:val="005474BF"/>
    <w:rsid w:val="00547753"/>
    <w:rsid w:val="00550140"/>
    <w:rsid w:val="00550374"/>
    <w:rsid w:val="00550ADB"/>
    <w:rsid w:val="00550EEA"/>
    <w:rsid w:val="00551600"/>
    <w:rsid w:val="005516A2"/>
    <w:rsid w:val="00551D6B"/>
    <w:rsid w:val="00551FC2"/>
    <w:rsid w:val="00552A60"/>
    <w:rsid w:val="00552AEA"/>
    <w:rsid w:val="00552BEC"/>
    <w:rsid w:val="005531A5"/>
    <w:rsid w:val="00553A4F"/>
    <w:rsid w:val="00553C6F"/>
    <w:rsid w:val="00554464"/>
    <w:rsid w:val="00554F4F"/>
    <w:rsid w:val="005553FF"/>
    <w:rsid w:val="00555A5A"/>
    <w:rsid w:val="00555BE8"/>
    <w:rsid w:val="00556488"/>
    <w:rsid w:val="0055655F"/>
    <w:rsid w:val="0055657C"/>
    <w:rsid w:val="00556788"/>
    <w:rsid w:val="00557176"/>
    <w:rsid w:val="00557683"/>
    <w:rsid w:val="005577D7"/>
    <w:rsid w:val="005578EF"/>
    <w:rsid w:val="00557EAA"/>
    <w:rsid w:val="00560282"/>
    <w:rsid w:val="005605F4"/>
    <w:rsid w:val="00560A3D"/>
    <w:rsid w:val="00560F21"/>
    <w:rsid w:val="005610C0"/>
    <w:rsid w:val="005612BE"/>
    <w:rsid w:val="0056136C"/>
    <w:rsid w:val="0056206A"/>
    <w:rsid w:val="005621C1"/>
    <w:rsid w:val="005621FD"/>
    <w:rsid w:val="00562B55"/>
    <w:rsid w:val="00562C0E"/>
    <w:rsid w:val="00562F2F"/>
    <w:rsid w:val="0056370D"/>
    <w:rsid w:val="0056375E"/>
    <w:rsid w:val="005639B1"/>
    <w:rsid w:val="00563BA4"/>
    <w:rsid w:val="0056422C"/>
    <w:rsid w:val="005642A1"/>
    <w:rsid w:val="00564E0D"/>
    <w:rsid w:val="00565698"/>
    <w:rsid w:val="00565B73"/>
    <w:rsid w:val="0056631A"/>
    <w:rsid w:val="005667A9"/>
    <w:rsid w:val="005668B4"/>
    <w:rsid w:val="00566D4C"/>
    <w:rsid w:val="00566E1B"/>
    <w:rsid w:val="005675BD"/>
    <w:rsid w:val="00567ED7"/>
    <w:rsid w:val="00570313"/>
    <w:rsid w:val="00570686"/>
    <w:rsid w:val="005710C7"/>
    <w:rsid w:val="005722F9"/>
    <w:rsid w:val="00572890"/>
    <w:rsid w:val="005730F7"/>
    <w:rsid w:val="005730F9"/>
    <w:rsid w:val="00573128"/>
    <w:rsid w:val="005735A6"/>
    <w:rsid w:val="00573AB1"/>
    <w:rsid w:val="00573C8E"/>
    <w:rsid w:val="00574666"/>
    <w:rsid w:val="00574D73"/>
    <w:rsid w:val="0057529F"/>
    <w:rsid w:val="0057555D"/>
    <w:rsid w:val="005758E4"/>
    <w:rsid w:val="00575996"/>
    <w:rsid w:val="00576752"/>
    <w:rsid w:val="005767FB"/>
    <w:rsid w:val="00576A30"/>
    <w:rsid w:val="00577E35"/>
    <w:rsid w:val="00580761"/>
    <w:rsid w:val="00580E1C"/>
    <w:rsid w:val="005815AD"/>
    <w:rsid w:val="0058190B"/>
    <w:rsid w:val="00581DF3"/>
    <w:rsid w:val="00582AD4"/>
    <w:rsid w:val="00582BA7"/>
    <w:rsid w:val="00582ED3"/>
    <w:rsid w:val="00583374"/>
    <w:rsid w:val="00584A2D"/>
    <w:rsid w:val="00584C03"/>
    <w:rsid w:val="00585025"/>
    <w:rsid w:val="00585A73"/>
    <w:rsid w:val="00585C8E"/>
    <w:rsid w:val="005866D6"/>
    <w:rsid w:val="00586E40"/>
    <w:rsid w:val="0058754F"/>
    <w:rsid w:val="00587870"/>
    <w:rsid w:val="0058794F"/>
    <w:rsid w:val="00587A5D"/>
    <w:rsid w:val="00587B91"/>
    <w:rsid w:val="00590508"/>
    <w:rsid w:val="0059101B"/>
    <w:rsid w:val="0059134F"/>
    <w:rsid w:val="005918C6"/>
    <w:rsid w:val="005919C5"/>
    <w:rsid w:val="00592011"/>
    <w:rsid w:val="00592EBE"/>
    <w:rsid w:val="0059330F"/>
    <w:rsid w:val="00593AD5"/>
    <w:rsid w:val="00594670"/>
    <w:rsid w:val="005946F5"/>
    <w:rsid w:val="0059554E"/>
    <w:rsid w:val="00595CCC"/>
    <w:rsid w:val="00595FF7"/>
    <w:rsid w:val="005968C8"/>
    <w:rsid w:val="00596960"/>
    <w:rsid w:val="00596AC8"/>
    <w:rsid w:val="00597520"/>
    <w:rsid w:val="005A0046"/>
    <w:rsid w:val="005A038E"/>
    <w:rsid w:val="005A0BDF"/>
    <w:rsid w:val="005A110A"/>
    <w:rsid w:val="005A1151"/>
    <w:rsid w:val="005A144D"/>
    <w:rsid w:val="005A15AD"/>
    <w:rsid w:val="005A1A2B"/>
    <w:rsid w:val="005A2E0F"/>
    <w:rsid w:val="005A2F5F"/>
    <w:rsid w:val="005A2FE1"/>
    <w:rsid w:val="005A3496"/>
    <w:rsid w:val="005A39FB"/>
    <w:rsid w:val="005A3B2D"/>
    <w:rsid w:val="005A420D"/>
    <w:rsid w:val="005A4A02"/>
    <w:rsid w:val="005A690B"/>
    <w:rsid w:val="005A6ECB"/>
    <w:rsid w:val="005A7A0D"/>
    <w:rsid w:val="005A7A69"/>
    <w:rsid w:val="005A7AAD"/>
    <w:rsid w:val="005A7DA3"/>
    <w:rsid w:val="005B03D6"/>
    <w:rsid w:val="005B1123"/>
    <w:rsid w:val="005B18D0"/>
    <w:rsid w:val="005B190F"/>
    <w:rsid w:val="005B205F"/>
    <w:rsid w:val="005B2418"/>
    <w:rsid w:val="005B2557"/>
    <w:rsid w:val="005B3670"/>
    <w:rsid w:val="005B52B7"/>
    <w:rsid w:val="005B530D"/>
    <w:rsid w:val="005B5333"/>
    <w:rsid w:val="005B5341"/>
    <w:rsid w:val="005B5528"/>
    <w:rsid w:val="005B5789"/>
    <w:rsid w:val="005B5C11"/>
    <w:rsid w:val="005B5D89"/>
    <w:rsid w:val="005B64D2"/>
    <w:rsid w:val="005B7E0A"/>
    <w:rsid w:val="005C0031"/>
    <w:rsid w:val="005C0488"/>
    <w:rsid w:val="005C0A27"/>
    <w:rsid w:val="005C0D9A"/>
    <w:rsid w:val="005C16AC"/>
    <w:rsid w:val="005C17BA"/>
    <w:rsid w:val="005C1880"/>
    <w:rsid w:val="005C217B"/>
    <w:rsid w:val="005C2729"/>
    <w:rsid w:val="005C2744"/>
    <w:rsid w:val="005C3100"/>
    <w:rsid w:val="005C39FF"/>
    <w:rsid w:val="005C3B49"/>
    <w:rsid w:val="005C4026"/>
    <w:rsid w:val="005C4A93"/>
    <w:rsid w:val="005C4D25"/>
    <w:rsid w:val="005C5C84"/>
    <w:rsid w:val="005C626D"/>
    <w:rsid w:val="005C6339"/>
    <w:rsid w:val="005C7A0A"/>
    <w:rsid w:val="005CCD91"/>
    <w:rsid w:val="005D015E"/>
    <w:rsid w:val="005D0A1A"/>
    <w:rsid w:val="005D114A"/>
    <w:rsid w:val="005D19F8"/>
    <w:rsid w:val="005D1B66"/>
    <w:rsid w:val="005D2232"/>
    <w:rsid w:val="005D252F"/>
    <w:rsid w:val="005D3492"/>
    <w:rsid w:val="005D3770"/>
    <w:rsid w:val="005D3A2D"/>
    <w:rsid w:val="005D3DE6"/>
    <w:rsid w:val="005D4174"/>
    <w:rsid w:val="005D4446"/>
    <w:rsid w:val="005D4754"/>
    <w:rsid w:val="005D6134"/>
    <w:rsid w:val="005D6A07"/>
    <w:rsid w:val="005D6DB5"/>
    <w:rsid w:val="005D7051"/>
    <w:rsid w:val="005D737F"/>
    <w:rsid w:val="005D7507"/>
    <w:rsid w:val="005D7B66"/>
    <w:rsid w:val="005E00C8"/>
    <w:rsid w:val="005E0B91"/>
    <w:rsid w:val="005E1170"/>
    <w:rsid w:val="005E1224"/>
    <w:rsid w:val="005E24F9"/>
    <w:rsid w:val="005E2E9C"/>
    <w:rsid w:val="005E2EB4"/>
    <w:rsid w:val="005E3649"/>
    <w:rsid w:val="005E3EED"/>
    <w:rsid w:val="005E4C43"/>
    <w:rsid w:val="005E4F1E"/>
    <w:rsid w:val="005E5030"/>
    <w:rsid w:val="005E57A0"/>
    <w:rsid w:val="005E5B64"/>
    <w:rsid w:val="005E637B"/>
    <w:rsid w:val="005E64ED"/>
    <w:rsid w:val="005E6B00"/>
    <w:rsid w:val="005E6DA8"/>
    <w:rsid w:val="005E773A"/>
    <w:rsid w:val="005E7BF5"/>
    <w:rsid w:val="005F0779"/>
    <w:rsid w:val="005F08CF"/>
    <w:rsid w:val="005F0E20"/>
    <w:rsid w:val="005F110E"/>
    <w:rsid w:val="005F12DD"/>
    <w:rsid w:val="005F14C4"/>
    <w:rsid w:val="005F1A39"/>
    <w:rsid w:val="005F1DDE"/>
    <w:rsid w:val="005F1E3A"/>
    <w:rsid w:val="005F1F0E"/>
    <w:rsid w:val="005F2F7C"/>
    <w:rsid w:val="005F3244"/>
    <w:rsid w:val="005F3DE1"/>
    <w:rsid w:val="005F515C"/>
    <w:rsid w:val="005F6178"/>
    <w:rsid w:val="005F6AC9"/>
    <w:rsid w:val="005F77D3"/>
    <w:rsid w:val="005F7C94"/>
    <w:rsid w:val="0060003C"/>
    <w:rsid w:val="00600DFD"/>
    <w:rsid w:val="0060113B"/>
    <w:rsid w:val="00601A86"/>
    <w:rsid w:val="00601B3B"/>
    <w:rsid w:val="00601DE8"/>
    <w:rsid w:val="00602058"/>
    <w:rsid w:val="0060236B"/>
    <w:rsid w:val="006023EA"/>
    <w:rsid w:val="006032C7"/>
    <w:rsid w:val="006034E0"/>
    <w:rsid w:val="006035F4"/>
    <w:rsid w:val="00603705"/>
    <w:rsid w:val="00603C55"/>
    <w:rsid w:val="00603C9F"/>
    <w:rsid w:val="006043C3"/>
    <w:rsid w:val="006045F8"/>
    <w:rsid w:val="006048C7"/>
    <w:rsid w:val="00604F3A"/>
    <w:rsid w:val="006056F8"/>
    <w:rsid w:val="00605AA9"/>
    <w:rsid w:val="00605F5E"/>
    <w:rsid w:val="00607F62"/>
    <w:rsid w:val="0061029E"/>
    <w:rsid w:val="00610417"/>
    <w:rsid w:val="006106B2"/>
    <w:rsid w:val="00610B6D"/>
    <w:rsid w:val="00610F62"/>
    <w:rsid w:val="0061114E"/>
    <w:rsid w:val="00611258"/>
    <w:rsid w:val="0061158A"/>
    <w:rsid w:val="006119A2"/>
    <w:rsid w:val="00611F5D"/>
    <w:rsid w:val="00612164"/>
    <w:rsid w:val="006121A1"/>
    <w:rsid w:val="00612FC5"/>
    <w:rsid w:val="0061378E"/>
    <w:rsid w:val="00613A6C"/>
    <w:rsid w:val="00613B53"/>
    <w:rsid w:val="00613D4A"/>
    <w:rsid w:val="00614194"/>
    <w:rsid w:val="006146CA"/>
    <w:rsid w:val="00614A46"/>
    <w:rsid w:val="00614FFE"/>
    <w:rsid w:val="00616CBC"/>
    <w:rsid w:val="00616D2E"/>
    <w:rsid w:val="00617B74"/>
    <w:rsid w:val="00620346"/>
    <w:rsid w:val="006203DA"/>
    <w:rsid w:val="006216E8"/>
    <w:rsid w:val="00621F72"/>
    <w:rsid w:val="006223A9"/>
    <w:rsid w:val="0062260B"/>
    <w:rsid w:val="00622AB3"/>
    <w:rsid w:val="006234D0"/>
    <w:rsid w:val="00623C77"/>
    <w:rsid w:val="00623F3C"/>
    <w:rsid w:val="00623F79"/>
    <w:rsid w:val="0062407F"/>
    <w:rsid w:val="0062502B"/>
    <w:rsid w:val="0062545B"/>
    <w:rsid w:val="006258DA"/>
    <w:rsid w:val="006268A8"/>
    <w:rsid w:val="006269AD"/>
    <w:rsid w:val="00626CD9"/>
    <w:rsid w:val="00626E6F"/>
    <w:rsid w:val="006273F0"/>
    <w:rsid w:val="00627514"/>
    <w:rsid w:val="00627721"/>
    <w:rsid w:val="00627D56"/>
    <w:rsid w:val="00630324"/>
    <w:rsid w:val="006305E4"/>
    <w:rsid w:val="00630747"/>
    <w:rsid w:val="0063163B"/>
    <w:rsid w:val="00631662"/>
    <w:rsid w:val="006319F1"/>
    <w:rsid w:val="006321FA"/>
    <w:rsid w:val="006335D4"/>
    <w:rsid w:val="0063383B"/>
    <w:rsid w:val="00633A9D"/>
    <w:rsid w:val="00633CD0"/>
    <w:rsid w:val="00633CE4"/>
    <w:rsid w:val="00633F79"/>
    <w:rsid w:val="00634360"/>
    <w:rsid w:val="0063439B"/>
    <w:rsid w:val="00634697"/>
    <w:rsid w:val="00634999"/>
    <w:rsid w:val="00634F1B"/>
    <w:rsid w:val="00634F3A"/>
    <w:rsid w:val="00635564"/>
    <w:rsid w:val="0063574E"/>
    <w:rsid w:val="00635983"/>
    <w:rsid w:val="00635CD6"/>
    <w:rsid w:val="00635F4D"/>
    <w:rsid w:val="006367FD"/>
    <w:rsid w:val="00636B98"/>
    <w:rsid w:val="00636DED"/>
    <w:rsid w:val="00637BA6"/>
    <w:rsid w:val="0064002A"/>
    <w:rsid w:val="00640E36"/>
    <w:rsid w:val="00640E5D"/>
    <w:rsid w:val="006410AE"/>
    <w:rsid w:val="00641184"/>
    <w:rsid w:val="00642736"/>
    <w:rsid w:val="00642B7B"/>
    <w:rsid w:val="00642E00"/>
    <w:rsid w:val="0064339C"/>
    <w:rsid w:val="0064397D"/>
    <w:rsid w:val="00643C51"/>
    <w:rsid w:val="00643DA6"/>
    <w:rsid w:val="00643DF9"/>
    <w:rsid w:val="00643E24"/>
    <w:rsid w:val="00643F39"/>
    <w:rsid w:val="00643FDF"/>
    <w:rsid w:val="00644A2E"/>
    <w:rsid w:val="006450DC"/>
    <w:rsid w:val="006455A7"/>
    <w:rsid w:val="00645ACF"/>
    <w:rsid w:val="00645CF5"/>
    <w:rsid w:val="00646724"/>
    <w:rsid w:val="00646D41"/>
    <w:rsid w:val="006470D0"/>
    <w:rsid w:val="00647BA5"/>
    <w:rsid w:val="0065034F"/>
    <w:rsid w:val="00651072"/>
    <w:rsid w:val="006519A2"/>
    <w:rsid w:val="00652B72"/>
    <w:rsid w:val="00653B1A"/>
    <w:rsid w:val="006544B2"/>
    <w:rsid w:val="00654E5D"/>
    <w:rsid w:val="00655322"/>
    <w:rsid w:val="006555D3"/>
    <w:rsid w:val="00655A82"/>
    <w:rsid w:val="0065640E"/>
    <w:rsid w:val="00656BC6"/>
    <w:rsid w:val="00656E90"/>
    <w:rsid w:val="00656EBF"/>
    <w:rsid w:val="0065713B"/>
    <w:rsid w:val="00657B49"/>
    <w:rsid w:val="00657F8E"/>
    <w:rsid w:val="00660620"/>
    <w:rsid w:val="00660652"/>
    <w:rsid w:val="00661030"/>
    <w:rsid w:val="006616BB"/>
    <w:rsid w:val="00661B69"/>
    <w:rsid w:val="00662F2B"/>
    <w:rsid w:val="00663384"/>
    <w:rsid w:val="0066532C"/>
    <w:rsid w:val="00665363"/>
    <w:rsid w:val="00665A40"/>
    <w:rsid w:val="00665E96"/>
    <w:rsid w:val="00666419"/>
    <w:rsid w:val="00666BAE"/>
    <w:rsid w:val="00666E2F"/>
    <w:rsid w:val="0066779D"/>
    <w:rsid w:val="00667832"/>
    <w:rsid w:val="00670602"/>
    <w:rsid w:val="00670646"/>
    <w:rsid w:val="006713D9"/>
    <w:rsid w:val="006713F6"/>
    <w:rsid w:val="006719D8"/>
    <w:rsid w:val="00671ACD"/>
    <w:rsid w:val="00671E23"/>
    <w:rsid w:val="00672061"/>
    <w:rsid w:val="00672467"/>
    <w:rsid w:val="00673336"/>
    <w:rsid w:val="006733B0"/>
    <w:rsid w:val="00673E58"/>
    <w:rsid w:val="00673E64"/>
    <w:rsid w:val="006743B6"/>
    <w:rsid w:val="006747EA"/>
    <w:rsid w:val="00674A0E"/>
    <w:rsid w:val="00674C4E"/>
    <w:rsid w:val="00674F28"/>
    <w:rsid w:val="00675068"/>
    <w:rsid w:val="006751F3"/>
    <w:rsid w:val="0067543F"/>
    <w:rsid w:val="00675A85"/>
    <w:rsid w:val="00676A60"/>
    <w:rsid w:val="00676CA6"/>
    <w:rsid w:val="00676D0B"/>
    <w:rsid w:val="00676E2A"/>
    <w:rsid w:val="00677794"/>
    <w:rsid w:val="0067781B"/>
    <w:rsid w:val="00677FA6"/>
    <w:rsid w:val="0068016F"/>
    <w:rsid w:val="00680DF2"/>
    <w:rsid w:val="006810E3"/>
    <w:rsid w:val="006812B2"/>
    <w:rsid w:val="006822E1"/>
    <w:rsid w:val="0068242C"/>
    <w:rsid w:val="0068263B"/>
    <w:rsid w:val="00682A21"/>
    <w:rsid w:val="00683119"/>
    <w:rsid w:val="00683E8E"/>
    <w:rsid w:val="006846ED"/>
    <w:rsid w:val="00684907"/>
    <w:rsid w:val="0068535D"/>
    <w:rsid w:val="006857E7"/>
    <w:rsid w:val="00685851"/>
    <w:rsid w:val="00685A75"/>
    <w:rsid w:val="00687EB6"/>
    <w:rsid w:val="00690060"/>
    <w:rsid w:val="00691B53"/>
    <w:rsid w:val="00691D03"/>
    <w:rsid w:val="006927B9"/>
    <w:rsid w:val="00692AD2"/>
    <w:rsid w:val="00692BAF"/>
    <w:rsid w:val="00692F22"/>
    <w:rsid w:val="00694CA2"/>
    <w:rsid w:val="00694CEC"/>
    <w:rsid w:val="0069505A"/>
    <w:rsid w:val="006958F5"/>
    <w:rsid w:val="00695AB9"/>
    <w:rsid w:val="0069669A"/>
    <w:rsid w:val="006969D1"/>
    <w:rsid w:val="00696C43"/>
    <w:rsid w:val="006A19CE"/>
    <w:rsid w:val="006A1CE7"/>
    <w:rsid w:val="006A25EF"/>
    <w:rsid w:val="006A26DB"/>
    <w:rsid w:val="006A3BDC"/>
    <w:rsid w:val="006A3CBB"/>
    <w:rsid w:val="006A3D1B"/>
    <w:rsid w:val="006A4332"/>
    <w:rsid w:val="006A4776"/>
    <w:rsid w:val="006A49A7"/>
    <w:rsid w:val="006A4B79"/>
    <w:rsid w:val="006A5730"/>
    <w:rsid w:val="006A59C9"/>
    <w:rsid w:val="006A5C7C"/>
    <w:rsid w:val="006A69AD"/>
    <w:rsid w:val="006A7FDE"/>
    <w:rsid w:val="006B05C1"/>
    <w:rsid w:val="006B0B1D"/>
    <w:rsid w:val="006B118E"/>
    <w:rsid w:val="006B11F8"/>
    <w:rsid w:val="006B12AE"/>
    <w:rsid w:val="006B1525"/>
    <w:rsid w:val="006B1966"/>
    <w:rsid w:val="006B257F"/>
    <w:rsid w:val="006B2AB6"/>
    <w:rsid w:val="006B35B0"/>
    <w:rsid w:val="006B3F94"/>
    <w:rsid w:val="006B42CF"/>
    <w:rsid w:val="006B43F9"/>
    <w:rsid w:val="006B4452"/>
    <w:rsid w:val="006B4745"/>
    <w:rsid w:val="006B47A4"/>
    <w:rsid w:val="006B49DF"/>
    <w:rsid w:val="006B4BED"/>
    <w:rsid w:val="006B4D79"/>
    <w:rsid w:val="006B4EC3"/>
    <w:rsid w:val="006B5395"/>
    <w:rsid w:val="006B56D1"/>
    <w:rsid w:val="006B578A"/>
    <w:rsid w:val="006B5DFB"/>
    <w:rsid w:val="006B63AB"/>
    <w:rsid w:val="006B6ACD"/>
    <w:rsid w:val="006B6D24"/>
    <w:rsid w:val="006B772A"/>
    <w:rsid w:val="006C08E7"/>
    <w:rsid w:val="006C0FA8"/>
    <w:rsid w:val="006C13A8"/>
    <w:rsid w:val="006C1665"/>
    <w:rsid w:val="006C1746"/>
    <w:rsid w:val="006C1A58"/>
    <w:rsid w:val="006C1AF3"/>
    <w:rsid w:val="006C207F"/>
    <w:rsid w:val="006C2C45"/>
    <w:rsid w:val="006C2DD6"/>
    <w:rsid w:val="006C31B1"/>
    <w:rsid w:val="006C36D8"/>
    <w:rsid w:val="006C3EEC"/>
    <w:rsid w:val="006C40DC"/>
    <w:rsid w:val="006C4105"/>
    <w:rsid w:val="006C45A1"/>
    <w:rsid w:val="006C45D0"/>
    <w:rsid w:val="006C5096"/>
    <w:rsid w:val="006C58CF"/>
    <w:rsid w:val="006C6271"/>
    <w:rsid w:val="006C68F6"/>
    <w:rsid w:val="006C71AE"/>
    <w:rsid w:val="006C74A2"/>
    <w:rsid w:val="006C7626"/>
    <w:rsid w:val="006C77A0"/>
    <w:rsid w:val="006C7807"/>
    <w:rsid w:val="006D054B"/>
    <w:rsid w:val="006D0A85"/>
    <w:rsid w:val="006D1061"/>
    <w:rsid w:val="006D1453"/>
    <w:rsid w:val="006D1EE4"/>
    <w:rsid w:val="006D2ADF"/>
    <w:rsid w:val="006D3EB1"/>
    <w:rsid w:val="006D6088"/>
    <w:rsid w:val="006D62B7"/>
    <w:rsid w:val="006D699A"/>
    <w:rsid w:val="006D6E0C"/>
    <w:rsid w:val="006D6F4F"/>
    <w:rsid w:val="006D7301"/>
    <w:rsid w:val="006E039E"/>
    <w:rsid w:val="006E0874"/>
    <w:rsid w:val="006E199A"/>
    <w:rsid w:val="006E1B39"/>
    <w:rsid w:val="006E215A"/>
    <w:rsid w:val="006E31F0"/>
    <w:rsid w:val="006E338D"/>
    <w:rsid w:val="006E343C"/>
    <w:rsid w:val="006E34C9"/>
    <w:rsid w:val="006E3ACB"/>
    <w:rsid w:val="006E44EE"/>
    <w:rsid w:val="006E4651"/>
    <w:rsid w:val="006E4665"/>
    <w:rsid w:val="006E4820"/>
    <w:rsid w:val="006E4D11"/>
    <w:rsid w:val="006E50A8"/>
    <w:rsid w:val="006E600C"/>
    <w:rsid w:val="006E61DD"/>
    <w:rsid w:val="006E65E0"/>
    <w:rsid w:val="006E6856"/>
    <w:rsid w:val="006E702F"/>
    <w:rsid w:val="006E72D3"/>
    <w:rsid w:val="006F0757"/>
    <w:rsid w:val="006F0F34"/>
    <w:rsid w:val="006F128C"/>
    <w:rsid w:val="006F162F"/>
    <w:rsid w:val="006F17C6"/>
    <w:rsid w:val="006F2395"/>
    <w:rsid w:val="006F2C65"/>
    <w:rsid w:val="006F3407"/>
    <w:rsid w:val="006F38CF"/>
    <w:rsid w:val="006F3D41"/>
    <w:rsid w:val="006F4047"/>
    <w:rsid w:val="006F460E"/>
    <w:rsid w:val="006F4C9A"/>
    <w:rsid w:val="006F4F8F"/>
    <w:rsid w:val="006F53C9"/>
    <w:rsid w:val="006F60FC"/>
    <w:rsid w:val="006F6C89"/>
    <w:rsid w:val="006F6F25"/>
    <w:rsid w:val="006F7A1A"/>
    <w:rsid w:val="006F7DEA"/>
    <w:rsid w:val="007009CB"/>
    <w:rsid w:val="0070189B"/>
    <w:rsid w:val="0070194D"/>
    <w:rsid w:val="00701B06"/>
    <w:rsid w:val="00701CAB"/>
    <w:rsid w:val="007024A3"/>
    <w:rsid w:val="00702CB5"/>
    <w:rsid w:val="00703272"/>
    <w:rsid w:val="00704656"/>
    <w:rsid w:val="00705F82"/>
    <w:rsid w:val="0070676A"/>
    <w:rsid w:val="00706B3C"/>
    <w:rsid w:val="00710291"/>
    <w:rsid w:val="00710393"/>
    <w:rsid w:val="00710AA3"/>
    <w:rsid w:val="00710C93"/>
    <w:rsid w:val="00710CD7"/>
    <w:rsid w:val="00710D49"/>
    <w:rsid w:val="00710F65"/>
    <w:rsid w:val="0071125C"/>
    <w:rsid w:val="007117A2"/>
    <w:rsid w:val="0071198A"/>
    <w:rsid w:val="00711B7E"/>
    <w:rsid w:val="00711F4C"/>
    <w:rsid w:val="0071237C"/>
    <w:rsid w:val="007130C1"/>
    <w:rsid w:val="007138CC"/>
    <w:rsid w:val="00713CA9"/>
    <w:rsid w:val="00713DED"/>
    <w:rsid w:val="0071416E"/>
    <w:rsid w:val="007143F3"/>
    <w:rsid w:val="0071545E"/>
    <w:rsid w:val="00716272"/>
    <w:rsid w:val="0071657A"/>
    <w:rsid w:val="00716A4B"/>
    <w:rsid w:val="007172DE"/>
    <w:rsid w:val="00721545"/>
    <w:rsid w:val="00721C53"/>
    <w:rsid w:val="00721D62"/>
    <w:rsid w:val="007228D3"/>
    <w:rsid w:val="00723737"/>
    <w:rsid w:val="007238BA"/>
    <w:rsid w:val="007244F1"/>
    <w:rsid w:val="00724A3E"/>
    <w:rsid w:val="007250F5"/>
    <w:rsid w:val="007254F2"/>
    <w:rsid w:val="0072554B"/>
    <w:rsid w:val="007272CB"/>
    <w:rsid w:val="00727505"/>
    <w:rsid w:val="00727687"/>
    <w:rsid w:val="007278B7"/>
    <w:rsid w:val="007304E3"/>
    <w:rsid w:val="00730C50"/>
    <w:rsid w:val="00730EDA"/>
    <w:rsid w:val="007316DE"/>
    <w:rsid w:val="00731D4B"/>
    <w:rsid w:val="00732987"/>
    <w:rsid w:val="00733476"/>
    <w:rsid w:val="00733DDC"/>
    <w:rsid w:val="00734344"/>
    <w:rsid w:val="00735059"/>
    <w:rsid w:val="007352AF"/>
    <w:rsid w:val="00735839"/>
    <w:rsid w:val="00735B13"/>
    <w:rsid w:val="00735B8E"/>
    <w:rsid w:val="00735B92"/>
    <w:rsid w:val="007362C3"/>
    <w:rsid w:val="007363DC"/>
    <w:rsid w:val="00736F1A"/>
    <w:rsid w:val="00737CDC"/>
    <w:rsid w:val="007400E3"/>
    <w:rsid w:val="007402A8"/>
    <w:rsid w:val="00740F2F"/>
    <w:rsid w:val="00741C13"/>
    <w:rsid w:val="007420DE"/>
    <w:rsid w:val="00742653"/>
    <w:rsid w:val="00742B5F"/>
    <w:rsid w:val="00742E4B"/>
    <w:rsid w:val="00743393"/>
    <w:rsid w:val="00743739"/>
    <w:rsid w:val="0074395E"/>
    <w:rsid w:val="00743AF2"/>
    <w:rsid w:val="00743DD9"/>
    <w:rsid w:val="00744483"/>
    <w:rsid w:val="00744A2D"/>
    <w:rsid w:val="00744C25"/>
    <w:rsid w:val="00745735"/>
    <w:rsid w:val="007463A3"/>
    <w:rsid w:val="0074675B"/>
    <w:rsid w:val="00746F3F"/>
    <w:rsid w:val="00747196"/>
    <w:rsid w:val="0074779A"/>
    <w:rsid w:val="007477B3"/>
    <w:rsid w:val="00750013"/>
    <w:rsid w:val="007502C1"/>
    <w:rsid w:val="00750F5A"/>
    <w:rsid w:val="0075107F"/>
    <w:rsid w:val="0075152C"/>
    <w:rsid w:val="0075170D"/>
    <w:rsid w:val="00751C2C"/>
    <w:rsid w:val="00751E39"/>
    <w:rsid w:val="007525D3"/>
    <w:rsid w:val="0075273C"/>
    <w:rsid w:val="0075283B"/>
    <w:rsid w:val="00752BCC"/>
    <w:rsid w:val="00752E91"/>
    <w:rsid w:val="0075300B"/>
    <w:rsid w:val="00753AC8"/>
    <w:rsid w:val="00753BB0"/>
    <w:rsid w:val="00753E1A"/>
    <w:rsid w:val="00754241"/>
    <w:rsid w:val="007544B3"/>
    <w:rsid w:val="007547F8"/>
    <w:rsid w:val="00754978"/>
    <w:rsid w:val="00755D32"/>
    <w:rsid w:val="00757322"/>
    <w:rsid w:val="00757602"/>
    <w:rsid w:val="007577C5"/>
    <w:rsid w:val="00760094"/>
    <w:rsid w:val="0076038D"/>
    <w:rsid w:val="0076063F"/>
    <w:rsid w:val="00760664"/>
    <w:rsid w:val="00760A4C"/>
    <w:rsid w:val="00761DF2"/>
    <w:rsid w:val="00762652"/>
    <w:rsid w:val="00762F07"/>
    <w:rsid w:val="00764BD4"/>
    <w:rsid w:val="00764ED1"/>
    <w:rsid w:val="007654FF"/>
    <w:rsid w:val="00765878"/>
    <w:rsid w:val="00766759"/>
    <w:rsid w:val="0076677F"/>
    <w:rsid w:val="00767A0A"/>
    <w:rsid w:val="00770E1E"/>
    <w:rsid w:val="00771314"/>
    <w:rsid w:val="00771507"/>
    <w:rsid w:val="00771560"/>
    <w:rsid w:val="00772291"/>
    <w:rsid w:val="00773068"/>
    <w:rsid w:val="007735D6"/>
    <w:rsid w:val="0077395A"/>
    <w:rsid w:val="00773EEE"/>
    <w:rsid w:val="00774C7C"/>
    <w:rsid w:val="00775789"/>
    <w:rsid w:val="007766B2"/>
    <w:rsid w:val="007766E0"/>
    <w:rsid w:val="00776DF5"/>
    <w:rsid w:val="00777771"/>
    <w:rsid w:val="0077795D"/>
    <w:rsid w:val="007779DA"/>
    <w:rsid w:val="00780002"/>
    <w:rsid w:val="007806DB"/>
    <w:rsid w:val="007809E3"/>
    <w:rsid w:val="00780A50"/>
    <w:rsid w:val="00780FB4"/>
    <w:rsid w:val="00782351"/>
    <w:rsid w:val="007826FD"/>
    <w:rsid w:val="00782F3E"/>
    <w:rsid w:val="00783F70"/>
    <w:rsid w:val="00785280"/>
    <w:rsid w:val="0078546B"/>
    <w:rsid w:val="00785B48"/>
    <w:rsid w:val="00785C19"/>
    <w:rsid w:val="00785F04"/>
    <w:rsid w:val="007865E5"/>
    <w:rsid w:val="00786670"/>
    <w:rsid w:val="00786764"/>
    <w:rsid w:val="00786807"/>
    <w:rsid w:val="00786B98"/>
    <w:rsid w:val="0078726A"/>
    <w:rsid w:val="00787865"/>
    <w:rsid w:val="00787872"/>
    <w:rsid w:val="007878F3"/>
    <w:rsid w:val="0079005A"/>
    <w:rsid w:val="00790080"/>
    <w:rsid w:val="0079034D"/>
    <w:rsid w:val="007905DC"/>
    <w:rsid w:val="0079095E"/>
    <w:rsid w:val="007909A7"/>
    <w:rsid w:val="00790C49"/>
    <w:rsid w:val="00790D58"/>
    <w:rsid w:val="00791048"/>
    <w:rsid w:val="007923D6"/>
    <w:rsid w:val="00792591"/>
    <w:rsid w:val="0079282E"/>
    <w:rsid w:val="00792C3A"/>
    <w:rsid w:val="00792F01"/>
    <w:rsid w:val="00792F09"/>
    <w:rsid w:val="0079302F"/>
    <w:rsid w:val="00793AAA"/>
    <w:rsid w:val="00793F4D"/>
    <w:rsid w:val="007941C9"/>
    <w:rsid w:val="00794261"/>
    <w:rsid w:val="0079428C"/>
    <w:rsid w:val="00794C69"/>
    <w:rsid w:val="00794C8B"/>
    <w:rsid w:val="0079532C"/>
    <w:rsid w:val="00795924"/>
    <w:rsid w:val="00795D71"/>
    <w:rsid w:val="00795EBF"/>
    <w:rsid w:val="0079682F"/>
    <w:rsid w:val="0079758A"/>
    <w:rsid w:val="00797BC0"/>
    <w:rsid w:val="00797D2D"/>
    <w:rsid w:val="007A00D3"/>
    <w:rsid w:val="007A0123"/>
    <w:rsid w:val="007A03AD"/>
    <w:rsid w:val="007A094C"/>
    <w:rsid w:val="007A0D29"/>
    <w:rsid w:val="007A0E19"/>
    <w:rsid w:val="007A14AB"/>
    <w:rsid w:val="007A19F0"/>
    <w:rsid w:val="007A1D11"/>
    <w:rsid w:val="007A2AE6"/>
    <w:rsid w:val="007A2D30"/>
    <w:rsid w:val="007A34EA"/>
    <w:rsid w:val="007A3B8F"/>
    <w:rsid w:val="007A3FA5"/>
    <w:rsid w:val="007A3FFB"/>
    <w:rsid w:val="007A5308"/>
    <w:rsid w:val="007A54C0"/>
    <w:rsid w:val="007A585A"/>
    <w:rsid w:val="007A593A"/>
    <w:rsid w:val="007A66F1"/>
    <w:rsid w:val="007A6840"/>
    <w:rsid w:val="007A6F18"/>
    <w:rsid w:val="007A774D"/>
    <w:rsid w:val="007A78BE"/>
    <w:rsid w:val="007A79FA"/>
    <w:rsid w:val="007B106D"/>
    <w:rsid w:val="007B1822"/>
    <w:rsid w:val="007B1AC7"/>
    <w:rsid w:val="007B1E83"/>
    <w:rsid w:val="007B289A"/>
    <w:rsid w:val="007B2B87"/>
    <w:rsid w:val="007B2C5C"/>
    <w:rsid w:val="007B2D80"/>
    <w:rsid w:val="007B37FB"/>
    <w:rsid w:val="007B3CF4"/>
    <w:rsid w:val="007B4190"/>
    <w:rsid w:val="007B4281"/>
    <w:rsid w:val="007B42C5"/>
    <w:rsid w:val="007B46D4"/>
    <w:rsid w:val="007B4A4F"/>
    <w:rsid w:val="007B4B4A"/>
    <w:rsid w:val="007B52D5"/>
    <w:rsid w:val="007B55C4"/>
    <w:rsid w:val="007B56C4"/>
    <w:rsid w:val="007B5E71"/>
    <w:rsid w:val="007B6CF3"/>
    <w:rsid w:val="007B723D"/>
    <w:rsid w:val="007B7413"/>
    <w:rsid w:val="007B77ED"/>
    <w:rsid w:val="007B7A38"/>
    <w:rsid w:val="007C019C"/>
    <w:rsid w:val="007C020A"/>
    <w:rsid w:val="007C0217"/>
    <w:rsid w:val="007C0B76"/>
    <w:rsid w:val="007C0E34"/>
    <w:rsid w:val="007C10B3"/>
    <w:rsid w:val="007C1674"/>
    <w:rsid w:val="007C1B0F"/>
    <w:rsid w:val="007C1BC7"/>
    <w:rsid w:val="007C1D3F"/>
    <w:rsid w:val="007C2446"/>
    <w:rsid w:val="007C287C"/>
    <w:rsid w:val="007C2F61"/>
    <w:rsid w:val="007C31A4"/>
    <w:rsid w:val="007C3560"/>
    <w:rsid w:val="007C3F75"/>
    <w:rsid w:val="007C40A4"/>
    <w:rsid w:val="007C421D"/>
    <w:rsid w:val="007C43D7"/>
    <w:rsid w:val="007C4471"/>
    <w:rsid w:val="007C45CC"/>
    <w:rsid w:val="007C4AD3"/>
    <w:rsid w:val="007C4E7F"/>
    <w:rsid w:val="007C533A"/>
    <w:rsid w:val="007C5519"/>
    <w:rsid w:val="007C62E6"/>
    <w:rsid w:val="007C6314"/>
    <w:rsid w:val="007C684A"/>
    <w:rsid w:val="007C6966"/>
    <w:rsid w:val="007C7386"/>
    <w:rsid w:val="007D058A"/>
    <w:rsid w:val="007D0B38"/>
    <w:rsid w:val="007D0C74"/>
    <w:rsid w:val="007D135B"/>
    <w:rsid w:val="007D2080"/>
    <w:rsid w:val="007D24FA"/>
    <w:rsid w:val="007D2D99"/>
    <w:rsid w:val="007D2F66"/>
    <w:rsid w:val="007D347E"/>
    <w:rsid w:val="007D3699"/>
    <w:rsid w:val="007D42AC"/>
    <w:rsid w:val="007D458D"/>
    <w:rsid w:val="007D474D"/>
    <w:rsid w:val="007D4A9E"/>
    <w:rsid w:val="007D4CBB"/>
    <w:rsid w:val="007D508D"/>
    <w:rsid w:val="007D6476"/>
    <w:rsid w:val="007D64C7"/>
    <w:rsid w:val="007D6517"/>
    <w:rsid w:val="007D672B"/>
    <w:rsid w:val="007D71E4"/>
    <w:rsid w:val="007D7CDF"/>
    <w:rsid w:val="007E0094"/>
    <w:rsid w:val="007E04DC"/>
    <w:rsid w:val="007E057B"/>
    <w:rsid w:val="007E0DB5"/>
    <w:rsid w:val="007E1063"/>
    <w:rsid w:val="007E1495"/>
    <w:rsid w:val="007E15A7"/>
    <w:rsid w:val="007E1B54"/>
    <w:rsid w:val="007E2177"/>
    <w:rsid w:val="007E2AE9"/>
    <w:rsid w:val="007E3D24"/>
    <w:rsid w:val="007E3F0B"/>
    <w:rsid w:val="007E41CB"/>
    <w:rsid w:val="007E41F9"/>
    <w:rsid w:val="007E4CE9"/>
    <w:rsid w:val="007E5069"/>
    <w:rsid w:val="007E65E2"/>
    <w:rsid w:val="007E728D"/>
    <w:rsid w:val="007E795D"/>
    <w:rsid w:val="007F0079"/>
    <w:rsid w:val="007F01EC"/>
    <w:rsid w:val="007F06C8"/>
    <w:rsid w:val="007F0928"/>
    <w:rsid w:val="007F13A7"/>
    <w:rsid w:val="007F1F1A"/>
    <w:rsid w:val="007F1FFD"/>
    <w:rsid w:val="007F25E4"/>
    <w:rsid w:val="007F27F3"/>
    <w:rsid w:val="007F292A"/>
    <w:rsid w:val="007F2DD1"/>
    <w:rsid w:val="007F33D0"/>
    <w:rsid w:val="007F37D7"/>
    <w:rsid w:val="007F3908"/>
    <w:rsid w:val="007F3BC7"/>
    <w:rsid w:val="007F3F02"/>
    <w:rsid w:val="007F3F8B"/>
    <w:rsid w:val="007F463B"/>
    <w:rsid w:val="007F46CD"/>
    <w:rsid w:val="007F486A"/>
    <w:rsid w:val="007F48C0"/>
    <w:rsid w:val="007F4AC6"/>
    <w:rsid w:val="007F4C57"/>
    <w:rsid w:val="007F53AE"/>
    <w:rsid w:val="007F6834"/>
    <w:rsid w:val="007F71C6"/>
    <w:rsid w:val="007F71FC"/>
    <w:rsid w:val="007F77BB"/>
    <w:rsid w:val="007F78F0"/>
    <w:rsid w:val="0080008A"/>
    <w:rsid w:val="0080009F"/>
    <w:rsid w:val="00800C69"/>
    <w:rsid w:val="008019B0"/>
    <w:rsid w:val="00801EEC"/>
    <w:rsid w:val="008027E6"/>
    <w:rsid w:val="0080281A"/>
    <w:rsid w:val="00802879"/>
    <w:rsid w:val="00802C95"/>
    <w:rsid w:val="00802D09"/>
    <w:rsid w:val="008030DF"/>
    <w:rsid w:val="0080313A"/>
    <w:rsid w:val="0080360B"/>
    <w:rsid w:val="0080383D"/>
    <w:rsid w:val="00803CF6"/>
    <w:rsid w:val="008040F8"/>
    <w:rsid w:val="0080424A"/>
    <w:rsid w:val="00804BE7"/>
    <w:rsid w:val="0080593D"/>
    <w:rsid w:val="008062C6"/>
    <w:rsid w:val="00806C29"/>
    <w:rsid w:val="00806D55"/>
    <w:rsid w:val="00806F95"/>
    <w:rsid w:val="008075F8"/>
    <w:rsid w:val="00807945"/>
    <w:rsid w:val="008104FA"/>
    <w:rsid w:val="00810DC4"/>
    <w:rsid w:val="008115CE"/>
    <w:rsid w:val="00811A55"/>
    <w:rsid w:val="00811A7A"/>
    <w:rsid w:val="00812CAF"/>
    <w:rsid w:val="00812FCD"/>
    <w:rsid w:val="008132E4"/>
    <w:rsid w:val="00813897"/>
    <w:rsid w:val="00814292"/>
    <w:rsid w:val="00814C8E"/>
    <w:rsid w:val="008151FD"/>
    <w:rsid w:val="00815213"/>
    <w:rsid w:val="008155ED"/>
    <w:rsid w:val="00815917"/>
    <w:rsid w:val="00815AF1"/>
    <w:rsid w:val="00815B30"/>
    <w:rsid w:val="0081642D"/>
    <w:rsid w:val="0081672C"/>
    <w:rsid w:val="00816D3F"/>
    <w:rsid w:val="00817268"/>
    <w:rsid w:val="00817854"/>
    <w:rsid w:val="0081790E"/>
    <w:rsid w:val="00817E91"/>
    <w:rsid w:val="0082019A"/>
    <w:rsid w:val="008204C4"/>
    <w:rsid w:val="00820AC7"/>
    <w:rsid w:val="00820C10"/>
    <w:rsid w:val="00820CB1"/>
    <w:rsid w:val="00820FD3"/>
    <w:rsid w:val="0082122D"/>
    <w:rsid w:val="008214F5"/>
    <w:rsid w:val="008216FE"/>
    <w:rsid w:val="00821BAC"/>
    <w:rsid w:val="00821C60"/>
    <w:rsid w:val="00821DBE"/>
    <w:rsid w:val="008221EA"/>
    <w:rsid w:val="008225A9"/>
    <w:rsid w:val="00822B0B"/>
    <w:rsid w:val="00822BE8"/>
    <w:rsid w:val="008231A3"/>
    <w:rsid w:val="008233B6"/>
    <w:rsid w:val="00823A6A"/>
    <w:rsid w:val="00823C80"/>
    <w:rsid w:val="00824229"/>
    <w:rsid w:val="008242A0"/>
    <w:rsid w:val="00824589"/>
    <w:rsid w:val="00824871"/>
    <w:rsid w:val="00824FF2"/>
    <w:rsid w:val="008258FB"/>
    <w:rsid w:val="00827154"/>
    <w:rsid w:val="00827879"/>
    <w:rsid w:val="00830040"/>
    <w:rsid w:val="0083024A"/>
    <w:rsid w:val="008304A3"/>
    <w:rsid w:val="00830778"/>
    <w:rsid w:val="008311B9"/>
    <w:rsid w:val="0083188A"/>
    <w:rsid w:val="00831B60"/>
    <w:rsid w:val="00832655"/>
    <w:rsid w:val="00832C19"/>
    <w:rsid w:val="00834304"/>
    <w:rsid w:val="00834C30"/>
    <w:rsid w:val="00834F9E"/>
    <w:rsid w:val="00834FDC"/>
    <w:rsid w:val="008350DF"/>
    <w:rsid w:val="008352B6"/>
    <w:rsid w:val="00835438"/>
    <w:rsid w:val="008356B0"/>
    <w:rsid w:val="008357F8"/>
    <w:rsid w:val="00835D95"/>
    <w:rsid w:val="00835F33"/>
    <w:rsid w:val="00836132"/>
    <w:rsid w:val="008362B4"/>
    <w:rsid w:val="00836BD9"/>
    <w:rsid w:val="00836D30"/>
    <w:rsid w:val="00837402"/>
    <w:rsid w:val="00837509"/>
    <w:rsid w:val="00837C3D"/>
    <w:rsid w:val="00840766"/>
    <w:rsid w:val="00840D97"/>
    <w:rsid w:val="008412AB"/>
    <w:rsid w:val="00841839"/>
    <w:rsid w:val="008419ED"/>
    <w:rsid w:val="00841BD5"/>
    <w:rsid w:val="00841C81"/>
    <w:rsid w:val="00842883"/>
    <w:rsid w:val="00842EAE"/>
    <w:rsid w:val="008430F2"/>
    <w:rsid w:val="008435CE"/>
    <w:rsid w:val="0084546E"/>
    <w:rsid w:val="00846154"/>
    <w:rsid w:val="008466ED"/>
    <w:rsid w:val="00847691"/>
    <w:rsid w:val="00847BBB"/>
    <w:rsid w:val="00847D8C"/>
    <w:rsid w:val="00847F8B"/>
    <w:rsid w:val="00850345"/>
    <w:rsid w:val="0085108E"/>
    <w:rsid w:val="0085144B"/>
    <w:rsid w:val="008516A4"/>
    <w:rsid w:val="00851DFF"/>
    <w:rsid w:val="00852BEB"/>
    <w:rsid w:val="00853260"/>
    <w:rsid w:val="008537E9"/>
    <w:rsid w:val="008539DC"/>
    <w:rsid w:val="00853E97"/>
    <w:rsid w:val="008548CC"/>
    <w:rsid w:val="00854950"/>
    <w:rsid w:val="00854F24"/>
    <w:rsid w:val="00855509"/>
    <w:rsid w:val="00855553"/>
    <w:rsid w:val="008558FB"/>
    <w:rsid w:val="00855B73"/>
    <w:rsid w:val="0085675B"/>
    <w:rsid w:val="00856848"/>
    <w:rsid w:val="00856A4B"/>
    <w:rsid w:val="00856ED9"/>
    <w:rsid w:val="00857234"/>
    <w:rsid w:val="0085748F"/>
    <w:rsid w:val="008574BA"/>
    <w:rsid w:val="00860334"/>
    <w:rsid w:val="0086144D"/>
    <w:rsid w:val="008614AE"/>
    <w:rsid w:val="008626BF"/>
    <w:rsid w:val="00862945"/>
    <w:rsid w:val="00862BA1"/>
    <w:rsid w:val="0086366A"/>
    <w:rsid w:val="008640F2"/>
    <w:rsid w:val="00864C75"/>
    <w:rsid w:val="00865B46"/>
    <w:rsid w:val="00866435"/>
    <w:rsid w:val="0086643B"/>
    <w:rsid w:val="00866B35"/>
    <w:rsid w:val="00866EB0"/>
    <w:rsid w:val="008670FD"/>
    <w:rsid w:val="0086732F"/>
    <w:rsid w:val="0086752B"/>
    <w:rsid w:val="00870255"/>
    <w:rsid w:val="008705A2"/>
    <w:rsid w:val="00870BC6"/>
    <w:rsid w:val="00870EA0"/>
    <w:rsid w:val="00871664"/>
    <w:rsid w:val="00871B93"/>
    <w:rsid w:val="0087292D"/>
    <w:rsid w:val="00872D48"/>
    <w:rsid w:val="0087318D"/>
    <w:rsid w:val="00873325"/>
    <w:rsid w:val="00873540"/>
    <w:rsid w:val="00873CA2"/>
    <w:rsid w:val="008743DC"/>
    <w:rsid w:val="0087493B"/>
    <w:rsid w:val="00874ED1"/>
    <w:rsid w:val="0087533E"/>
    <w:rsid w:val="0087541F"/>
    <w:rsid w:val="00875BED"/>
    <w:rsid w:val="00875CE2"/>
    <w:rsid w:val="00876318"/>
    <w:rsid w:val="0087679C"/>
    <w:rsid w:val="0087718B"/>
    <w:rsid w:val="0088000B"/>
    <w:rsid w:val="00880310"/>
    <w:rsid w:val="008806E7"/>
    <w:rsid w:val="00880B6F"/>
    <w:rsid w:val="00880DA4"/>
    <w:rsid w:val="0088237A"/>
    <w:rsid w:val="00882522"/>
    <w:rsid w:val="0088256B"/>
    <w:rsid w:val="0088263F"/>
    <w:rsid w:val="00882F0A"/>
    <w:rsid w:val="00883011"/>
    <w:rsid w:val="00883C53"/>
    <w:rsid w:val="00884852"/>
    <w:rsid w:val="008850D6"/>
    <w:rsid w:val="00885299"/>
    <w:rsid w:val="008854A8"/>
    <w:rsid w:val="008862AA"/>
    <w:rsid w:val="00886E5F"/>
    <w:rsid w:val="00887047"/>
    <w:rsid w:val="00887289"/>
    <w:rsid w:val="00887821"/>
    <w:rsid w:val="00887A14"/>
    <w:rsid w:val="0089001B"/>
    <w:rsid w:val="00890314"/>
    <w:rsid w:val="0089039E"/>
    <w:rsid w:val="0089066D"/>
    <w:rsid w:val="0089094D"/>
    <w:rsid w:val="00890BEB"/>
    <w:rsid w:val="00891597"/>
    <w:rsid w:val="0089188D"/>
    <w:rsid w:val="00891D5F"/>
    <w:rsid w:val="008921F9"/>
    <w:rsid w:val="0089324C"/>
    <w:rsid w:val="008934D4"/>
    <w:rsid w:val="00893D7C"/>
    <w:rsid w:val="00894717"/>
    <w:rsid w:val="0089506C"/>
    <w:rsid w:val="0089535F"/>
    <w:rsid w:val="008955CA"/>
    <w:rsid w:val="0089571C"/>
    <w:rsid w:val="008960A3"/>
    <w:rsid w:val="00897450"/>
    <w:rsid w:val="00897EBD"/>
    <w:rsid w:val="008A0250"/>
    <w:rsid w:val="008A05F5"/>
    <w:rsid w:val="008A09C6"/>
    <w:rsid w:val="008A11EF"/>
    <w:rsid w:val="008A18F1"/>
    <w:rsid w:val="008A1986"/>
    <w:rsid w:val="008A1A65"/>
    <w:rsid w:val="008A234C"/>
    <w:rsid w:val="008A2B55"/>
    <w:rsid w:val="008A34CF"/>
    <w:rsid w:val="008A4787"/>
    <w:rsid w:val="008A48B0"/>
    <w:rsid w:val="008A53D2"/>
    <w:rsid w:val="008A547A"/>
    <w:rsid w:val="008A559A"/>
    <w:rsid w:val="008A57BE"/>
    <w:rsid w:val="008A6577"/>
    <w:rsid w:val="008A6784"/>
    <w:rsid w:val="008A69C9"/>
    <w:rsid w:val="008A69EB"/>
    <w:rsid w:val="008A7A74"/>
    <w:rsid w:val="008A7C09"/>
    <w:rsid w:val="008B1201"/>
    <w:rsid w:val="008B130C"/>
    <w:rsid w:val="008B1A33"/>
    <w:rsid w:val="008B1C06"/>
    <w:rsid w:val="008B2565"/>
    <w:rsid w:val="008B2F69"/>
    <w:rsid w:val="008B3C9B"/>
    <w:rsid w:val="008B4706"/>
    <w:rsid w:val="008B4C5C"/>
    <w:rsid w:val="008B4DBA"/>
    <w:rsid w:val="008B527B"/>
    <w:rsid w:val="008B5CF3"/>
    <w:rsid w:val="008B680E"/>
    <w:rsid w:val="008B6FEA"/>
    <w:rsid w:val="008B72E4"/>
    <w:rsid w:val="008B7637"/>
    <w:rsid w:val="008C006E"/>
    <w:rsid w:val="008C02D7"/>
    <w:rsid w:val="008C0BC2"/>
    <w:rsid w:val="008C0DAC"/>
    <w:rsid w:val="008C0E23"/>
    <w:rsid w:val="008C106E"/>
    <w:rsid w:val="008C1A08"/>
    <w:rsid w:val="008C1ADF"/>
    <w:rsid w:val="008C2002"/>
    <w:rsid w:val="008C2B78"/>
    <w:rsid w:val="008C2E78"/>
    <w:rsid w:val="008C3807"/>
    <w:rsid w:val="008C46BF"/>
    <w:rsid w:val="008C477C"/>
    <w:rsid w:val="008C4AF1"/>
    <w:rsid w:val="008C4FBD"/>
    <w:rsid w:val="008C50B1"/>
    <w:rsid w:val="008C53AE"/>
    <w:rsid w:val="008C59F7"/>
    <w:rsid w:val="008C6366"/>
    <w:rsid w:val="008C6EB4"/>
    <w:rsid w:val="008C7168"/>
    <w:rsid w:val="008C767B"/>
    <w:rsid w:val="008C7865"/>
    <w:rsid w:val="008D0001"/>
    <w:rsid w:val="008D027F"/>
    <w:rsid w:val="008D02B7"/>
    <w:rsid w:val="008D0EAC"/>
    <w:rsid w:val="008D1767"/>
    <w:rsid w:val="008D1B36"/>
    <w:rsid w:val="008D1D97"/>
    <w:rsid w:val="008D2DE0"/>
    <w:rsid w:val="008D2E19"/>
    <w:rsid w:val="008D3393"/>
    <w:rsid w:val="008D3EB3"/>
    <w:rsid w:val="008D4DA0"/>
    <w:rsid w:val="008D5FE1"/>
    <w:rsid w:val="008D6575"/>
    <w:rsid w:val="008D7835"/>
    <w:rsid w:val="008D7B58"/>
    <w:rsid w:val="008E1120"/>
    <w:rsid w:val="008E17A3"/>
    <w:rsid w:val="008E1881"/>
    <w:rsid w:val="008E1965"/>
    <w:rsid w:val="008E1A9E"/>
    <w:rsid w:val="008E26E4"/>
    <w:rsid w:val="008E2707"/>
    <w:rsid w:val="008E2D13"/>
    <w:rsid w:val="008E33A6"/>
    <w:rsid w:val="008E3D52"/>
    <w:rsid w:val="008E3E4B"/>
    <w:rsid w:val="008E47E3"/>
    <w:rsid w:val="008E4AA7"/>
    <w:rsid w:val="008E4F6C"/>
    <w:rsid w:val="008E5312"/>
    <w:rsid w:val="008E5AEF"/>
    <w:rsid w:val="008E5C2F"/>
    <w:rsid w:val="008E5DF2"/>
    <w:rsid w:val="008E69B8"/>
    <w:rsid w:val="008E6A0B"/>
    <w:rsid w:val="008E7050"/>
    <w:rsid w:val="008E748A"/>
    <w:rsid w:val="008E7B49"/>
    <w:rsid w:val="008F0A0E"/>
    <w:rsid w:val="008F0B5E"/>
    <w:rsid w:val="008F11B5"/>
    <w:rsid w:val="008F172A"/>
    <w:rsid w:val="008F1A6A"/>
    <w:rsid w:val="008F1AC7"/>
    <w:rsid w:val="008F1ED3"/>
    <w:rsid w:val="008F244E"/>
    <w:rsid w:val="008F2C53"/>
    <w:rsid w:val="008F302E"/>
    <w:rsid w:val="008F3526"/>
    <w:rsid w:val="008F3A6C"/>
    <w:rsid w:val="008F3A82"/>
    <w:rsid w:val="008F3B7F"/>
    <w:rsid w:val="008F3EA0"/>
    <w:rsid w:val="008F4088"/>
    <w:rsid w:val="008F4B4D"/>
    <w:rsid w:val="008F4FDD"/>
    <w:rsid w:val="008F5188"/>
    <w:rsid w:val="008F585A"/>
    <w:rsid w:val="008F5C01"/>
    <w:rsid w:val="008F61DD"/>
    <w:rsid w:val="008F6306"/>
    <w:rsid w:val="008F69AC"/>
    <w:rsid w:val="008F6FB0"/>
    <w:rsid w:val="008F7277"/>
    <w:rsid w:val="009005E9"/>
    <w:rsid w:val="009011D6"/>
    <w:rsid w:val="00901FDE"/>
    <w:rsid w:val="00902791"/>
    <w:rsid w:val="00902AFD"/>
    <w:rsid w:val="00902C95"/>
    <w:rsid w:val="00903F8F"/>
    <w:rsid w:val="009043FE"/>
    <w:rsid w:val="009046B7"/>
    <w:rsid w:val="009048CC"/>
    <w:rsid w:val="00905797"/>
    <w:rsid w:val="00905B76"/>
    <w:rsid w:val="00905F72"/>
    <w:rsid w:val="009065DD"/>
    <w:rsid w:val="00906C54"/>
    <w:rsid w:val="00906E4E"/>
    <w:rsid w:val="00907262"/>
    <w:rsid w:val="0090729C"/>
    <w:rsid w:val="00907469"/>
    <w:rsid w:val="00907D34"/>
    <w:rsid w:val="0091156D"/>
    <w:rsid w:val="009118DB"/>
    <w:rsid w:val="00911F18"/>
    <w:rsid w:val="009123F1"/>
    <w:rsid w:val="00912C18"/>
    <w:rsid w:val="00913252"/>
    <w:rsid w:val="009134BC"/>
    <w:rsid w:val="009137E7"/>
    <w:rsid w:val="0091409D"/>
    <w:rsid w:val="009140D4"/>
    <w:rsid w:val="009145FD"/>
    <w:rsid w:val="00914D0A"/>
    <w:rsid w:val="00915897"/>
    <w:rsid w:val="009158D6"/>
    <w:rsid w:val="00915A93"/>
    <w:rsid w:val="00916310"/>
    <w:rsid w:val="0091649E"/>
    <w:rsid w:val="00916610"/>
    <w:rsid w:val="00916A94"/>
    <w:rsid w:val="00916E41"/>
    <w:rsid w:val="00917058"/>
    <w:rsid w:val="00917B92"/>
    <w:rsid w:val="00920DED"/>
    <w:rsid w:val="00920F22"/>
    <w:rsid w:val="00921357"/>
    <w:rsid w:val="009215C3"/>
    <w:rsid w:val="00921E8A"/>
    <w:rsid w:val="00921FF6"/>
    <w:rsid w:val="00922311"/>
    <w:rsid w:val="009226EC"/>
    <w:rsid w:val="009231A0"/>
    <w:rsid w:val="009231A1"/>
    <w:rsid w:val="00923328"/>
    <w:rsid w:val="00923346"/>
    <w:rsid w:val="00923495"/>
    <w:rsid w:val="009237B8"/>
    <w:rsid w:val="009237E9"/>
    <w:rsid w:val="00923DBB"/>
    <w:rsid w:val="00924068"/>
    <w:rsid w:val="009241E9"/>
    <w:rsid w:val="00925B2A"/>
    <w:rsid w:val="00925F8D"/>
    <w:rsid w:val="00926C95"/>
    <w:rsid w:val="00926E76"/>
    <w:rsid w:val="0092789A"/>
    <w:rsid w:val="00927B72"/>
    <w:rsid w:val="00931214"/>
    <w:rsid w:val="00931274"/>
    <w:rsid w:val="00931707"/>
    <w:rsid w:val="009317B3"/>
    <w:rsid w:val="009319BA"/>
    <w:rsid w:val="0093296B"/>
    <w:rsid w:val="00933309"/>
    <w:rsid w:val="00933AA8"/>
    <w:rsid w:val="00933B87"/>
    <w:rsid w:val="00933BA0"/>
    <w:rsid w:val="00933F0B"/>
    <w:rsid w:val="0093425E"/>
    <w:rsid w:val="00934285"/>
    <w:rsid w:val="009343C5"/>
    <w:rsid w:val="00934E65"/>
    <w:rsid w:val="00935207"/>
    <w:rsid w:val="00936124"/>
    <w:rsid w:val="00936413"/>
    <w:rsid w:val="009376A3"/>
    <w:rsid w:val="00937AC5"/>
    <w:rsid w:val="00937C0A"/>
    <w:rsid w:val="00940760"/>
    <w:rsid w:val="0094172E"/>
    <w:rsid w:val="00942044"/>
    <w:rsid w:val="00942894"/>
    <w:rsid w:val="00942CB4"/>
    <w:rsid w:val="00942D97"/>
    <w:rsid w:val="00943367"/>
    <w:rsid w:val="009433EF"/>
    <w:rsid w:val="00943696"/>
    <w:rsid w:val="009437EA"/>
    <w:rsid w:val="00943AD8"/>
    <w:rsid w:val="00943ED5"/>
    <w:rsid w:val="0094421D"/>
    <w:rsid w:val="00944FFB"/>
    <w:rsid w:val="00945200"/>
    <w:rsid w:val="009464D6"/>
    <w:rsid w:val="0094690E"/>
    <w:rsid w:val="009472D9"/>
    <w:rsid w:val="00947A0A"/>
    <w:rsid w:val="00947BC0"/>
    <w:rsid w:val="00947D19"/>
    <w:rsid w:val="00950221"/>
    <w:rsid w:val="00950508"/>
    <w:rsid w:val="00951062"/>
    <w:rsid w:val="00951330"/>
    <w:rsid w:val="00952963"/>
    <w:rsid w:val="00952DC2"/>
    <w:rsid w:val="00952F79"/>
    <w:rsid w:val="009534EF"/>
    <w:rsid w:val="00953CB7"/>
    <w:rsid w:val="00954573"/>
    <w:rsid w:val="00954A80"/>
    <w:rsid w:val="00954CF4"/>
    <w:rsid w:val="0095520F"/>
    <w:rsid w:val="0095521E"/>
    <w:rsid w:val="00955ABE"/>
    <w:rsid w:val="00955F21"/>
    <w:rsid w:val="00956A77"/>
    <w:rsid w:val="00956C42"/>
    <w:rsid w:val="00956CF8"/>
    <w:rsid w:val="009578BA"/>
    <w:rsid w:val="009579AF"/>
    <w:rsid w:val="00960559"/>
    <w:rsid w:val="00961CF2"/>
    <w:rsid w:val="00962E5D"/>
    <w:rsid w:val="00963405"/>
    <w:rsid w:val="009634DD"/>
    <w:rsid w:val="0096387A"/>
    <w:rsid w:val="00963A56"/>
    <w:rsid w:val="00964064"/>
    <w:rsid w:val="0096460A"/>
    <w:rsid w:val="00964634"/>
    <w:rsid w:val="00964F37"/>
    <w:rsid w:val="0096531B"/>
    <w:rsid w:val="00965546"/>
    <w:rsid w:val="0096574C"/>
    <w:rsid w:val="00965C4C"/>
    <w:rsid w:val="00967803"/>
    <w:rsid w:val="00967AD8"/>
    <w:rsid w:val="00970510"/>
    <w:rsid w:val="009705D3"/>
    <w:rsid w:val="00970C4C"/>
    <w:rsid w:val="00970E85"/>
    <w:rsid w:val="0097111E"/>
    <w:rsid w:val="00971394"/>
    <w:rsid w:val="00971809"/>
    <w:rsid w:val="00971930"/>
    <w:rsid w:val="00971F3D"/>
    <w:rsid w:val="00972B93"/>
    <w:rsid w:val="00972D00"/>
    <w:rsid w:val="00972F0A"/>
    <w:rsid w:val="00973175"/>
    <w:rsid w:val="009732FD"/>
    <w:rsid w:val="0097366E"/>
    <w:rsid w:val="00973950"/>
    <w:rsid w:val="009747D0"/>
    <w:rsid w:val="009748B4"/>
    <w:rsid w:val="00974C0C"/>
    <w:rsid w:val="00974D0F"/>
    <w:rsid w:val="00974EE3"/>
    <w:rsid w:val="0097509B"/>
    <w:rsid w:val="00975A31"/>
    <w:rsid w:val="009766C9"/>
    <w:rsid w:val="0097676F"/>
    <w:rsid w:val="0097748A"/>
    <w:rsid w:val="00977B3D"/>
    <w:rsid w:val="00977E6E"/>
    <w:rsid w:val="00981197"/>
    <w:rsid w:val="009811D7"/>
    <w:rsid w:val="00981697"/>
    <w:rsid w:val="00982975"/>
    <w:rsid w:val="00982BD5"/>
    <w:rsid w:val="00982EEA"/>
    <w:rsid w:val="009836FD"/>
    <w:rsid w:val="00983FB5"/>
    <w:rsid w:val="009841EA"/>
    <w:rsid w:val="0098478C"/>
    <w:rsid w:val="00984DA7"/>
    <w:rsid w:val="00984EE5"/>
    <w:rsid w:val="009852E4"/>
    <w:rsid w:val="009853D7"/>
    <w:rsid w:val="00985D5B"/>
    <w:rsid w:val="00986479"/>
    <w:rsid w:val="00986B10"/>
    <w:rsid w:val="00986C29"/>
    <w:rsid w:val="009876C7"/>
    <w:rsid w:val="00987DD0"/>
    <w:rsid w:val="0099084B"/>
    <w:rsid w:val="00990ADC"/>
    <w:rsid w:val="00990D5A"/>
    <w:rsid w:val="00991299"/>
    <w:rsid w:val="00991B30"/>
    <w:rsid w:val="0099212E"/>
    <w:rsid w:val="00992402"/>
    <w:rsid w:val="009929A4"/>
    <w:rsid w:val="009932E6"/>
    <w:rsid w:val="00993A63"/>
    <w:rsid w:val="00993B42"/>
    <w:rsid w:val="00993E0A"/>
    <w:rsid w:val="009946F8"/>
    <w:rsid w:val="00994B9C"/>
    <w:rsid w:val="00994D0E"/>
    <w:rsid w:val="0099509C"/>
    <w:rsid w:val="009956E1"/>
    <w:rsid w:val="00996D33"/>
    <w:rsid w:val="009972EB"/>
    <w:rsid w:val="00997B45"/>
    <w:rsid w:val="00997E34"/>
    <w:rsid w:val="009A0B3D"/>
    <w:rsid w:val="009A0EA1"/>
    <w:rsid w:val="009A177B"/>
    <w:rsid w:val="009A18BD"/>
    <w:rsid w:val="009A1FA9"/>
    <w:rsid w:val="009A2007"/>
    <w:rsid w:val="009A243D"/>
    <w:rsid w:val="009A2739"/>
    <w:rsid w:val="009A281F"/>
    <w:rsid w:val="009A2F6C"/>
    <w:rsid w:val="009A3D54"/>
    <w:rsid w:val="009A40BC"/>
    <w:rsid w:val="009A45BF"/>
    <w:rsid w:val="009A4872"/>
    <w:rsid w:val="009A5214"/>
    <w:rsid w:val="009A6797"/>
    <w:rsid w:val="009A6BBB"/>
    <w:rsid w:val="009A794B"/>
    <w:rsid w:val="009B07B4"/>
    <w:rsid w:val="009B1EF1"/>
    <w:rsid w:val="009B260D"/>
    <w:rsid w:val="009B3615"/>
    <w:rsid w:val="009B3A9F"/>
    <w:rsid w:val="009B3CC4"/>
    <w:rsid w:val="009B4610"/>
    <w:rsid w:val="009B4659"/>
    <w:rsid w:val="009B4660"/>
    <w:rsid w:val="009B50EF"/>
    <w:rsid w:val="009B52A3"/>
    <w:rsid w:val="009B5382"/>
    <w:rsid w:val="009B5558"/>
    <w:rsid w:val="009B5681"/>
    <w:rsid w:val="009B5BE0"/>
    <w:rsid w:val="009B5F5C"/>
    <w:rsid w:val="009B665E"/>
    <w:rsid w:val="009B670D"/>
    <w:rsid w:val="009B7ADA"/>
    <w:rsid w:val="009C0221"/>
    <w:rsid w:val="009C0243"/>
    <w:rsid w:val="009C02D5"/>
    <w:rsid w:val="009C06A4"/>
    <w:rsid w:val="009C0CA1"/>
    <w:rsid w:val="009C11B6"/>
    <w:rsid w:val="009C11E9"/>
    <w:rsid w:val="009C1A7D"/>
    <w:rsid w:val="009C1B33"/>
    <w:rsid w:val="009C2A09"/>
    <w:rsid w:val="009C3CFE"/>
    <w:rsid w:val="009C3DD3"/>
    <w:rsid w:val="009C42F8"/>
    <w:rsid w:val="009C4675"/>
    <w:rsid w:val="009C507F"/>
    <w:rsid w:val="009C58E7"/>
    <w:rsid w:val="009C5E2C"/>
    <w:rsid w:val="009C61C5"/>
    <w:rsid w:val="009C72A1"/>
    <w:rsid w:val="009C747E"/>
    <w:rsid w:val="009C7A86"/>
    <w:rsid w:val="009C7C31"/>
    <w:rsid w:val="009C7F23"/>
    <w:rsid w:val="009D0DE0"/>
    <w:rsid w:val="009D10BB"/>
    <w:rsid w:val="009D1600"/>
    <w:rsid w:val="009D1973"/>
    <w:rsid w:val="009D1B48"/>
    <w:rsid w:val="009D2019"/>
    <w:rsid w:val="009D2DB4"/>
    <w:rsid w:val="009D3170"/>
    <w:rsid w:val="009D3330"/>
    <w:rsid w:val="009D3918"/>
    <w:rsid w:val="009D3F83"/>
    <w:rsid w:val="009D4228"/>
    <w:rsid w:val="009D4533"/>
    <w:rsid w:val="009D472E"/>
    <w:rsid w:val="009D537C"/>
    <w:rsid w:val="009D6506"/>
    <w:rsid w:val="009D6BB4"/>
    <w:rsid w:val="009D7158"/>
    <w:rsid w:val="009D7CE2"/>
    <w:rsid w:val="009D7FB3"/>
    <w:rsid w:val="009E0E4E"/>
    <w:rsid w:val="009E153A"/>
    <w:rsid w:val="009E178B"/>
    <w:rsid w:val="009E1A95"/>
    <w:rsid w:val="009E1C65"/>
    <w:rsid w:val="009E23E3"/>
    <w:rsid w:val="009E282D"/>
    <w:rsid w:val="009E339F"/>
    <w:rsid w:val="009E4266"/>
    <w:rsid w:val="009E47E0"/>
    <w:rsid w:val="009E482C"/>
    <w:rsid w:val="009E48FE"/>
    <w:rsid w:val="009E4AA0"/>
    <w:rsid w:val="009E4BC9"/>
    <w:rsid w:val="009E50A0"/>
    <w:rsid w:val="009E55C9"/>
    <w:rsid w:val="009E5AD1"/>
    <w:rsid w:val="009E6333"/>
    <w:rsid w:val="009E686A"/>
    <w:rsid w:val="009E6DC1"/>
    <w:rsid w:val="009E7AC8"/>
    <w:rsid w:val="009F07F4"/>
    <w:rsid w:val="009F0B09"/>
    <w:rsid w:val="009F12BD"/>
    <w:rsid w:val="009F14D1"/>
    <w:rsid w:val="009F1647"/>
    <w:rsid w:val="009F1ADF"/>
    <w:rsid w:val="009F1B58"/>
    <w:rsid w:val="009F1CB0"/>
    <w:rsid w:val="009F2118"/>
    <w:rsid w:val="009F2CB3"/>
    <w:rsid w:val="009F3B90"/>
    <w:rsid w:val="009F3F71"/>
    <w:rsid w:val="009F422D"/>
    <w:rsid w:val="009F4697"/>
    <w:rsid w:val="009F4CD4"/>
    <w:rsid w:val="009F4FDC"/>
    <w:rsid w:val="009F502E"/>
    <w:rsid w:val="009F5349"/>
    <w:rsid w:val="009F580E"/>
    <w:rsid w:val="009F644C"/>
    <w:rsid w:val="009F655D"/>
    <w:rsid w:val="009F70D7"/>
    <w:rsid w:val="009F72CA"/>
    <w:rsid w:val="009F7347"/>
    <w:rsid w:val="009F7CC9"/>
    <w:rsid w:val="00A0010F"/>
    <w:rsid w:val="00A0061C"/>
    <w:rsid w:val="00A00D78"/>
    <w:rsid w:val="00A00DB1"/>
    <w:rsid w:val="00A01283"/>
    <w:rsid w:val="00A01BF5"/>
    <w:rsid w:val="00A01C70"/>
    <w:rsid w:val="00A01CC4"/>
    <w:rsid w:val="00A01E36"/>
    <w:rsid w:val="00A02146"/>
    <w:rsid w:val="00A028D6"/>
    <w:rsid w:val="00A02923"/>
    <w:rsid w:val="00A02ECF"/>
    <w:rsid w:val="00A031E6"/>
    <w:rsid w:val="00A0325B"/>
    <w:rsid w:val="00A04AD4"/>
    <w:rsid w:val="00A05372"/>
    <w:rsid w:val="00A05A8E"/>
    <w:rsid w:val="00A05B4C"/>
    <w:rsid w:val="00A05B5A"/>
    <w:rsid w:val="00A05D99"/>
    <w:rsid w:val="00A063BE"/>
    <w:rsid w:val="00A064E7"/>
    <w:rsid w:val="00A065AE"/>
    <w:rsid w:val="00A06DD1"/>
    <w:rsid w:val="00A07341"/>
    <w:rsid w:val="00A07AF8"/>
    <w:rsid w:val="00A10213"/>
    <w:rsid w:val="00A10417"/>
    <w:rsid w:val="00A109A1"/>
    <w:rsid w:val="00A1148E"/>
    <w:rsid w:val="00A11A5B"/>
    <w:rsid w:val="00A124D8"/>
    <w:rsid w:val="00A131FE"/>
    <w:rsid w:val="00A13424"/>
    <w:rsid w:val="00A136B6"/>
    <w:rsid w:val="00A1435C"/>
    <w:rsid w:val="00A145F9"/>
    <w:rsid w:val="00A14A0E"/>
    <w:rsid w:val="00A1507A"/>
    <w:rsid w:val="00A150A7"/>
    <w:rsid w:val="00A152C9"/>
    <w:rsid w:val="00A156AC"/>
    <w:rsid w:val="00A156C1"/>
    <w:rsid w:val="00A158AA"/>
    <w:rsid w:val="00A163CF"/>
    <w:rsid w:val="00A16E11"/>
    <w:rsid w:val="00A176F8"/>
    <w:rsid w:val="00A177B3"/>
    <w:rsid w:val="00A17F6A"/>
    <w:rsid w:val="00A200D6"/>
    <w:rsid w:val="00A202A1"/>
    <w:rsid w:val="00A2072D"/>
    <w:rsid w:val="00A20945"/>
    <w:rsid w:val="00A2281F"/>
    <w:rsid w:val="00A22851"/>
    <w:rsid w:val="00A236B9"/>
    <w:rsid w:val="00A23DF3"/>
    <w:rsid w:val="00A25535"/>
    <w:rsid w:val="00A256C7"/>
    <w:rsid w:val="00A257A7"/>
    <w:rsid w:val="00A25817"/>
    <w:rsid w:val="00A25D11"/>
    <w:rsid w:val="00A269A3"/>
    <w:rsid w:val="00A26BA8"/>
    <w:rsid w:val="00A2739E"/>
    <w:rsid w:val="00A27711"/>
    <w:rsid w:val="00A27964"/>
    <w:rsid w:val="00A279B2"/>
    <w:rsid w:val="00A27C76"/>
    <w:rsid w:val="00A305F2"/>
    <w:rsid w:val="00A3071A"/>
    <w:rsid w:val="00A30CE0"/>
    <w:rsid w:val="00A30FA9"/>
    <w:rsid w:val="00A31655"/>
    <w:rsid w:val="00A32DC5"/>
    <w:rsid w:val="00A33525"/>
    <w:rsid w:val="00A341E9"/>
    <w:rsid w:val="00A35681"/>
    <w:rsid w:val="00A3717C"/>
    <w:rsid w:val="00A3775C"/>
    <w:rsid w:val="00A40277"/>
    <w:rsid w:val="00A40D8D"/>
    <w:rsid w:val="00A40EAE"/>
    <w:rsid w:val="00A417F2"/>
    <w:rsid w:val="00A41D12"/>
    <w:rsid w:val="00A41ECE"/>
    <w:rsid w:val="00A41FFC"/>
    <w:rsid w:val="00A422B7"/>
    <w:rsid w:val="00A4231E"/>
    <w:rsid w:val="00A42FB5"/>
    <w:rsid w:val="00A43BE7"/>
    <w:rsid w:val="00A43D38"/>
    <w:rsid w:val="00A43E28"/>
    <w:rsid w:val="00A440C4"/>
    <w:rsid w:val="00A444D8"/>
    <w:rsid w:val="00A44B2D"/>
    <w:rsid w:val="00A44E2D"/>
    <w:rsid w:val="00A459DA"/>
    <w:rsid w:val="00A45FAF"/>
    <w:rsid w:val="00A464C0"/>
    <w:rsid w:val="00A468F7"/>
    <w:rsid w:val="00A47136"/>
    <w:rsid w:val="00A472BF"/>
    <w:rsid w:val="00A47A10"/>
    <w:rsid w:val="00A5023F"/>
    <w:rsid w:val="00A50704"/>
    <w:rsid w:val="00A509BE"/>
    <w:rsid w:val="00A50CA8"/>
    <w:rsid w:val="00A510D5"/>
    <w:rsid w:val="00A511FF"/>
    <w:rsid w:val="00A513D3"/>
    <w:rsid w:val="00A52291"/>
    <w:rsid w:val="00A53397"/>
    <w:rsid w:val="00A533A6"/>
    <w:rsid w:val="00A539BF"/>
    <w:rsid w:val="00A53E76"/>
    <w:rsid w:val="00A53EBD"/>
    <w:rsid w:val="00A53FE2"/>
    <w:rsid w:val="00A54095"/>
    <w:rsid w:val="00A5443D"/>
    <w:rsid w:val="00A5461F"/>
    <w:rsid w:val="00A546EA"/>
    <w:rsid w:val="00A54998"/>
    <w:rsid w:val="00A54D45"/>
    <w:rsid w:val="00A54F23"/>
    <w:rsid w:val="00A55566"/>
    <w:rsid w:val="00A55692"/>
    <w:rsid w:val="00A55EF1"/>
    <w:rsid w:val="00A55FE2"/>
    <w:rsid w:val="00A5629E"/>
    <w:rsid w:val="00A56410"/>
    <w:rsid w:val="00A566BC"/>
    <w:rsid w:val="00A56930"/>
    <w:rsid w:val="00A56FF7"/>
    <w:rsid w:val="00A5766B"/>
    <w:rsid w:val="00A60E2D"/>
    <w:rsid w:val="00A610C2"/>
    <w:rsid w:val="00A610F3"/>
    <w:rsid w:val="00A616D0"/>
    <w:rsid w:val="00A617E5"/>
    <w:rsid w:val="00A624A5"/>
    <w:rsid w:val="00A62F5F"/>
    <w:rsid w:val="00A630D4"/>
    <w:rsid w:val="00A63373"/>
    <w:rsid w:val="00A633AB"/>
    <w:rsid w:val="00A63A1C"/>
    <w:rsid w:val="00A63A75"/>
    <w:rsid w:val="00A63BFC"/>
    <w:rsid w:val="00A640C1"/>
    <w:rsid w:val="00A642A7"/>
    <w:rsid w:val="00A644DD"/>
    <w:rsid w:val="00A64764"/>
    <w:rsid w:val="00A64868"/>
    <w:rsid w:val="00A64B7B"/>
    <w:rsid w:val="00A650FC"/>
    <w:rsid w:val="00A652ED"/>
    <w:rsid w:val="00A65410"/>
    <w:rsid w:val="00A65F08"/>
    <w:rsid w:val="00A662F7"/>
    <w:rsid w:val="00A66C15"/>
    <w:rsid w:val="00A66F95"/>
    <w:rsid w:val="00A67190"/>
    <w:rsid w:val="00A672CB"/>
    <w:rsid w:val="00A675A1"/>
    <w:rsid w:val="00A6778C"/>
    <w:rsid w:val="00A7077B"/>
    <w:rsid w:val="00A7178C"/>
    <w:rsid w:val="00A71C8C"/>
    <w:rsid w:val="00A72417"/>
    <w:rsid w:val="00A730E5"/>
    <w:rsid w:val="00A7398B"/>
    <w:rsid w:val="00A7444F"/>
    <w:rsid w:val="00A74585"/>
    <w:rsid w:val="00A75239"/>
    <w:rsid w:val="00A759D2"/>
    <w:rsid w:val="00A75BEE"/>
    <w:rsid w:val="00A75EFD"/>
    <w:rsid w:val="00A76F94"/>
    <w:rsid w:val="00A7708B"/>
    <w:rsid w:val="00A77590"/>
    <w:rsid w:val="00A77C79"/>
    <w:rsid w:val="00A80139"/>
    <w:rsid w:val="00A801AD"/>
    <w:rsid w:val="00A807F6"/>
    <w:rsid w:val="00A80D78"/>
    <w:rsid w:val="00A8121A"/>
    <w:rsid w:val="00A8129C"/>
    <w:rsid w:val="00A8256F"/>
    <w:rsid w:val="00A82ABB"/>
    <w:rsid w:val="00A83531"/>
    <w:rsid w:val="00A85022"/>
    <w:rsid w:val="00A85380"/>
    <w:rsid w:val="00A856CA"/>
    <w:rsid w:val="00A857B4"/>
    <w:rsid w:val="00A860A0"/>
    <w:rsid w:val="00A86AEB"/>
    <w:rsid w:val="00A86BAD"/>
    <w:rsid w:val="00A8731B"/>
    <w:rsid w:val="00A87B81"/>
    <w:rsid w:val="00A87D0B"/>
    <w:rsid w:val="00A9032C"/>
    <w:rsid w:val="00A90423"/>
    <w:rsid w:val="00A90723"/>
    <w:rsid w:val="00A90A4A"/>
    <w:rsid w:val="00A92D5F"/>
    <w:rsid w:val="00A93689"/>
    <w:rsid w:val="00A945A7"/>
    <w:rsid w:val="00A948AC"/>
    <w:rsid w:val="00A94FFE"/>
    <w:rsid w:val="00A95206"/>
    <w:rsid w:val="00A953DA"/>
    <w:rsid w:val="00A95CFB"/>
    <w:rsid w:val="00A96A36"/>
    <w:rsid w:val="00A9705E"/>
    <w:rsid w:val="00A974CB"/>
    <w:rsid w:val="00A9753B"/>
    <w:rsid w:val="00A9765D"/>
    <w:rsid w:val="00A9772D"/>
    <w:rsid w:val="00A97EE0"/>
    <w:rsid w:val="00A97F8D"/>
    <w:rsid w:val="00AA0306"/>
    <w:rsid w:val="00AA0A85"/>
    <w:rsid w:val="00AA12F9"/>
    <w:rsid w:val="00AA18D4"/>
    <w:rsid w:val="00AA1E46"/>
    <w:rsid w:val="00AA218E"/>
    <w:rsid w:val="00AA284B"/>
    <w:rsid w:val="00AA2A18"/>
    <w:rsid w:val="00AA2AFC"/>
    <w:rsid w:val="00AA3A1B"/>
    <w:rsid w:val="00AA3D5A"/>
    <w:rsid w:val="00AA3D64"/>
    <w:rsid w:val="00AA401B"/>
    <w:rsid w:val="00AA4647"/>
    <w:rsid w:val="00AA4D92"/>
    <w:rsid w:val="00AA4F36"/>
    <w:rsid w:val="00AA534A"/>
    <w:rsid w:val="00AA5DAC"/>
    <w:rsid w:val="00AA653C"/>
    <w:rsid w:val="00AA668D"/>
    <w:rsid w:val="00AA6C3B"/>
    <w:rsid w:val="00AA77EA"/>
    <w:rsid w:val="00AA7AB9"/>
    <w:rsid w:val="00AA7ABF"/>
    <w:rsid w:val="00AB0A32"/>
    <w:rsid w:val="00AB0F17"/>
    <w:rsid w:val="00AB1189"/>
    <w:rsid w:val="00AB1764"/>
    <w:rsid w:val="00AB1A1D"/>
    <w:rsid w:val="00AB1E60"/>
    <w:rsid w:val="00AB20B1"/>
    <w:rsid w:val="00AB2DD7"/>
    <w:rsid w:val="00AB2DFC"/>
    <w:rsid w:val="00AB304C"/>
    <w:rsid w:val="00AB3121"/>
    <w:rsid w:val="00AB3536"/>
    <w:rsid w:val="00AB3A81"/>
    <w:rsid w:val="00AB3C0C"/>
    <w:rsid w:val="00AB3DA8"/>
    <w:rsid w:val="00AB457D"/>
    <w:rsid w:val="00AB4622"/>
    <w:rsid w:val="00AB473B"/>
    <w:rsid w:val="00AB4B4D"/>
    <w:rsid w:val="00AB4D62"/>
    <w:rsid w:val="00AB4FEF"/>
    <w:rsid w:val="00AB5FFC"/>
    <w:rsid w:val="00AB62FC"/>
    <w:rsid w:val="00AB79EA"/>
    <w:rsid w:val="00AC02F5"/>
    <w:rsid w:val="00AC056E"/>
    <w:rsid w:val="00AC08D1"/>
    <w:rsid w:val="00AC0D69"/>
    <w:rsid w:val="00AC0DF0"/>
    <w:rsid w:val="00AC0FEF"/>
    <w:rsid w:val="00AC14B8"/>
    <w:rsid w:val="00AC16EF"/>
    <w:rsid w:val="00AC1749"/>
    <w:rsid w:val="00AC18A2"/>
    <w:rsid w:val="00AC1914"/>
    <w:rsid w:val="00AC1F59"/>
    <w:rsid w:val="00AC2A71"/>
    <w:rsid w:val="00AC2E32"/>
    <w:rsid w:val="00AC2EDA"/>
    <w:rsid w:val="00AC3784"/>
    <w:rsid w:val="00AC3D34"/>
    <w:rsid w:val="00AC4330"/>
    <w:rsid w:val="00AC4F53"/>
    <w:rsid w:val="00AC529E"/>
    <w:rsid w:val="00AC5574"/>
    <w:rsid w:val="00AC56AF"/>
    <w:rsid w:val="00AC62EE"/>
    <w:rsid w:val="00AC6986"/>
    <w:rsid w:val="00AD03A4"/>
    <w:rsid w:val="00AD0413"/>
    <w:rsid w:val="00AD041D"/>
    <w:rsid w:val="00AD04C6"/>
    <w:rsid w:val="00AD0930"/>
    <w:rsid w:val="00AD09B4"/>
    <w:rsid w:val="00AD0B18"/>
    <w:rsid w:val="00AD172F"/>
    <w:rsid w:val="00AD1B0B"/>
    <w:rsid w:val="00AD1BAF"/>
    <w:rsid w:val="00AD1C14"/>
    <w:rsid w:val="00AD20E3"/>
    <w:rsid w:val="00AD2243"/>
    <w:rsid w:val="00AD2E25"/>
    <w:rsid w:val="00AD2F6B"/>
    <w:rsid w:val="00AD31BD"/>
    <w:rsid w:val="00AD32AF"/>
    <w:rsid w:val="00AD416E"/>
    <w:rsid w:val="00AD55BB"/>
    <w:rsid w:val="00AD6826"/>
    <w:rsid w:val="00AD68E0"/>
    <w:rsid w:val="00AD7184"/>
    <w:rsid w:val="00AD72DE"/>
    <w:rsid w:val="00AD745B"/>
    <w:rsid w:val="00AE0193"/>
    <w:rsid w:val="00AE0D32"/>
    <w:rsid w:val="00AE13D3"/>
    <w:rsid w:val="00AE1603"/>
    <w:rsid w:val="00AE1D8F"/>
    <w:rsid w:val="00AE1DBB"/>
    <w:rsid w:val="00AE2580"/>
    <w:rsid w:val="00AE2699"/>
    <w:rsid w:val="00AE2BAB"/>
    <w:rsid w:val="00AE2CA2"/>
    <w:rsid w:val="00AE33E6"/>
    <w:rsid w:val="00AE3FC8"/>
    <w:rsid w:val="00AE44F3"/>
    <w:rsid w:val="00AE4708"/>
    <w:rsid w:val="00AE5DE3"/>
    <w:rsid w:val="00AE7963"/>
    <w:rsid w:val="00AF02FB"/>
    <w:rsid w:val="00AF06B4"/>
    <w:rsid w:val="00AF0D02"/>
    <w:rsid w:val="00AF1CE6"/>
    <w:rsid w:val="00AF25DB"/>
    <w:rsid w:val="00AF33BC"/>
    <w:rsid w:val="00AF49FA"/>
    <w:rsid w:val="00AF4D3B"/>
    <w:rsid w:val="00AF4F40"/>
    <w:rsid w:val="00AF52CF"/>
    <w:rsid w:val="00AF5645"/>
    <w:rsid w:val="00AF60FB"/>
    <w:rsid w:val="00AF6124"/>
    <w:rsid w:val="00AF6522"/>
    <w:rsid w:val="00AF675D"/>
    <w:rsid w:val="00AF6831"/>
    <w:rsid w:val="00AF6B75"/>
    <w:rsid w:val="00AF7E9E"/>
    <w:rsid w:val="00AF7F23"/>
    <w:rsid w:val="00B00C5F"/>
    <w:rsid w:val="00B00E5D"/>
    <w:rsid w:val="00B00ECA"/>
    <w:rsid w:val="00B010F8"/>
    <w:rsid w:val="00B012D4"/>
    <w:rsid w:val="00B01504"/>
    <w:rsid w:val="00B016E6"/>
    <w:rsid w:val="00B01875"/>
    <w:rsid w:val="00B01E88"/>
    <w:rsid w:val="00B026FD"/>
    <w:rsid w:val="00B02EA5"/>
    <w:rsid w:val="00B031A3"/>
    <w:rsid w:val="00B03F43"/>
    <w:rsid w:val="00B04EF7"/>
    <w:rsid w:val="00B0553A"/>
    <w:rsid w:val="00B0596A"/>
    <w:rsid w:val="00B05A06"/>
    <w:rsid w:val="00B05B5E"/>
    <w:rsid w:val="00B06095"/>
    <w:rsid w:val="00B06268"/>
    <w:rsid w:val="00B0640E"/>
    <w:rsid w:val="00B0649E"/>
    <w:rsid w:val="00B066B0"/>
    <w:rsid w:val="00B068CB"/>
    <w:rsid w:val="00B06A81"/>
    <w:rsid w:val="00B06A88"/>
    <w:rsid w:val="00B06F6D"/>
    <w:rsid w:val="00B071B4"/>
    <w:rsid w:val="00B0724F"/>
    <w:rsid w:val="00B07629"/>
    <w:rsid w:val="00B07BF8"/>
    <w:rsid w:val="00B103E8"/>
    <w:rsid w:val="00B10633"/>
    <w:rsid w:val="00B10B37"/>
    <w:rsid w:val="00B111E9"/>
    <w:rsid w:val="00B120C2"/>
    <w:rsid w:val="00B12B5A"/>
    <w:rsid w:val="00B1496C"/>
    <w:rsid w:val="00B14EAB"/>
    <w:rsid w:val="00B150A8"/>
    <w:rsid w:val="00B15330"/>
    <w:rsid w:val="00B15AC7"/>
    <w:rsid w:val="00B160E7"/>
    <w:rsid w:val="00B1610A"/>
    <w:rsid w:val="00B16FA3"/>
    <w:rsid w:val="00B174BF"/>
    <w:rsid w:val="00B1752D"/>
    <w:rsid w:val="00B2059B"/>
    <w:rsid w:val="00B20A85"/>
    <w:rsid w:val="00B20DD1"/>
    <w:rsid w:val="00B210FE"/>
    <w:rsid w:val="00B2153D"/>
    <w:rsid w:val="00B220F8"/>
    <w:rsid w:val="00B228CD"/>
    <w:rsid w:val="00B23424"/>
    <w:rsid w:val="00B23969"/>
    <w:rsid w:val="00B23C7F"/>
    <w:rsid w:val="00B243B0"/>
    <w:rsid w:val="00B247AA"/>
    <w:rsid w:val="00B24855"/>
    <w:rsid w:val="00B2540B"/>
    <w:rsid w:val="00B25B6A"/>
    <w:rsid w:val="00B26750"/>
    <w:rsid w:val="00B26A71"/>
    <w:rsid w:val="00B27828"/>
    <w:rsid w:val="00B300E1"/>
    <w:rsid w:val="00B30530"/>
    <w:rsid w:val="00B30C12"/>
    <w:rsid w:val="00B30FF8"/>
    <w:rsid w:val="00B31396"/>
    <w:rsid w:val="00B327A7"/>
    <w:rsid w:val="00B328B1"/>
    <w:rsid w:val="00B32D38"/>
    <w:rsid w:val="00B32E7F"/>
    <w:rsid w:val="00B3325D"/>
    <w:rsid w:val="00B33B12"/>
    <w:rsid w:val="00B3419C"/>
    <w:rsid w:val="00B35071"/>
    <w:rsid w:val="00B35D9C"/>
    <w:rsid w:val="00B3683E"/>
    <w:rsid w:val="00B36FCA"/>
    <w:rsid w:val="00B37552"/>
    <w:rsid w:val="00B376BB"/>
    <w:rsid w:val="00B40765"/>
    <w:rsid w:val="00B40CB4"/>
    <w:rsid w:val="00B41D3D"/>
    <w:rsid w:val="00B42180"/>
    <w:rsid w:val="00B42EF6"/>
    <w:rsid w:val="00B4353F"/>
    <w:rsid w:val="00B43E9A"/>
    <w:rsid w:val="00B43F14"/>
    <w:rsid w:val="00B44721"/>
    <w:rsid w:val="00B447EB"/>
    <w:rsid w:val="00B44BD6"/>
    <w:rsid w:val="00B44E7F"/>
    <w:rsid w:val="00B451A1"/>
    <w:rsid w:val="00B45917"/>
    <w:rsid w:val="00B46853"/>
    <w:rsid w:val="00B46B7A"/>
    <w:rsid w:val="00B47B42"/>
    <w:rsid w:val="00B50194"/>
    <w:rsid w:val="00B5027B"/>
    <w:rsid w:val="00B506AB"/>
    <w:rsid w:val="00B50CAA"/>
    <w:rsid w:val="00B50F16"/>
    <w:rsid w:val="00B51BFC"/>
    <w:rsid w:val="00B51EEC"/>
    <w:rsid w:val="00B5216D"/>
    <w:rsid w:val="00B525AB"/>
    <w:rsid w:val="00B528D4"/>
    <w:rsid w:val="00B529AF"/>
    <w:rsid w:val="00B52FBD"/>
    <w:rsid w:val="00B53396"/>
    <w:rsid w:val="00B53458"/>
    <w:rsid w:val="00B53C97"/>
    <w:rsid w:val="00B53CC1"/>
    <w:rsid w:val="00B54F2D"/>
    <w:rsid w:val="00B553BB"/>
    <w:rsid w:val="00B560F7"/>
    <w:rsid w:val="00B56473"/>
    <w:rsid w:val="00B57133"/>
    <w:rsid w:val="00B574BB"/>
    <w:rsid w:val="00B57512"/>
    <w:rsid w:val="00B57EE9"/>
    <w:rsid w:val="00B6002E"/>
    <w:rsid w:val="00B6029E"/>
    <w:rsid w:val="00B60426"/>
    <w:rsid w:val="00B60C5D"/>
    <w:rsid w:val="00B60C63"/>
    <w:rsid w:val="00B618BC"/>
    <w:rsid w:val="00B61AA1"/>
    <w:rsid w:val="00B61AB1"/>
    <w:rsid w:val="00B61DD1"/>
    <w:rsid w:val="00B643CA"/>
    <w:rsid w:val="00B64639"/>
    <w:rsid w:val="00B6477A"/>
    <w:rsid w:val="00B6546B"/>
    <w:rsid w:val="00B676F7"/>
    <w:rsid w:val="00B70DC9"/>
    <w:rsid w:val="00B7129F"/>
    <w:rsid w:val="00B7165E"/>
    <w:rsid w:val="00B71A9D"/>
    <w:rsid w:val="00B72006"/>
    <w:rsid w:val="00B7230C"/>
    <w:rsid w:val="00B7231C"/>
    <w:rsid w:val="00B725BB"/>
    <w:rsid w:val="00B72637"/>
    <w:rsid w:val="00B726EB"/>
    <w:rsid w:val="00B7279A"/>
    <w:rsid w:val="00B733CE"/>
    <w:rsid w:val="00B7341F"/>
    <w:rsid w:val="00B73510"/>
    <w:rsid w:val="00B7383C"/>
    <w:rsid w:val="00B73A3F"/>
    <w:rsid w:val="00B740F1"/>
    <w:rsid w:val="00B743B7"/>
    <w:rsid w:val="00B749E3"/>
    <w:rsid w:val="00B74D79"/>
    <w:rsid w:val="00B75743"/>
    <w:rsid w:val="00B76086"/>
    <w:rsid w:val="00B76636"/>
    <w:rsid w:val="00B7665C"/>
    <w:rsid w:val="00B77181"/>
    <w:rsid w:val="00B77717"/>
    <w:rsid w:val="00B779CC"/>
    <w:rsid w:val="00B800DC"/>
    <w:rsid w:val="00B8014A"/>
    <w:rsid w:val="00B8063E"/>
    <w:rsid w:val="00B80D39"/>
    <w:rsid w:val="00B81149"/>
    <w:rsid w:val="00B81B69"/>
    <w:rsid w:val="00B81D7C"/>
    <w:rsid w:val="00B82AA4"/>
    <w:rsid w:val="00B82AA5"/>
    <w:rsid w:val="00B82E3C"/>
    <w:rsid w:val="00B83087"/>
    <w:rsid w:val="00B83170"/>
    <w:rsid w:val="00B83AAE"/>
    <w:rsid w:val="00B83E83"/>
    <w:rsid w:val="00B846BC"/>
    <w:rsid w:val="00B84935"/>
    <w:rsid w:val="00B8586F"/>
    <w:rsid w:val="00B85B65"/>
    <w:rsid w:val="00B85B6E"/>
    <w:rsid w:val="00B85C67"/>
    <w:rsid w:val="00B8663A"/>
    <w:rsid w:val="00B86909"/>
    <w:rsid w:val="00B8690F"/>
    <w:rsid w:val="00B870F8"/>
    <w:rsid w:val="00B87342"/>
    <w:rsid w:val="00B901E3"/>
    <w:rsid w:val="00B903AC"/>
    <w:rsid w:val="00B91298"/>
    <w:rsid w:val="00B918D7"/>
    <w:rsid w:val="00B920D8"/>
    <w:rsid w:val="00B922A2"/>
    <w:rsid w:val="00B93396"/>
    <w:rsid w:val="00B9474C"/>
    <w:rsid w:val="00B94B34"/>
    <w:rsid w:val="00B94BA2"/>
    <w:rsid w:val="00B94C8A"/>
    <w:rsid w:val="00B95026"/>
    <w:rsid w:val="00B95D3A"/>
    <w:rsid w:val="00B95FA6"/>
    <w:rsid w:val="00B961F3"/>
    <w:rsid w:val="00B9642C"/>
    <w:rsid w:val="00B96E13"/>
    <w:rsid w:val="00B97233"/>
    <w:rsid w:val="00B978C1"/>
    <w:rsid w:val="00BA0473"/>
    <w:rsid w:val="00BA0887"/>
    <w:rsid w:val="00BA0D6B"/>
    <w:rsid w:val="00BA1254"/>
    <w:rsid w:val="00BA1356"/>
    <w:rsid w:val="00BA1417"/>
    <w:rsid w:val="00BA170A"/>
    <w:rsid w:val="00BA18EF"/>
    <w:rsid w:val="00BA1D7C"/>
    <w:rsid w:val="00BA21EA"/>
    <w:rsid w:val="00BA2517"/>
    <w:rsid w:val="00BA39AF"/>
    <w:rsid w:val="00BA52A2"/>
    <w:rsid w:val="00BA5A91"/>
    <w:rsid w:val="00BA5D77"/>
    <w:rsid w:val="00BA62DA"/>
    <w:rsid w:val="00BA659D"/>
    <w:rsid w:val="00BA65C0"/>
    <w:rsid w:val="00BA738A"/>
    <w:rsid w:val="00BA7885"/>
    <w:rsid w:val="00BA78B7"/>
    <w:rsid w:val="00BA7A05"/>
    <w:rsid w:val="00BB0CF3"/>
    <w:rsid w:val="00BB137B"/>
    <w:rsid w:val="00BB14A2"/>
    <w:rsid w:val="00BB1595"/>
    <w:rsid w:val="00BB1703"/>
    <w:rsid w:val="00BB18F3"/>
    <w:rsid w:val="00BB1938"/>
    <w:rsid w:val="00BB21EA"/>
    <w:rsid w:val="00BB25B2"/>
    <w:rsid w:val="00BB2BE4"/>
    <w:rsid w:val="00BB2DA8"/>
    <w:rsid w:val="00BB36C1"/>
    <w:rsid w:val="00BB4840"/>
    <w:rsid w:val="00BB48AC"/>
    <w:rsid w:val="00BB48F7"/>
    <w:rsid w:val="00BB4CFF"/>
    <w:rsid w:val="00BB513E"/>
    <w:rsid w:val="00BB5D31"/>
    <w:rsid w:val="00BB5D49"/>
    <w:rsid w:val="00BB6333"/>
    <w:rsid w:val="00BB6BC6"/>
    <w:rsid w:val="00BB6C0D"/>
    <w:rsid w:val="00BB792D"/>
    <w:rsid w:val="00BB7958"/>
    <w:rsid w:val="00BB7CC8"/>
    <w:rsid w:val="00BC16EF"/>
    <w:rsid w:val="00BC1931"/>
    <w:rsid w:val="00BC1DFE"/>
    <w:rsid w:val="00BC2004"/>
    <w:rsid w:val="00BC2F1C"/>
    <w:rsid w:val="00BC3EBF"/>
    <w:rsid w:val="00BC5051"/>
    <w:rsid w:val="00BC52D2"/>
    <w:rsid w:val="00BC589D"/>
    <w:rsid w:val="00BC58DC"/>
    <w:rsid w:val="00BC68B1"/>
    <w:rsid w:val="00BC7422"/>
    <w:rsid w:val="00BD04A9"/>
    <w:rsid w:val="00BD0A70"/>
    <w:rsid w:val="00BD0A95"/>
    <w:rsid w:val="00BD0B0B"/>
    <w:rsid w:val="00BD0C70"/>
    <w:rsid w:val="00BD1968"/>
    <w:rsid w:val="00BD1A3B"/>
    <w:rsid w:val="00BD1B27"/>
    <w:rsid w:val="00BD25FE"/>
    <w:rsid w:val="00BD2AE3"/>
    <w:rsid w:val="00BD2B22"/>
    <w:rsid w:val="00BD2F5C"/>
    <w:rsid w:val="00BD3214"/>
    <w:rsid w:val="00BD3244"/>
    <w:rsid w:val="00BD33C1"/>
    <w:rsid w:val="00BD34EA"/>
    <w:rsid w:val="00BD3605"/>
    <w:rsid w:val="00BD3CC3"/>
    <w:rsid w:val="00BD4189"/>
    <w:rsid w:val="00BD4300"/>
    <w:rsid w:val="00BD4327"/>
    <w:rsid w:val="00BD53A7"/>
    <w:rsid w:val="00BD5418"/>
    <w:rsid w:val="00BD55EC"/>
    <w:rsid w:val="00BD5C08"/>
    <w:rsid w:val="00BD5E13"/>
    <w:rsid w:val="00BD6BEC"/>
    <w:rsid w:val="00BD7DB8"/>
    <w:rsid w:val="00BE0104"/>
    <w:rsid w:val="00BE06ED"/>
    <w:rsid w:val="00BE0A01"/>
    <w:rsid w:val="00BE1853"/>
    <w:rsid w:val="00BE1977"/>
    <w:rsid w:val="00BE1C56"/>
    <w:rsid w:val="00BE1CA6"/>
    <w:rsid w:val="00BE1EA8"/>
    <w:rsid w:val="00BE1EA9"/>
    <w:rsid w:val="00BE272B"/>
    <w:rsid w:val="00BE299E"/>
    <w:rsid w:val="00BE3224"/>
    <w:rsid w:val="00BE331D"/>
    <w:rsid w:val="00BE3705"/>
    <w:rsid w:val="00BE3C87"/>
    <w:rsid w:val="00BE44A1"/>
    <w:rsid w:val="00BE481A"/>
    <w:rsid w:val="00BE4A0F"/>
    <w:rsid w:val="00BE4B6A"/>
    <w:rsid w:val="00BE4F15"/>
    <w:rsid w:val="00BE4FA8"/>
    <w:rsid w:val="00BE504F"/>
    <w:rsid w:val="00BE5244"/>
    <w:rsid w:val="00BE54A4"/>
    <w:rsid w:val="00BE5EC8"/>
    <w:rsid w:val="00BE6134"/>
    <w:rsid w:val="00BE654A"/>
    <w:rsid w:val="00BE70DC"/>
    <w:rsid w:val="00BE75AF"/>
    <w:rsid w:val="00BE7639"/>
    <w:rsid w:val="00BE7852"/>
    <w:rsid w:val="00BE7F0A"/>
    <w:rsid w:val="00BF06D4"/>
    <w:rsid w:val="00BF09ED"/>
    <w:rsid w:val="00BF0AFB"/>
    <w:rsid w:val="00BF0DAD"/>
    <w:rsid w:val="00BF17F5"/>
    <w:rsid w:val="00BF22BA"/>
    <w:rsid w:val="00BF2E6D"/>
    <w:rsid w:val="00BF441F"/>
    <w:rsid w:val="00BF50EF"/>
    <w:rsid w:val="00BF5483"/>
    <w:rsid w:val="00BF56E4"/>
    <w:rsid w:val="00BF6056"/>
    <w:rsid w:val="00BF63D6"/>
    <w:rsid w:val="00C00D7A"/>
    <w:rsid w:val="00C010A2"/>
    <w:rsid w:val="00C0119A"/>
    <w:rsid w:val="00C015E3"/>
    <w:rsid w:val="00C01687"/>
    <w:rsid w:val="00C01766"/>
    <w:rsid w:val="00C0196E"/>
    <w:rsid w:val="00C031AC"/>
    <w:rsid w:val="00C0345D"/>
    <w:rsid w:val="00C03D4C"/>
    <w:rsid w:val="00C03E99"/>
    <w:rsid w:val="00C04521"/>
    <w:rsid w:val="00C04681"/>
    <w:rsid w:val="00C047C7"/>
    <w:rsid w:val="00C0499A"/>
    <w:rsid w:val="00C04B33"/>
    <w:rsid w:val="00C04FC1"/>
    <w:rsid w:val="00C04FDB"/>
    <w:rsid w:val="00C05064"/>
    <w:rsid w:val="00C050FD"/>
    <w:rsid w:val="00C0547F"/>
    <w:rsid w:val="00C05F9D"/>
    <w:rsid w:val="00C06199"/>
    <w:rsid w:val="00C062F0"/>
    <w:rsid w:val="00C06416"/>
    <w:rsid w:val="00C06741"/>
    <w:rsid w:val="00C06B9B"/>
    <w:rsid w:val="00C06F00"/>
    <w:rsid w:val="00C070FE"/>
    <w:rsid w:val="00C07E71"/>
    <w:rsid w:val="00C10A0A"/>
    <w:rsid w:val="00C10E14"/>
    <w:rsid w:val="00C11241"/>
    <w:rsid w:val="00C1134E"/>
    <w:rsid w:val="00C1322B"/>
    <w:rsid w:val="00C13530"/>
    <w:rsid w:val="00C13B14"/>
    <w:rsid w:val="00C14987"/>
    <w:rsid w:val="00C1535C"/>
    <w:rsid w:val="00C1540E"/>
    <w:rsid w:val="00C15A80"/>
    <w:rsid w:val="00C160BF"/>
    <w:rsid w:val="00C1624A"/>
    <w:rsid w:val="00C16375"/>
    <w:rsid w:val="00C163C5"/>
    <w:rsid w:val="00C164F0"/>
    <w:rsid w:val="00C16EFA"/>
    <w:rsid w:val="00C175A7"/>
    <w:rsid w:val="00C2006B"/>
    <w:rsid w:val="00C20577"/>
    <w:rsid w:val="00C20BFC"/>
    <w:rsid w:val="00C21EC0"/>
    <w:rsid w:val="00C21F9E"/>
    <w:rsid w:val="00C21FB8"/>
    <w:rsid w:val="00C22CBA"/>
    <w:rsid w:val="00C2310A"/>
    <w:rsid w:val="00C23318"/>
    <w:rsid w:val="00C23C5E"/>
    <w:rsid w:val="00C243E5"/>
    <w:rsid w:val="00C24933"/>
    <w:rsid w:val="00C24A8F"/>
    <w:rsid w:val="00C24CFC"/>
    <w:rsid w:val="00C25A5F"/>
    <w:rsid w:val="00C26026"/>
    <w:rsid w:val="00C261E2"/>
    <w:rsid w:val="00C262A6"/>
    <w:rsid w:val="00C268CF"/>
    <w:rsid w:val="00C26AE9"/>
    <w:rsid w:val="00C27555"/>
    <w:rsid w:val="00C27A77"/>
    <w:rsid w:val="00C27C88"/>
    <w:rsid w:val="00C27DAC"/>
    <w:rsid w:val="00C30098"/>
    <w:rsid w:val="00C30323"/>
    <w:rsid w:val="00C30566"/>
    <w:rsid w:val="00C316A8"/>
    <w:rsid w:val="00C3178E"/>
    <w:rsid w:val="00C31F0D"/>
    <w:rsid w:val="00C32148"/>
    <w:rsid w:val="00C32839"/>
    <w:rsid w:val="00C329E2"/>
    <w:rsid w:val="00C33140"/>
    <w:rsid w:val="00C33A2F"/>
    <w:rsid w:val="00C33D2F"/>
    <w:rsid w:val="00C33E71"/>
    <w:rsid w:val="00C34022"/>
    <w:rsid w:val="00C34028"/>
    <w:rsid w:val="00C3433E"/>
    <w:rsid w:val="00C348F6"/>
    <w:rsid w:val="00C34A16"/>
    <w:rsid w:val="00C35532"/>
    <w:rsid w:val="00C369BF"/>
    <w:rsid w:val="00C36B10"/>
    <w:rsid w:val="00C370F4"/>
    <w:rsid w:val="00C37627"/>
    <w:rsid w:val="00C37951"/>
    <w:rsid w:val="00C402A5"/>
    <w:rsid w:val="00C405BB"/>
    <w:rsid w:val="00C40D28"/>
    <w:rsid w:val="00C40E48"/>
    <w:rsid w:val="00C40FBF"/>
    <w:rsid w:val="00C41043"/>
    <w:rsid w:val="00C422FE"/>
    <w:rsid w:val="00C427D2"/>
    <w:rsid w:val="00C42BF2"/>
    <w:rsid w:val="00C42C7A"/>
    <w:rsid w:val="00C44640"/>
    <w:rsid w:val="00C44796"/>
    <w:rsid w:val="00C44E5F"/>
    <w:rsid w:val="00C4538D"/>
    <w:rsid w:val="00C45562"/>
    <w:rsid w:val="00C46419"/>
    <w:rsid w:val="00C46CB2"/>
    <w:rsid w:val="00C47706"/>
    <w:rsid w:val="00C47AB2"/>
    <w:rsid w:val="00C47CEC"/>
    <w:rsid w:val="00C51638"/>
    <w:rsid w:val="00C519E1"/>
    <w:rsid w:val="00C51DF4"/>
    <w:rsid w:val="00C51E1C"/>
    <w:rsid w:val="00C5247A"/>
    <w:rsid w:val="00C525B0"/>
    <w:rsid w:val="00C52C8B"/>
    <w:rsid w:val="00C52E20"/>
    <w:rsid w:val="00C53870"/>
    <w:rsid w:val="00C539C3"/>
    <w:rsid w:val="00C53B60"/>
    <w:rsid w:val="00C540FE"/>
    <w:rsid w:val="00C54473"/>
    <w:rsid w:val="00C54689"/>
    <w:rsid w:val="00C54D5D"/>
    <w:rsid w:val="00C55B19"/>
    <w:rsid w:val="00C55CF2"/>
    <w:rsid w:val="00C55FD0"/>
    <w:rsid w:val="00C56322"/>
    <w:rsid w:val="00C56393"/>
    <w:rsid w:val="00C56AD1"/>
    <w:rsid w:val="00C56EF7"/>
    <w:rsid w:val="00C57219"/>
    <w:rsid w:val="00C60C29"/>
    <w:rsid w:val="00C60D04"/>
    <w:rsid w:val="00C612BB"/>
    <w:rsid w:val="00C621F7"/>
    <w:rsid w:val="00C62829"/>
    <w:rsid w:val="00C62F93"/>
    <w:rsid w:val="00C64787"/>
    <w:rsid w:val="00C64A45"/>
    <w:rsid w:val="00C64CDA"/>
    <w:rsid w:val="00C6524F"/>
    <w:rsid w:val="00C65488"/>
    <w:rsid w:val="00C65617"/>
    <w:rsid w:val="00C657A5"/>
    <w:rsid w:val="00C65C9D"/>
    <w:rsid w:val="00C65D56"/>
    <w:rsid w:val="00C6686B"/>
    <w:rsid w:val="00C66F88"/>
    <w:rsid w:val="00C67938"/>
    <w:rsid w:val="00C708F5"/>
    <w:rsid w:val="00C70C17"/>
    <w:rsid w:val="00C70F1F"/>
    <w:rsid w:val="00C70F87"/>
    <w:rsid w:val="00C71694"/>
    <w:rsid w:val="00C7173F"/>
    <w:rsid w:val="00C71B3E"/>
    <w:rsid w:val="00C71E22"/>
    <w:rsid w:val="00C72138"/>
    <w:rsid w:val="00C722D6"/>
    <w:rsid w:val="00C72A04"/>
    <w:rsid w:val="00C72B27"/>
    <w:rsid w:val="00C732E3"/>
    <w:rsid w:val="00C74343"/>
    <w:rsid w:val="00C7497C"/>
    <w:rsid w:val="00C75306"/>
    <w:rsid w:val="00C75345"/>
    <w:rsid w:val="00C75371"/>
    <w:rsid w:val="00C755E6"/>
    <w:rsid w:val="00C75D41"/>
    <w:rsid w:val="00C760DF"/>
    <w:rsid w:val="00C76254"/>
    <w:rsid w:val="00C76269"/>
    <w:rsid w:val="00C7671C"/>
    <w:rsid w:val="00C767E3"/>
    <w:rsid w:val="00C771DC"/>
    <w:rsid w:val="00C77A7F"/>
    <w:rsid w:val="00C81183"/>
    <w:rsid w:val="00C81BA5"/>
    <w:rsid w:val="00C81F3B"/>
    <w:rsid w:val="00C82A44"/>
    <w:rsid w:val="00C82B26"/>
    <w:rsid w:val="00C82ED1"/>
    <w:rsid w:val="00C8302D"/>
    <w:rsid w:val="00C843FC"/>
    <w:rsid w:val="00C85579"/>
    <w:rsid w:val="00C85591"/>
    <w:rsid w:val="00C8612C"/>
    <w:rsid w:val="00C861DA"/>
    <w:rsid w:val="00C86308"/>
    <w:rsid w:val="00C86990"/>
    <w:rsid w:val="00C86EC7"/>
    <w:rsid w:val="00C870D6"/>
    <w:rsid w:val="00C9054F"/>
    <w:rsid w:val="00C90711"/>
    <w:rsid w:val="00C90796"/>
    <w:rsid w:val="00C90FB0"/>
    <w:rsid w:val="00C91256"/>
    <w:rsid w:val="00C91A77"/>
    <w:rsid w:val="00C92013"/>
    <w:rsid w:val="00C92BE7"/>
    <w:rsid w:val="00C935BC"/>
    <w:rsid w:val="00C93620"/>
    <w:rsid w:val="00C94096"/>
    <w:rsid w:val="00C94206"/>
    <w:rsid w:val="00C9420E"/>
    <w:rsid w:val="00C94226"/>
    <w:rsid w:val="00C94C6F"/>
    <w:rsid w:val="00C94EBC"/>
    <w:rsid w:val="00C94EE0"/>
    <w:rsid w:val="00C951AF"/>
    <w:rsid w:val="00C95286"/>
    <w:rsid w:val="00C952A0"/>
    <w:rsid w:val="00C9565A"/>
    <w:rsid w:val="00C95CE6"/>
    <w:rsid w:val="00C96353"/>
    <w:rsid w:val="00C96CB0"/>
    <w:rsid w:val="00C97AAC"/>
    <w:rsid w:val="00CA01CD"/>
    <w:rsid w:val="00CA0F1C"/>
    <w:rsid w:val="00CA13EF"/>
    <w:rsid w:val="00CA1808"/>
    <w:rsid w:val="00CA187D"/>
    <w:rsid w:val="00CA1E0C"/>
    <w:rsid w:val="00CA34D0"/>
    <w:rsid w:val="00CA3F52"/>
    <w:rsid w:val="00CA3FCB"/>
    <w:rsid w:val="00CA4387"/>
    <w:rsid w:val="00CA4B9A"/>
    <w:rsid w:val="00CA4F1D"/>
    <w:rsid w:val="00CA4FB0"/>
    <w:rsid w:val="00CA5047"/>
    <w:rsid w:val="00CA554B"/>
    <w:rsid w:val="00CA55C3"/>
    <w:rsid w:val="00CA57D3"/>
    <w:rsid w:val="00CA5FCE"/>
    <w:rsid w:val="00CA5FEB"/>
    <w:rsid w:val="00CA6CD0"/>
    <w:rsid w:val="00CA6F51"/>
    <w:rsid w:val="00CA70BC"/>
    <w:rsid w:val="00CA722A"/>
    <w:rsid w:val="00CA775B"/>
    <w:rsid w:val="00CA7809"/>
    <w:rsid w:val="00CA7F1B"/>
    <w:rsid w:val="00CB01C2"/>
    <w:rsid w:val="00CB0347"/>
    <w:rsid w:val="00CB037B"/>
    <w:rsid w:val="00CB068A"/>
    <w:rsid w:val="00CB0DD1"/>
    <w:rsid w:val="00CB1EDE"/>
    <w:rsid w:val="00CB3DED"/>
    <w:rsid w:val="00CB3F71"/>
    <w:rsid w:val="00CB424C"/>
    <w:rsid w:val="00CB42B7"/>
    <w:rsid w:val="00CB4971"/>
    <w:rsid w:val="00CB4A32"/>
    <w:rsid w:val="00CB4A85"/>
    <w:rsid w:val="00CB4F68"/>
    <w:rsid w:val="00CB52F9"/>
    <w:rsid w:val="00CB537B"/>
    <w:rsid w:val="00CB54A2"/>
    <w:rsid w:val="00CB556D"/>
    <w:rsid w:val="00CB5A06"/>
    <w:rsid w:val="00CB5D82"/>
    <w:rsid w:val="00CB612B"/>
    <w:rsid w:val="00CB6602"/>
    <w:rsid w:val="00CB6BD1"/>
    <w:rsid w:val="00CB6DEE"/>
    <w:rsid w:val="00CB7267"/>
    <w:rsid w:val="00CB7C26"/>
    <w:rsid w:val="00CC00E3"/>
    <w:rsid w:val="00CC07E4"/>
    <w:rsid w:val="00CC0929"/>
    <w:rsid w:val="00CC0B51"/>
    <w:rsid w:val="00CC10F9"/>
    <w:rsid w:val="00CC16C7"/>
    <w:rsid w:val="00CC1777"/>
    <w:rsid w:val="00CC2F7B"/>
    <w:rsid w:val="00CC3952"/>
    <w:rsid w:val="00CC3F31"/>
    <w:rsid w:val="00CC3F7C"/>
    <w:rsid w:val="00CC3FAB"/>
    <w:rsid w:val="00CC4C75"/>
    <w:rsid w:val="00CC50D1"/>
    <w:rsid w:val="00CC5914"/>
    <w:rsid w:val="00CC5975"/>
    <w:rsid w:val="00CC5C0C"/>
    <w:rsid w:val="00CC661E"/>
    <w:rsid w:val="00CC6A29"/>
    <w:rsid w:val="00CC6FA8"/>
    <w:rsid w:val="00CC72CC"/>
    <w:rsid w:val="00CC73F9"/>
    <w:rsid w:val="00CC7777"/>
    <w:rsid w:val="00CC7A4B"/>
    <w:rsid w:val="00CC7C04"/>
    <w:rsid w:val="00CD0499"/>
    <w:rsid w:val="00CD064C"/>
    <w:rsid w:val="00CD07C6"/>
    <w:rsid w:val="00CD19A9"/>
    <w:rsid w:val="00CD1F0B"/>
    <w:rsid w:val="00CD23DE"/>
    <w:rsid w:val="00CD2504"/>
    <w:rsid w:val="00CD27FF"/>
    <w:rsid w:val="00CD2C7F"/>
    <w:rsid w:val="00CD2D5E"/>
    <w:rsid w:val="00CD2E6B"/>
    <w:rsid w:val="00CD30F1"/>
    <w:rsid w:val="00CD3122"/>
    <w:rsid w:val="00CD3929"/>
    <w:rsid w:val="00CD460E"/>
    <w:rsid w:val="00CD483A"/>
    <w:rsid w:val="00CD52BD"/>
    <w:rsid w:val="00CD52E5"/>
    <w:rsid w:val="00CD5D9A"/>
    <w:rsid w:val="00CD6BEC"/>
    <w:rsid w:val="00CD7259"/>
    <w:rsid w:val="00CD7C20"/>
    <w:rsid w:val="00CE0232"/>
    <w:rsid w:val="00CE13D3"/>
    <w:rsid w:val="00CE1472"/>
    <w:rsid w:val="00CE1883"/>
    <w:rsid w:val="00CE1F5D"/>
    <w:rsid w:val="00CE1F83"/>
    <w:rsid w:val="00CE2DEE"/>
    <w:rsid w:val="00CE355B"/>
    <w:rsid w:val="00CE47C8"/>
    <w:rsid w:val="00CE4844"/>
    <w:rsid w:val="00CE548B"/>
    <w:rsid w:val="00CE5E44"/>
    <w:rsid w:val="00CE6029"/>
    <w:rsid w:val="00CE6088"/>
    <w:rsid w:val="00CE6125"/>
    <w:rsid w:val="00CE6413"/>
    <w:rsid w:val="00CE6A6C"/>
    <w:rsid w:val="00CE6BF7"/>
    <w:rsid w:val="00CE6F73"/>
    <w:rsid w:val="00CE7253"/>
    <w:rsid w:val="00CE7279"/>
    <w:rsid w:val="00CE72D3"/>
    <w:rsid w:val="00CE768F"/>
    <w:rsid w:val="00CF0345"/>
    <w:rsid w:val="00CF18E0"/>
    <w:rsid w:val="00CF1903"/>
    <w:rsid w:val="00CF1DB6"/>
    <w:rsid w:val="00CF1EC4"/>
    <w:rsid w:val="00CF238B"/>
    <w:rsid w:val="00CF23F5"/>
    <w:rsid w:val="00CF2475"/>
    <w:rsid w:val="00CF2BBA"/>
    <w:rsid w:val="00CF35E9"/>
    <w:rsid w:val="00CF37ED"/>
    <w:rsid w:val="00CF3FAD"/>
    <w:rsid w:val="00CF4E64"/>
    <w:rsid w:val="00CF4EB9"/>
    <w:rsid w:val="00CF590B"/>
    <w:rsid w:val="00CF5D59"/>
    <w:rsid w:val="00CF5D66"/>
    <w:rsid w:val="00CF62A2"/>
    <w:rsid w:val="00CF6871"/>
    <w:rsid w:val="00CF6DAE"/>
    <w:rsid w:val="00CF70FF"/>
    <w:rsid w:val="00CF7543"/>
    <w:rsid w:val="00CF775F"/>
    <w:rsid w:val="00D00848"/>
    <w:rsid w:val="00D01211"/>
    <w:rsid w:val="00D02308"/>
    <w:rsid w:val="00D026FE"/>
    <w:rsid w:val="00D028C4"/>
    <w:rsid w:val="00D028EF"/>
    <w:rsid w:val="00D02DB8"/>
    <w:rsid w:val="00D02F4F"/>
    <w:rsid w:val="00D03E44"/>
    <w:rsid w:val="00D040A0"/>
    <w:rsid w:val="00D0468E"/>
    <w:rsid w:val="00D04C16"/>
    <w:rsid w:val="00D0506B"/>
    <w:rsid w:val="00D054BE"/>
    <w:rsid w:val="00D05C3D"/>
    <w:rsid w:val="00D06652"/>
    <w:rsid w:val="00D0667C"/>
    <w:rsid w:val="00D067EA"/>
    <w:rsid w:val="00D06D00"/>
    <w:rsid w:val="00D06D9B"/>
    <w:rsid w:val="00D10B5E"/>
    <w:rsid w:val="00D1136D"/>
    <w:rsid w:val="00D116B6"/>
    <w:rsid w:val="00D11EC9"/>
    <w:rsid w:val="00D12244"/>
    <w:rsid w:val="00D124B3"/>
    <w:rsid w:val="00D12C16"/>
    <w:rsid w:val="00D13677"/>
    <w:rsid w:val="00D13D12"/>
    <w:rsid w:val="00D1418A"/>
    <w:rsid w:val="00D1483D"/>
    <w:rsid w:val="00D153EB"/>
    <w:rsid w:val="00D15B5F"/>
    <w:rsid w:val="00D1617D"/>
    <w:rsid w:val="00D1620A"/>
    <w:rsid w:val="00D16D1D"/>
    <w:rsid w:val="00D16F1C"/>
    <w:rsid w:val="00D17F40"/>
    <w:rsid w:val="00D20A01"/>
    <w:rsid w:val="00D20D43"/>
    <w:rsid w:val="00D2128B"/>
    <w:rsid w:val="00D2145F"/>
    <w:rsid w:val="00D21896"/>
    <w:rsid w:val="00D21F8A"/>
    <w:rsid w:val="00D222D9"/>
    <w:rsid w:val="00D2267D"/>
    <w:rsid w:val="00D228B9"/>
    <w:rsid w:val="00D2345E"/>
    <w:rsid w:val="00D237E0"/>
    <w:rsid w:val="00D2387C"/>
    <w:rsid w:val="00D23D8C"/>
    <w:rsid w:val="00D24365"/>
    <w:rsid w:val="00D24437"/>
    <w:rsid w:val="00D244B8"/>
    <w:rsid w:val="00D2457D"/>
    <w:rsid w:val="00D24618"/>
    <w:rsid w:val="00D258AF"/>
    <w:rsid w:val="00D259C5"/>
    <w:rsid w:val="00D260AD"/>
    <w:rsid w:val="00D263D2"/>
    <w:rsid w:val="00D26917"/>
    <w:rsid w:val="00D303F1"/>
    <w:rsid w:val="00D3042A"/>
    <w:rsid w:val="00D30457"/>
    <w:rsid w:val="00D30BCB"/>
    <w:rsid w:val="00D30CA5"/>
    <w:rsid w:val="00D31513"/>
    <w:rsid w:val="00D317A2"/>
    <w:rsid w:val="00D31ECB"/>
    <w:rsid w:val="00D321FB"/>
    <w:rsid w:val="00D32765"/>
    <w:rsid w:val="00D32792"/>
    <w:rsid w:val="00D327BB"/>
    <w:rsid w:val="00D33F7D"/>
    <w:rsid w:val="00D34153"/>
    <w:rsid w:val="00D34911"/>
    <w:rsid w:val="00D34ED3"/>
    <w:rsid w:val="00D350D6"/>
    <w:rsid w:val="00D350E5"/>
    <w:rsid w:val="00D35665"/>
    <w:rsid w:val="00D357D9"/>
    <w:rsid w:val="00D35A01"/>
    <w:rsid w:val="00D36822"/>
    <w:rsid w:val="00D36A5A"/>
    <w:rsid w:val="00D36BD9"/>
    <w:rsid w:val="00D37995"/>
    <w:rsid w:val="00D37A25"/>
    <w:rsid w:val="00D37E55"/>
    <w:rsid w:val="00D37FB0"/>
    <w:rsid w:val="00D4005C"/>
    <w:rsid w:val="00D403D7"/>
    <w:rsid w:val="00D41637"/>
    <w:rsid w:val="00D4165D"/>
    <w:rsid w:val="00D41BA4"/>
    <w:rsid w:val="00D41C8F"/>
    <w:rsid w:val="00D41F15"/>
    <w:rsid w:val="00D420A8"/>
    <w:rsid w:val="00D4278D"/>
    <w:rsid w:val="00D42B11"/>
    <w:rsid w:val="00D42DEE"/>
    <w:rsid w:val="00D43331"/>
    <w:rsid w:val="00D433C0"/>
    <w:rsid w:val="00D435A2"/>
    <w:rsid w:val="00D44EF1"/>
    <w:rsid w:val="00D450E1"/>
    <w:rsid w:val="00D451F5"/>
    <w:rsid w:val="00D4654C"/>
    <w:rsid w:val="00D478BF"/>
    <w:rsid w:val="00D479ED"/>
    <w:rsid w:val="00D519D9"/>
    <w:rsid w:val="00D51FAC"/>
    <w:rsid w:val="00D5214F"/>
    <w:rsid w:val="00D524C4"/>
    <w:rsid w:val="00D525B1"/>
    <w:rsid w:val="00D52AC6"/>
    <w:rsid w:val="00D53822"/>
    <w:rsid w:val="00D5396D"/>
    <w:rsid w:val="00D53A1A"/>
    <w:rsid w:val="00D5409E"/>
    <w:rsid w:val="00D54264"/>
    <w:rsid w:val="00D549D1"/>
    <w:rsid w:val="00D5567A"/>
    <w:rsid w:val="00D557B6"/>
    <w:rsid w:val="00D55957"/>
    <w:rsid w:val="00D55B4A"/>
    <w:rsid w:val="00D55F45"/>
    <w:rsid w:val="00D56085"/>
    <w:rsid w:val="00D561BF"/>
    <w:rsid w:val="00D5635D"/>
    <w:rsid w:val="00D57411"/>
    <w:rsid w:val="00D57C63"/>
    <w:rsid w:val="00D57C91"/>
    <w:rsid w:val="00D57F0B"/>
    <w:rsid w:val="00D60551"/>
    <w:rsid w:val="00D60F1A"/>
    <w:rsid w:val="00D612F1"/>
    <w:rsid w:val="00D61314"/>
    <w:rsid w:val="00D6134A"/>
    <w:rsid w:val="00D617E5"/>
    <w:rsid w:val="00D6194C"/>
    <w:rsid w:val="00D62354"/>
    <w:rsid w:val="00D63C94"/>
    <w:rsid w:val="00D63D6D"/>
    <w:rsid w:val="00D640CC"/>
    <w:rsid w:val="00D64BCA"/>
    <w:rsid w:val="00D64E01"/>
    <w:rsid w:val="00D64FE7"/>
    <w:rsid w:val="00D658BB"/>
    <w:rsid w:val="00D65CC2"/>
    <w:rsid w:val="00D65DB7"/>
    <w:rsid w:val="00D67288"/>
    <w:rsid w:val="00D67303"/>
    <w:rsid w:val="00D673D7"/>
    <w:rsid w:val="00D6777F"/>
    <w:rsid w:val="00D704DA"/>
    <w:rsid w:val="00D70614"/>
    <w:rsid w:val="00D70985"/>
    <w:rsid w:val="00D72235"/>
    <w:rsid w:val="00D73313"/>
    <w:rsid w:val="00D73534"/>
    <w:rsid w:val="00D7370C"/>
    <w:rsid w:val="00D7388C"/>
    <w:rsid w:val="00D739A6"/>
    <w:rsid w:val="00D7469D"/>
    <w:rsid w:val="00D7527C"/>
    <w:rsid w:val="00D7548F"/>
    <w:rsid w:val="00D75974"/>
    <w:rsid w:val="00D75DFE"/>
    <w:rsid w:val="00D75FCC"/>
    <w:rsid w:val="00D762C9"/>
    <w:rsid w:val="00D7641F"/>
    <w:rsid w:val="00D76896"/>
    <w:rsid w:val="00D76EB3"/>
    <w:rsid w:val="00D76F8B"/>
    <w:rsid w:val="00D801E5"/>
    <w:rsid w:val="00D803C9"/>
    <w:rsid w:val="00D807E3"/>
    <w:rsid w:val="00D80F5D"/>
    <w:rsid w:val="00D811EA"/>
    <w:rsid w:val="00D813D8"/>
    <w:rsid w:val="00D8273C"/>
    <w:rsid w:val="00D82E88"/>
    <w:rsid w:val="00D82F71"/>
    <w:rsid w:val="00D83439"/>
    <w:rsid w:val="00D83A1F"/>
    <w:rsid w:val="00D8406E"/>
    <w:rsid w:val="00D8440C"/>
    <w:rsid w:val="00D8445C"/>
    <w:rsid w:val="00D84769"/>
    <w:rsid w:val="00D850ED"/>
    <w:rsid w:val="00D852D6"/>
    <w:rsid w:val="00D8579E"/>
    <w:rsid w:val="00D858A9"/>
    <w:rsid w:val="00D85C35"/>
    <w:rsid w:val="00D85C76"/>
    <w:rsid w:val="00D85ED4"/>
    <w:rsid w:val="00D8636D"/>
    <w:rsid w:val="00D8686E"/>
    <w:rsid w:val="00D86C02"/>
    <w:rsid w:val="00D87CA2"/>
    <w:rsid w:val="00D91250"/>
    <w:rsid w:val="00D918FA"/>
    <w:rsid w:val="00D91AC7"/>
    <w:rsid w:val="00D92663"/>
    <w:rsid w:val="00D92BA4"/>
    <w:rsid w:val="00D92D75"/>
    <w:rsid w:val="00D93033"/>
    <w:rsid w:val="00D93B39"/>
    <w:rsid w:val="00D9400E"/>
    <w:rsid w:val="00D94026"/>
    <w:rsid w:val="00D95277"/>
    <w:rsid w:val="00D9685C"/>
    <w:rsid w:val="00D96959"/>
    <w:rsid w:val="00D97A5E"/>
    <w:rsid w:val="00DA0A44"/>
    <w:rsid w:val="00DA0C9C"/>
    <w:rsid w:val="00DA1394"/>
    <w:rsid w:val="00DA1CA3"/>
    <w:rsid w:val="00DA252C"/>
    <w:rsid w:val="00DA26FC"/>
    <w:rsid w:val="00DA27B2"/>
    <w:rsid w:val="00DA2DF2"/>
    <w:rsid w:val="00DA3507"/>
    <w:rsid w:val="00DA3790"/>
    <w:rsid w:val="00DA3796"/>
    <w:rsid w:val="00DA3BF4"/>
    <w:rsid w:val="00DA4C71"/>
    <w:rsid w:val="00DA504F"/>
    <w:rsid w:val="00DA579C"/>
    <w:rsid w:val="00DA5AE8"/>
    <w:rsid w:val="00DA61CE"/>
    <w:rsid w:val="00DA61F4"/>
    <w:rsid w:val="00DA63FF"/>
    <w:rsid w:val="00DA6885"/>
    <w:rsid w:val="00DA6E72"/>
    <w:rsid w:val="00DA70D7"/>
    <w:rsid w:val="00DA7340"/>
    <w:rsid w:val="00DB0586"/>
    <w:rsid w:val="00DB082F"/>
    <w:rsid w:val="00DB0C31"/>
    <w:rsid w:val="00DB13BC"/>
    <w:rsid w:val="00DB19E3"/>
    <w:rsid w:val="00DB1E9E"/>
    <w:rsid w:val="00DB1F10"/>
    <w:rsid w:val="00DB2167"/>
    <w:rsid w:val="00DB239C"/>
    <w:rsid w:val="00DB250E"/>
    <w:rsid w:val="00DB2A67"/>
    <w:rsid w:val="00DB3216"/>
    <w:rsid w:val="00DB38B4"/>
    <w:rsid w:val="00DB406A"/>
    <w:rsid w:val="00DB4496"/>
    <w:rsid w:val="00DB476A"/>
    <w:rsid w:val="00DB5361"/>
    <w:rsid w:val="00DB55C2"/>
    <w:rsid w:val="00DB569A"/>
    <w:rsid w:val="00DB5DD0"/>
    <w:rsid w:val="00DB5FBD"/>
    <w:rsid w:val="00DB615F"/>
    <w:rsid w:val="00DB6F68"/>
    <w:rsid w:val="00DB70FE"/>
    <w:rsid w:val="00DB7990"/>
    <w:rsid w:val="00DC0338"/>
    <w:rsid w:val="00DC054A"/>
    <w:rsid w:val="00DC0BD6"/>
    <w:rsid w:val="00DC0D5C"/>
    <w:rsid w:val="00DC10C9"/>
    <w:rsid w:val="00DC1575"/>
    <w:rsid w:val="00DC1A9C"/>
    <w:rsid w:val="00DC2F76"/>
    <w:rsid w:val="00DC3E65"/>
    <w:rsid w:val="00DC40E8"/>
    <w:rsid w:val="00DC414A"/>
    <w:rsid w:val="00DC431C"/>
    <w:rsid w:val="00DC43BA"/>
    <w:rsid w:val="00DC44D6"/>
    <w:rsid w:val="00DC498C"/>
    <w:rsid w:val="00DC5918"/>
    <w:rsid w:val="00DC5EF4"/>
    <w:rsid w:val="00DC6538"/>
    <w:rsid w:val="00DC6CE0"/>
    <w:rsid w:val="00DC6CED"/>
    <w:rsid w:val="00DC7517"/>
    <w:rsid w:val="00DC775A"/>
    <w:rsid w:val="00DC79C4"/>
    <w:rsid w:val="00DD0038"/>
    <w:rsid w:val="00DD07EE"/>
    <w:rsid w:val="00DD0CA1"/>
    <w:rsid w:val="00DD0D65"/>
    <w:rsid w:val="00DD255E"/>
    <w:rsid w:val="00DD28D9"/>
    <w:rsid w:val="00DD2FB8"/>
    <w:rsid w:val="00DD34DD"/>
    <w:rsid w:val="00DD357F"/>
    <w:rsid w:val="00DD3D5B"/>
    <w:rsid w:val="00DD4424"/>
    <w:rsid w:val="00DD4F2E"/>
    <w:rsid w:val="00DD5A6C"/>
    <w:rsid w:val="00DD7474"/>
    <w:rsid w:val="00DD7482"/>
    <w:rsid w:val="00DD7567"/>
    <w:rsid w:val="00DE005F"/>
    <w:rsid w:val="00DE0187"/>
    <w:rsid w:val="00DE0F15"/>
    <w:rsid w:val="00DE19F7"/>
    <w:rsid w:val="00DE1FCB"/>
    <w:rsid w:val="00DE22A2"/>
    <w:rsid w:val="00DE2383"/>
    <w:rsid w:val="00DE24B4"/>
    <w:rsid w:val="00DE32C1"/>
    <w:rsid w:val="00DE32CE"/>
    <w:rsid w:val="00DE3758"/>
    <w:rsid w:val="00DE43C6"/>
    <w:rsid w:val="00DE4723"/>
    <w:rsid w:val="00DE5702"/>
    <w:rsid w:val="00DE5849"/>
    <w:rsid w:val="00DE64B3"/>
    <w:rsid w:val="00DE6D92"/>
    <w:rsid w:val="00DE76F2"/>
    <w:rsid w:val="00DE7E2A"/>
    <w:rsid w:val="00DF0272"/>
    <w:rsid w:val="00DF0440"/>
    <w:rsid w:val="00DF08B5"/>
    <w:rsid w:val="00DF14B5"/>
    <w:rsid w:val="00DF14BD"/>
    <w:rsid w:val="00DF15EB"/>
    <w:rsid w:val="00DF1956"/>
    <w:rsid w:val="00DF1E0A"/>
    <w:rsid w:val="00DF249C"/>
    <w:rsid w:val="00DF25AC"/>
    <w:rsid w:val="00DF26E7"/>
    <w:rsid w:val="00DF2A71"/>
    <w:rsid w:val="00DF2C06"/>
    <w:rsid w:val="00DF32AF"/>
    <w:rsid w:val="00DF36E9"/>
    <w:rsid w:val="00DF38C3"/>
    <w:rsid w:val="00DF38F6"/>
    <w:rsid w:val="00DF55C8"/>
    <w:rsid w:val="00DF5A33"/>
    <w:rsid w:val="00DF7308"/>
    <w:rsid w:val="00DF7F59"/>
    <w:rsid w:val="00E000C7"/>
    <w:rsid w:val="00E001DB"/>
    <w:rsid w:val="00E00330"/>
    <w:rsid w:val="00E00C0F"/>
    <w:rsid w:val="00E0109E"/>
    <w:rsid w:val="00E0289F"/>
    <w:rsid w:val="00E02DCE"/>
    <w:rsid w:val="00E02E33"/>
    <w:rsid w:val="00E034DD"/>
    <w:rsid w:val="00E03777"/>
    <w:rsid w:val="00E03860"/>
    <w:rsid w:val="00E03886"/>
    <w:rsid w:val="00E04905"/>
    <w:rsid w:val="00E04AB1"/>
    <w:rsid w:val="00E04C80"/>
    <w:rsid w:val="00E04E59"/>
    <w:rsid w:val="00E054A9"/>
    <w:rsid w:val="00E05D0E"/>
    <w:rsid w:val="00E073B8"/>
    <w:rsid w:val="00E07854"/>
    <w:rsid w:val="00E102B6"/>
    <w:rsid w:val="00E102D4"/>
    <w:rsid w:val="00E10A4A"/>
    <w:rsid w:val="00E111D3"/>
    <w:rsid w:val="00E113AD"/>
    <w:rsid w:val="00E1266E"/>
    <w:rsid w:val="00E12721"/>
    <w:rsid w:val="00E1283A"/>
    <w:rsid w:val="00E12ECF"/>
    <w:rsid w:val="00E12F0E"/>
    <w:rsid w:val="00E135DF"/>
    <w:rsid w:val="00E136E1"/>
    <w:rsid w:val="00E14571"/>
    <w:rsid w:val="00E14647"/>
    <w:rsid w:val="00E14759"/>
    <w:rsid w:val="00E159CB"/>
    <w:rsid w:val="00E15D9E"/>
    <w:rsid w:val="00E16EF0"/>
    <w:rsid w:val="00E17C22"/>
    <w:rsid w:val="00E20054"/>
    <w:rsid w:val="00E20450"/>
    <w:rsid w:val="00E20DB1"/>
    <w:rsid w:val="00E20EE2"/>
    <w:rsid w:val="00E20EF5"/>
    <w:rsid w:val="00E2135B"/>
    <w:rsid w:val="00E213CA"/>
    <w:rsid w:val="00E21B38"/>
    <w:rsid w:val="00E21D39"/>
    <w:rsid w:val="00E21EFC"/>
    <w:rsid w:val="00E220E1"/>
    <w:rsid w:val="00E22883"/>
    <w:rsid w:val="00E22B40"/>
    <w:rsid w:val="00E22BE3"/>
    <w:rsid w:val="00E22E98"/>
    <w:rsid w:val="00E22F02"/>
    <w:rsid w:val="00E236EF"/>
    <w:rsid w:val="00E23766"/>
    <w:rsid w:val="00E24136"/>
    <w:rsid w:val="00E24287"/>
    <w:rsid w:val="00E24BB9"/>
    <w:rsid w:val="00E24DE8"/>
    <w:rsid w:val="00E25262"/>
    <w:rsid w:val="00E25901"/>
    <w:rsid w:val="00E259CD"/>
    <w:rsid w:val="00E25ACD"/>
    <w:rsid w:val="00E26F71"/>
    <w:rsid w:val="00E271A0"/>
    <w:rsid w:val="00E3016C"/>
    <w:rsid w:val="00E302CB"/>
    <w:rsid w:val="00E306D7"/>
    <w:rsid w:val="00E30B22"/>
    <w:rsid w:val="00E3124B"/>
    <w:rsid w:val="00E313BC"/>
    <w:rsid w:val="00E31AA9"/>
    <w:rsid w:val="00E31C0E"/>
    <w:rsid w:val="00E32803"/>
    <w:rsid w:val="00E32933"/>
    <w:rsid w:val="00E32B5B"/>
    <w:rsid w:val="00E32FA2"/>
    <w:rsid w:val="00E333E1"/>
    <w:rsid w:val="00E33583"/>
    <w:rsid w:val="00E33B78"/>
    <w:rsid w:val="00E342B6"/>
    <w:rsid w:val="00E34F81"/>
    <w:rsid w:val="00E351A2"/>
    <w:rsid w:val="00E357A3"/>
    <w:rsid w:val="00E358A6"/>
    <w:rsid w:val="00E35B7E"/>
    <w:rsid w:val="00E35C04"/>
    <w:rsid w:val="00E3642D"/>
    <w:rsid w:val="00E36806"/>
    <w:rsid w:val="00E37152"/>
    <w:rsid w:val="00E37A18"/>
    <w:rsid w:val="00E37AD9"/>
    <w:rsid w:val="00E37BC3"/>
    <w:rsid w:val="00E37F05"/>
    <w:rsid w:val="00E40047"/>
    <w:rsid w:val="00E407CD"/>
    <w:rsid w:val="00E40935"/>
    <w:rsid w:val="00E4207B"/>
    <w:rsid w:val="00E424D6"/>
    <w:rsid w:val="00E42789"/>
    <w:rsid w:val="00E4282F"/>
    <w:rsid w:val="00E42A9C"/>
    <w:rsid w:val="00E42B96"/>
    <w:rsid w:val="00E43320"/>
    <w:rsid w:val="00E43BD6"/>
    <w:rsid w:val="00E440D1"/>
    <w:rsid w:val="00E442AB"/>
    <w:rsid w:val="00E44CE1"/>
    <w:rsid w:val="00E453D4"/>
    <w:rsid w:val="00E45F46"/>
    <w:rsid w:val="00E45FEB"/>
    <w:rsid w:val="00E46BA9"/>
    <w:rsid w:val="00E47D8C"/>
    <w:rsid w:val="00E50522"/>
    <w:rsid w:val="00E50EBC"/>
    <w:rsid w:val="00E51012"/>
    <w:rsid w:val="00E51C59"/>
    <w:rsid w:val="00E52284"/>
    <w:rsid w:val="00E523B7"/>
    <w:rsid w:val="00E52C88"/>
    <w:rsid w:val="00E530A7"/>
    <w:rsid w:val="00E53377"/>
    <w:rsid w:val="00E5472B"/>
    <w:rsid w:val="00E54F25"/>
    <w:rsid w:val="00E55A8A"/>
    <w:rsid w:val="00E56294"/>
    <w:rsid w:val="00E57113"/>
    <w:rsid w:val="00E57BDD"/>
    <w:rsid w:val="00E616CC"/>
    <w:rsid w:val="00E623DD"/>
    <w:rsid w:val="00E63A96"/>
    <w:rsid w:val="00E6403F"/>
    <w:rsid w:val="00E6442B"/>
    <w:rsid w:val="00E64513"/>
    <w:rsid w:val="00E6458B"/>
    <w:rsid w:val="00E64F62"/>
    <w:rsid w:val="00E650E7"/>
    <w:rsid w:val="00E65936"/>
    <w:rsid w:val="00E661D3"/>
    <w:rsid w:val="00E66407"/>
    <w:rsid w:val="00E6649C"/>
    <w:rsid w:val="00E66AFB"/>
    <w:rsid w:val="00E66C46"/>
    <w:rsid w:val="00E6717D"/>
    <w:rsid w:val="00E67F62"/>
    <w:rsid w:val="00E70086"/>
    <w:rsid w:val="00E7086B"/>
    <w:rsid w:val="00E7088B"/>
    <w:rsid w:val="00E7098E"/>
    <w:rsid w:val="00E70C74"/>
    <w:rsid w:val="00E70CB6"/>
    <w:rsid w:val="00E70D3E"/>
    <w:rsid w:val="00E70DE3"/>
    <w:rsid w:val="00E711B9"/>
    <w:rsid w:val="00E712A0"/>
    <w:rsid w:val="00E722F9"/>
    <w:rsid w:val="00E7271A"/>
    <w:rsid w:val="00E728C9"/>
    <w:rsid w:val="00E72E55"/>
    <w:rsid w:val="00E72EAC"/>
    <w:rsid w:val="00E735CE"/>
    <w:rsid w:val="00E73787"/>
    <w:rsid w:val="00E73D50"/>
    <w:rsid w:val="00E73E23"/>
    <w:rsid w:val="00E74305"/>
    <w:rsid w:val="00E74B09"/>
    <w:rsid w:val="00E74C7C"/>
    <w:rsid w:val="00E74E90"/>
    <w:rsid w:val="00E75099"/>
    <w:rsid w:val="00E75179"/>
    <w:rsid w:val="00E756B7"/>
    <w:rsid w:val="00E75817"/>
    <w:rsid w:val="00E75841"/>
    <w:rsid w:val="00E75DFA"/>
    <w:rsid w:val="00E7677D"/>
    <w:rsid w:val="00E76B95"/>
    <w:rsid w:val="00E76E4D"/>
    <w:rsid w:val="00E76F7A"/>
    <w:rsid w:val="00E77968"/>
    <w:rsid w:val="00E77E8A"/>
    <w:rsid w:val="00E77EB5"/>
    <w:rsid w:val="00E801BB"/>
    <w:rsid w:val="00E808C8"/>
    <w:rsid w:val="00E80C93"/>
    <w:rsid w:val="00E80EBB"/>
    <w:rsid w:val="00E81AD0"/>
    <w:rsid w:val="00E82032"/>
    <w:rsid w:val="00E82577"/>
    <w:rsid w:val="00E8274B"/>
    <w:rsid w:val="00E8382C"/>
    <w:rsid w:val="00E838D0"/>
    <w:rsid w:val="00E843B6"/>
    <w:rsid w:val="00E845B7"/>
    <w:rsid w:val="00E84CFC"/>
    <w:rsid w:val="00E85AAA"/>
    <w:rsid w:val="00E8655F"/>
    <w:rsid w:val="00E86866"/>
    <w:rsid w:val="00E87143"/>
    <w:rsid w:val="00E905F1"/>
    <w:rsid w:val="00E90921"/>
    <w:rsid w:val="00E909D9"/>
    <w:rsid w:val="00E915B6"/>
    <w:rsid w:val="00E91F57"/>
    <w:rsid w:val="00E92212"/>
    <w:rsid w:val="00E92512"/>
    <w:rsid w:val="00E926DF"/>
    <w:rsid w:val="00E92994"/>
    <w:rsid w:val="00E92BE5"/>
    <w:rsid w:val="00E935E9"/>
    <w:rsid w:val="00E94363"/>
    <w:rsid w:val="00E94B9E"/>
    <w:rsid w:val="00E95B23"/>
    <w:rsid w:val="00E95BC5"/>
    <w:rsid w:val="00E9624D"/>
    <w:rsid w:val="00E96859"/>
    <w:rsid w:val="00E97172"/>
    <w:rsid w:val="00E97524"/>
    <w:rsid w:val="00E97D92"/>
    <w:rsid w:val="00EA0094"/>
    <w:rsid w:val="00EA021A"/>
    <w:rsid w:val="00EA09A9"/>
    <w:rsid w:val="00EA0B88"/>
    <w:rsid w:val="00EA0E98"/>
    <w:rsid w:val="00EA0F56"/>
    <w:rsid w:val="00EA10EB"/>
    <w:rsid w:val="00EA1C61"/>
    <w:rsid w:val="00EA1C82"/>
    <w:rsid w:val="00EA2A6E"/>
    <w:rsid w:val="00EA4D53"/>
    <w:rsid w:val="00EA4FA6"/>
    <w:rsid w:val="00EA4FB6"/>
    <w:rsid w:val="00EA573D"/>
    <w:rsid w:val="00EA5869"/>
    <w:rsid w:val="00EA5CB0"/>
    <w:rsid w:val="00EA684F"/>
    <w:rsid w:val="00EA6C5D"/>
    <w:rsid w:val="00EA70CC"/>
    <w:rsid w:val="00EA73CA"/>
    <w:rsid w:val="00EA7A27"/>
    <w:rsid w:val="00EA7F28"/>
    <w:rsid w:val="00EA7F37"/>
    <w:rsid w:val="00EB05A0"/>
    <w:rsid w:val="00EB0E48"/>
    <w:rsid w:val="00EB140C"/>
    <w:rsid w:val="00EB1814"/>
    <w:rsid w:val="00EB1A86"/>
    <w:rsid w:val="00EB2B4A"/>
    <w:rsid w:val="00EB2C6F"/>
    <w:rsid w:val="00EB2E2E"/>
    <w:rsid w:val="00EB30CB"/>
    <w:rsid w:val="00EB336F"/>
    <w:rsid w:val="00EB3667"/>
    <w:rsid w:val="00EB3A3B"/>
    <w:rsid w:val="00EB3A9D"/>
    <w:rsid w:val="00EB3BDA"/>
    <w:rsid w:val="00EB4244"/>
    <w:rsid w:val="00EB440B"/>
    <w:rsid w:val="00EB46F6"/>
    <w:rsid w:val="00EB5691"/>
    <w:rsid w:val="00EB6571"/>
    <w:rsid w:val="00EB790D"/>
    <w:rsid w:val="00EC0AEF"/>
    <w:rsid w:val="00EC0B8B"/>
    <w:rsid w:val="00EC0EA7"/>
    <w:rsid w:val="00EC0F87"/>
    <w:rsid w:val="00EC126F"/>
    <w:rsid w:val="00EC13A2"/>
    <w:rsid w:val="00EC1950"/>
    <w:rsid w:val="00EC239E"/>
    <w:rsid w:val="00EC29CA"/>
    <w:rsid w:val="00EC2D9A"/>
    <w:rsid w:val="00EC2DE6"/>
    <w:rsid w:val="00EC2F3F"/>
    <w:rsid w:val="00EC3062"/>
    <w:rsid w:val="00EC3111"/>
    <w:rsid w:val="00EC37CA"/>
    <w:rsid w:val="00EC4897"/>
    <w:rsid w:val="00EC5EE4"/>
    <w:rsid w:val="00EC5EF5"/>
    <w:rsid w:val="00EC6B15"/>
    <w:rsid w:val="00EC6B48"/>
    <w:rsid w:val="00EC71A6"/>
    <w:rsid w:val="00EC7702"/>
    <w:rsid w:val="00ED0497"/>
    <w:rsid w:val="00ED0EBA"/>
    <w:rsid w:val="00ED150E"/>
    <w:rsid w:val="00ED16FE"/>
    <w:rsid w:val="00ED1DCC"/>
    <w:rsid w:val="00ED1EAD"/>
    <w:rsid w:val="00ED26D9"/>
    <w:rsid w:val="00ED2BA5"/>
    <w:rsid w:val="00ED377F"/>
    <w:rsid w:val="00ED3C98"/>
    <w:rsid w:val="00ED3CC4"/>
    <w:rsid w:val="00ED458B"/>
    <w:rsid w:val="00ED47C6"/>
    <w:rsid w:val="00ED49F3"/>
    <w:rsid w:val="00ED5830"/>
    <w:rsid w:val="00ED687A"/>
    <w:rsid w:val="00ED6D52"/>
    <w:rsid w:val="00ED6D79"/>
    <w:rsid w:val="00EE0409"/>
    <w:rsid w:val="00EE0ABF"/>
    <w:rsid w:val="00EE0E09"/>
    <w:rsid w:val="00EE11C3"/>
    <w:rsid w:val="00EE20DC"/>
    <w:rsid w:val="00EE26AD"/>
    <w:rsid w:val="00EE2D3D"/>
    <w:rsid w:val="00EE3457"/>
    <w:rsid w:val="00EE3A3B"/>
    <w:rsid w:val="00EE3B49"/>
    <w:rsid w:val="00EE3F28"/>
    <w:rsid w:val="00EE4D3E"/>
    <w:rsid w:val="00EE4E03"/>
    <w:rsid w:val="00EE5414"/>
    <w:rsid w:val="00EE544F"/>
    <w:rsid w:val="00EE59D9"/>
    <w:rsid w:val="00EE5D46"/>
    <w:rsid w:val="00EE6286"/>
    <w:rsid w:val="00EE6764"/>
    <w:rsid w:val="00EE6E81"/>
    <w:rsid w:val="00EE72A0"/>
    <w:rsid w:val="00EE758F"/>
    <w:rsid w:val="00EF0088"/>
    <w:rsid w:val="00EF0768"/>
    <w:rsid w:val="00EF0AA0"/>
    <w:rsid w:val="00EF0E2A"/>
    <w:rsid w:val="00EF0FA9"/>
    <w:rsid w:val="00EF0FE0"/>
    <w:rsid w:val="00EF1115"/>
    <w:rsid w:val="00EF12BB"/>
    <w:rsid w:val="00EF1D89"/>
    <w:rsid w:val="00EF3966"/>
    <w:rsid w:val="00EF3D3B"/>
    <w:rsid w:val="00EF4807"/>
    <w:rsid w:val="00EF49A2"/>
    <w:rsid w:val="00EF4BF7"/>
    <w:rsid w:val="00EF550B"/>
    <w:rsid w:val="00EF5FD6"/>
    <w:rsid w:val="00EF6082"/>
    <w:rsid w:val="00EF74CA"/>
    <w:rsid w:val="00EF7B61"/>
    <w:rsid w:val="00EF7CDB"/>
    <w:rsid w:val="00F005BF"/>
    <w:rsid w:val="00F007D9"/>
    <w:rsid w:val="00F0088C"/>
    <w:rsid w:val="00F00E5E"/>
    <w:rsid w:val="00F01600"/>
    <w:rsid w:val="00F02419"/>
    <w:rsid w:val="00F02441"/>
    <w:rsid w:val="00F02E1F"/>
    <w:rsid w:val="00F030C3"/>
    <w:rsid w:val="00F03FA1"/>
    <w:rsid w:val="00F04634"/>
    <w:rsid w:val="00F04964"/>
    <w:rsid w:val="00F04D61"/>
    <w:rsid w:val="00F0544B"/>
    <w:rsid w:val="00F05A1E"/>
    <w:rsid w:val="00F063D8"/>
    <w:rsid w:val="00F064F9"/>
    <w:rsid w:val="00F06A12"/>
    <w:rsid w:val="00F06A5F"/>
    <w:rsid w:val="00F07105"/>
    <w:rsid w:val="00F0716B"/>
    <w:rsid w:val="00F0745E"/>
    <w:rsid w:val="00F07515"/>
    <w:rsid w:val="00F0754B"/>
    <w:rsid w:val="00F07723"/>
    <w:rsid w:val="00F0784B"/>
    <w:rsid w:val="00F10ABB"/>
    <w:rsid w:val="00F10D93"/>
    <w:rsid w:val="00F11E2A"/>
    <w:rsid w:val="00F1261D"/>
    <w:rsid w:val="00F12A06"/>
    <w:rsid w:val="00F12B94"/>
    <w:rsid w:val="00F13936"/>
    <w:rsid w:val="00F13B98"/>
    <w:rsid w:val="00F1408F"/>
    <w:rsid w:val="00F1416F"/>
    <w:rsid w:val="00F1566D"/>
    <w:rsid w:val="00F1583F"/>
    <w:rsid w:val="00F15D47"/>
    <w:rsid w:val="00F15D6C"/>
    <w:rsid w:val="00F15E2F"/>
    <w:rsid w:val="00F16D67"/>
    <w:rsid w:val="00F174ED"/>
    <w:rsid w:val="00F177B9"/>
    <w:rsid w:val="00F17D7D"/>
    <w:rsid w:val="00F2033E"/>
    <w:rsid w:val="00F208C8"/>
    <w:rsid w:val="00F21315"/>
    <w:rsid w:val="00F215A6"/>
    <w:rsid w:val="00F21703"/>
    <w:rsid w:val="00F21BED"/>
    <w:rsid w:val="00F21D02"/>
    <w:rsid w:val="00F22286"/>
    <w:rsid w:val="00F2228D"/>
    <w:rsid w:val="00F22F6C"/>
    <w:rsid w:val="00F23004"/>
    <w:rsid w:val="00F232A0"/>
    <w:rsid w:val="00F23339"/>
    <w:rsid w:val="00F23726"/>
    <w:rsid w:val="00F24613"/>
    <w:rsid w:val="00F246BD"/>
    <w:rsid w:val="00F24BF4"/>
    <w:rsid w:val="00F250B5"/>
    <w:rsid w:val="00F2568B"/>
    <w:rsid w:val="00F25861"/>
    <w:rsid w:val="00F25866"/>
    <w:rsid w:val="00F25A2F"/>
    <w:rsid w:val="00F263A9"/>
    <w:rsid w:val="00F2679D"/>
    <w:rsid w:val="00F269E5"/>
    <w:rsid w:val="00F27789"/>
    <w:rsid w:val="00F27827"/>
    <w:rsid w:val="00F27867"/>
    <w:rsid w:val="00F307AD"/>
    <w:rsid w:val="00F3104B"/>
    <w:rsid w:val="00F31068"/>
    <w:rsid w:val="00F3147A"/>
    <w:rsid w:val="00F32026"/>
    <w:rsid w:val="00F323F5"/>
    <w:rsid w:val="00F328B3"/>
    <w:rsid w:val="00F32E75"/>
    <w:rsid w:val="00F335C1"/>
    <w:rsid w:val="00F3372C"/>
    <w:rsid w:val="00F34003"/>
    <w:rsid w:val="00F340B5"/>
    <w:rsid w:val="00F34373"/>
    <w:rsid w:val="00F34AA4"/>
    <w:rsid w:val="00F34F38"/>
    <w:rsid w:val="00F3500D"/>
    <w:rsid w:val="00F3520D"/>
    <w:rsid w:val="00F359F2"/>
    <w:rsid w:val="00F35C6C"/>
    <w:rsid w:val="00F36099"/>
    <w:rsid w:val="00F365EC"/>
    <w:rsid w:val="00F3672F"/>
    <w:rsid w:val="00F378D5"/>
    <w:rsid w:val="00F37C8A"/>
    <w:rsid w:val="00F37FBB"/>
    <w:rsid w:val="00F4002E"/>
    <w:rsid w:val="00F408D1"/>
    <w:rsid w:val="00F41111"/>
    <w:rsid w:val="00F417BD"/>
    <w:rsid w:val="00F42829"/>
    <w:rsid w:val="00F42FC0"/>
    <w:rsid w:val="00F43162"/>
    <w:rsid w:val="00F45964"/>
    <w:rsid w:val="00F45DF9"/>
    <w:rsid w:val="00F463B9"/>
    <w:rsid w:val="00F46978"/>
    <w:rsid w:val="00F46D90"/>
    <w:rsid w:val="00F47859"/>
    <w:rsid w:val="00F47F84"/>
    <w:rsid w:val="00F504AC"/>
    <w:rsid w:val="00F50546"/>
    <w:rsid w:val="00F50618"/>
    <w:rsid w:val="00F50C11"/>
    <w:rsid w:val="00F510B1"/>
    <w:rsid w:val="00F5211D"/>
    <w:rsid w:val="00F524A9"/>
    <w:rsid w:val="00F526A6"/>
    <w:rsid w:val="00F5277B"/>
    <w:rsid w:val="00F52D2B"/>
    <w:rsid w:val="00F52D43"/>
    <w:rsid w:val="00F52F42"/>
    <w:rsid w:val="00F536C2"/>
    <w:rsid w:val="00F53B6A"/>
    <w:rsid w:val="00F541FA"/>
    <w:rsid w:val="00F5521D"/>
    <w:rsid w:val="00F55C5E"/>
    <w:rsid w:val="00F55F7F"/>
    <w:rsid w:val="00F5620D"/>
    <w:rsid w:val="00F562D7"/>
    <w:rsid w:val="00F56443"/>
    <w:rsid w:val="00F565F0"/>
    <w:rsid w:val="00F56E03"/>
    <w:rsid w:val="00F573B2"/>
    <w:rsid w:val="00F57555"/>
    <w:rsid w:val="00F57A02"/>
    <w:rsid w:val="00F609CD"/>
    <w:rsid w:val="00F60B9C"/>
    <w:rsid w:val="00F60E5B"/>
    <w:rsid w:val="00F6162E"/>
    <w:rsid w:val="00F61A34"/>
    <w:rsid w:val="00F61D73"/>
    <w:rsid w:val="00F6257C"/>
    <w:rsid w:val="00F62873"/>
    <w:rsid w:val="00F62BE2"/>
    <w:rsid w:val="00F64968"/>
    <w:rsid w:val="00F64CC2"/>
    <w:rsid w:val="00F64F01"/>
    <w:rsid w:val="00F6557B"/>
    <w:rsid w:val="00F6572B"/>
    <w:rsid w:val="00F659B3"/>
    <w:rsid w:val="00F6605E"/>
    <w:rsid w:val="00F66327"/>
    <w:rsid w:val="00F66A28"/>
    <w:rsid w:val="00F66C74"/>
    <w:rsid w:val="00F66ED0"/>
    <w:rsid w:val="00F67562"/>
    <w:rsid w:val="00F67CCB"/>
    <w:rsid w:val="00F67D4C"/>
    <w:rsid w:val="00F70677"/>
    <w:rsid w:val="00F70ED6"/>
    <w:rsid w:val="00F7104A"/>
    <w:rsid w:val="00F71091"/>
    <w:rsid w:val="00F71690"/>
    <w:rsid w:val="00F71A89"/>
    <w:rsid w:val="00F72794"/>
    <w:rsid w:val="00F72D10"/>
    <w:rsid w:val="00F7322A"/>
    <w:rsid w:val="00F73952"/>
    <w:rsid w:val="00F7449D"/>
    <w:rsid w:val="00F74D4A"/>
    <w:rsid w:val="00F75638"/>
    <w:rsid w:val="00F75E92"/>
    <w:rsid w:val="00F75F54"/>
    <w:rsid w:val="00F80790"/>
    <w:rsid w:val="00F80DFE"/>
    <w:rsid w:val="00F81978"/>
    <w:rsid w:val="00F81E77"/>
    <w:rsid w:val="00F82DB5"/>
    <w:rsid w:val="00F8306A"/>
    <w:rsid w:val="00F830E2"/>
    <w:rsid w:val="00F83404"/>
    <w:rsid w:val="00F8402F"/>
    <w:rsid w:val="00F84037"/>
    <w:rsid w:val="00F84100"/>
    <w:rsid w:val="00F85278"/>
    <w:rsid w:val="00F85E33"/>
    <w:rsid w:val="00F85E6F"/>
    <w:rsid w:val="00F86205"/>
    <w:rsid w:val="00F877AC"/>
    <w:rsid w:val="00F879EA"/>
    <w:rsid w:val="00F908DF"/>
    <w:rsid w:val="00F909F2"/>
    <w:rsid w:val="00F90B4A"/>
    <w:rsid w:val="00F91657"/>
    <w:rsid w:val="00F9177F"/>
    <w:rsid w:val="00F919F2"/>
    <w:rsid w:val="00F9225B"/>
    <w:rsid w:val="00F92AFF"/>
    <w:rsid w:val="00F93025"/>
    <w:rsid w:val="00F9308E"/>
    <w:rsid w:val="00F9354C"/>
    <w:rsid w:val="00F93766"/>
    <w:rsid w:val="00F94536"/>
    <w:rsid w:val="00F94A55"/>
    <w:rsid w:val="00F94E3B"/>
    <w:rsid w:val="00F94FEB"/>
    <w:rsid w:val="00F95253"/>
    <w:rsid w:val="00F970F2"/>
    <w:rsid w:val="00FA0415"/>
    <w:rsid w:val="00FA042D"/>
    <w:rsid w:val="00FA04E2"/>
    <w:rsid w:val="00FA0575"/>
    <w:rsid w:val="00FA0695"/>
    <w:rsid w:val="00FA0B95"/>
    <w:rsid w:val="00FA0E5A"/>
    <w:rsid w:val="00FA1C3E"/>
    <w:rsid w:val="00FA1F50"/>
    <w:rsid w:val="00FA26F9"/>
    <w:rsid w:val="00FA301B"/>
    <w:rsid w:val="00FA3268"/>
    <w:rsid w:val="00FA33AE"/>
    <w:rsid w:val="00FA3C6A"/>
    <w:rsid w:val="00FA3E6E"/>
    <w:rsid w:val="00FA4349"/>
    <w:rsid w:val="00FA4A6E"/>
    <w:rsid w:val="00FA57EE"/>
    <w:rsid w:val="00FA5D92"/>
    <w:rsid w:val="00FA5F36"/>
    <w:rsid w:val="00FA5F7A"/>
    <w:rsid w:val="00FA6BC2"/>
    <w:rsid w:val="00FA6C7B"/>
    <w:rsid w:val="00FA6F04"/>
    <w:rsid w:val="00FA7AC6"/>
    <w:rsid w:val="00FA7AF4"/>
    <w:rsid w:val="00FA7E81"/>
    <w:rsid w:val="00FB0023"/>
    <w:rsid w:val="00FB0CD3"/>
    <w:rsid w:val="00FB1A0B"/>
    <w:rsid w:val="00FB28E1"/>
    <w:rsid w:val="00FB2C0B"/>
    <w:rsid w:val="00FB362F"/>
    <w:rsid w:val="00FB38FA"/>
    <w:rsid w:val="00FB3976"/>
    <w:rsid w:val="00FB40A6"/>
    <w:rsid w:val="00FB4167"/>
    <w:rsid w:val="00FB4CAD"/>
    <w:rsid w:val="00FB55D3"/>
    <w:rsid w:val="00FB577A"/>
    <w:rsid w:val="00FB59DC"/>
    <w:rsid w:val="00FB5F97"/>
    <w:rsid w:val="00FB61F3"/>
    <w:rsid w:val="00FB6366"/>
    <w:rsid w:val="00FB6637"/>
    <w:rsid w:val="00FB66EE"/>
    <w:rsid w:val="00FB6D69"/>
    <w:rsid w:val="00FB7254"/>
    <w:rsid w:val="00FB7CE3"/>
    <w:rsid w:val="00FB7D5B"/>
    <w:rsid w:val="00FB7FD9"/>
    <w:rsid w:val="00FC025F"/>
    <w:rsid w:val="00FC0942"/>
    <w:rsid w:val="00FC0985"/>
    <w:rsid w:val="00FC1308"/>
    <w:rsid w:val="00FC154C"/>
    <w:rsid w:val="00FC16CA"/>
    <w:rsid w:val="00FC1C0A"/>
    <w:rsid w:val="00FC1E9B"/>
    <w:rsid w:val="00FC1FB1"/>
    <w:rsid w:val="00FC2AF6"/>
    <w:rsid w:val="00FC2D44"/>
    <w:rsid w:val="00FC2E11"/>
    <w:rsid w:val="00FC37EE"/>
    <w:rsid w:val="00FC4291"/>
    <w:rsid w:val="00FC44B1"/>
    <w:rsid w:val="00FC4656"/>
    <w:rsid w:val="00FC4C38"/>
    <w:rsid w:val="00FC4E1A"/>
    <w:rsid w:val="00FC536A"/>
    <w:rsid w:val="00FC6BC7"/>
    <w:rsid w:val="00FC77C6"/>
    <w:rsid w:val="00FC7CA3"/>
    <w:rsid w:val="00FD0052"/>
    <w:rsid w:val="00FD0406"/>
    <w:rsid w:val="00FD06A7"/>
    <w:rsid w:val="00FD0893"/>
    <w:rsid w:val="00FD1C58"/>
    <w:rsid w:val="00FD1E17"/>
    <w:rsid w:val="00FD1E85"/>
    <w:rsid w:val="00FD1F5F"/>
    <w:rsid w:val="00FD2028"/>
    <w:rsid w:val="00FD3129"/>
    <w:rsid w:val="00FD3D7A"/>
    <w:rsid w:val="00FD3FE1"/>
    <w:rsid w:val="00FD43B8"/>
    <w:rsid w:val="00FD46E8"/>
    <w:rsid w:val="00FD52A0"/>
    <w:rsid w:val="00FD58E7"/>
    <w:rsid w:val="00FD68DD"/>
    <w:rsid w:val="00FD7643"/>
    <w:rsid w:val="00FD76F6"/>
    <w:rsid w:val="00FE0213"/>
    <w:rsid w:val="00FE0389"/>
    <w:rsid w:val="00FE08B5"/>
    <w:rsid w:val="00FE0C35"/>
    <w:rsid w:val="00FE124F"/>
    <w:rsid w:val="00FE1377"/>
    <w:rsid w:val="00FE1CF6"/>
    <w:rsid w:val="00FE1F88"/>
    <w:rsid w:val="00FE28B8"/>
    <w:rsid w:val="00FE2A37"/>
    <w:rsid w:val="00FE3844"/>
    <w:rsid w:val="00FE46F1"/>
    <w:rsid w:val="00FE5187"/>
    <w:rsid w:val="00FE565D"/>
    <w:rsid w:val="00FE5665"/>
    <w:rsid w:val="00FE5A1E"/>
    <w:rsid w:val="00FE72FC"/>
    <w:rsid w:val="00FF06E8"/>
    <w:rsid w:val="00FF137C"/>
    <w:rsid w:val="00FF199F"/>
    <w:rsid w:val="00FF23B3"/>
    <w:rsid w:val="00FF2559"/>
    <w:rsid w:val="00FF27E1"/>
    <w:rsid w:val="00FF2D01"/>
    <w:rsid w:val="00FF33D7"/>
    <w:rsid w:val="00FF5EDE"/>
    <w:rsid w:val="00FF6B77"/>
    <w:rsid w:val="00FF7D02"/>
    <w:rsid w:val="01944413"/>
    <w:rsid w:val="01FF68E7"/>
    <w:rsid w:val="0204F471"/>
    <w:rsid w:val="0233B55A"/>
    <w:rsid w:val="026AD5E1"/>
    <w:rsid w:val="029E74A1"/>
    <w:rsid w:val="02D5C568"/>
    <w:rsid w:val="02EDAE2F"/>
    <w:rsid w:val="035DAE1B"/>
    <w:rsid w:val="039D21A4"/>
    <w:rsid w:val="04FEE6C5"/>
    <w:rsid w:val="0512B81D"/>
    <w:rsid w:val="0570454C"/>
    <w:rsid w:val="05CBEE4C"/>
    <w:rsid w:val="05E4DBD5"/>
    <w:rsid w:val="05E58172"/>
    <w:rsid w:val="05F734BE"/>
    <w:rsid w:val="069ADDCD"/>
    <w:rsid w:val="06D9893A"/>
    <w:rsid w:val="071E4BE4"/>
    <w:rsid w:val="07B1F580"/>
    <w:rsid w:val="081318E5"/>
    <w:rsid w:val="0864D8D0"/>
    <w:rsid w:val="0879408D"/>
    <w:rsid w:val="08A275EF"/>
    <w:rsid w:val="0984387A"/>
    <w:rsid w:val="09BDABAD"/>
    <w:rsid w:val="0A279FE4"/>
    <w:rsid w:val="0A27EE3D"/>
    <w:rsid w:val="0A4E6328"/>
    <w:rsid w:val="0A77C9D8"/>
    <w:rsid w:val="0A8412D9"/>
    <w:rsid w:val="0AF95E56"/>
    <w:rsid w:val="0B5E5C2C"/>
    <w:rsid w:val="0BD17417"/>
    <w:rsid w:val="0C2AF3BE"/>
    <w:rsid w:val="0C4DD4AC"/>
    <w:rsid w:val="0C5CC5A2"/>
    <w:rsid w:val="0CA792C3"/>
    <w:rsid w:val="0CC2351D"/>
    <w:rsid w:val="0CC38AFE"/>
    <w:rsid w:val="0D6E346D"/>
    <w:rsid w:val="0D8180B4"/>
    <w:rsid w:val="0DE02648"/>
    <w:rsid w:val="0E25259B"/>
    <w:rsid w:val="0E2F47B7"/>
    <w:rsid w:val="0E462CEC"/>
    <w:rsid w:val="0FD5138B"/>
    <w:rsid w:val="10702C9B"/>
    <w:rsid w:val="1071A86D"/>
    <w:rsid w:val="111FC1F8"/>
    <w:rsid w:val="11651B81"/>
    <w:rsid w:val="116A92D7"/>
    <w:rsid w:val="12436725"/>
    <w:rsid w:val="134CEE99"/>
    <w:rsid w:val="134DF9C5"/>
    <w:rsid w:val="13714645"/>
    <w:rsid w:val="1465A0F4"/>
    <w:rsid w:val="1514CC2B"/>
    <w:rsid w:val="1580BFE8"/>
    <w:rsid w:val="1726CEAB"/>
    <w:rsid w:val="176ED890"/>
    <w:rsid w:val="18595DF9"/>
    <w:rsid w:val="189D8BA8"/>
    <w:rsid w:val="18EE5BE7"/>
    <w:rsid w:val="19A53101"/>
    <w:rsid w:val="1A2ED7C7"/>
    <w:rsid w:val="1AC8D879"/>
    <w:rsid w:val="1BD56931"/>
    <w:rsid w:val="1D3BFFDB"/>
    <w:rsid w:val="1D70346F"/>
    <w:rsid w:val="1E12FE66"/>
    <w:rsid w:val="1EE6A1CE"/>
    <w:rsid w:val="1F03F65E"/>
    <w:rsid w:val="1FA45C5C"/>
    <w:rsid w:val="1FFCBDC7"/>
    <w:rsid w:val="221031C7"/>
    <w:rsid w:val="2292AF0D"/>
    <w:rsid w:val="230CB833"/>
    <w:rsid w:val="23282064"/>
    <w:rsid w:val="238655C1"/>
    <w:rsid w:val="23B75602"/>
    <w:rsid w:val="23EC1FD1"/>
    <w:rsid w:val="242BBDB2"/>
    <w:rsid w:val="25F89C55"/>
    <w:rsid w:val="2609642B"/>
    <w:rsid w:val="27BF21F7"/>
    <w:rsid w:val="27C50182"/>
    <w:rsid w:val="2830EF46"/>
    <w:rsid w:val="283583C3"/>
    <w:rsid w:val="28C285EF"/>
    <w:rsid w:val="29872C45"/>
    <w:rsid w:val="2B73E472"/>
    <w:rsid w:val="2BC7FD3F"/>
    <w:rsid w:val="2BEE1EE3"/>
    <w:rsid w:val="2C07A81B"/>
    <w:rsid w:val="2C22A31A"/>
    <w:rsid w:val="2C2F7DAB"/>
    <w:rsid w:val="2C9BCE42"/>
    <w:rsid w:val="2CBAC81F"/>
    <w:rsid w:val="2D7FC36C"/>
    <w:rsid w:val="2E19D523"/>
    <w:rsid w:val="2E1D543E"/>
    <w:rsid w:val="2EF52B9C"/>
    <w:rsid w:val="2F45D1EE"/>
    <w:rsid w:val="2FC31291"/>
    <w:rsid w:val="2FF5FBD5"/>
    <w:rsid w:val="2FF6E1BF"/>
    <w:rsid w:val="30206E24"/>
    <w:rsid w:val="304DDFB1"/>
    <w:rsid w:val="304E4D2D"/>
    <w:rsid w:val="30526D7A"/>
    <w:rsid w:val="306D9469"/>
    <w:rsid w:val="30DEF809"/>
    <w:rsid w:val="327B9765"/>
    <w:rsid w:val="329F1D14"/>
    <w:rsid w:val="32EF752A"/>
    <w:rsid w:val="33E64B5D"/>
    <w:rsid w:val="340A520B"/>
    <w:rsid w:val="34384FA3"/>
    <w:rsid w:val="345839B5"/>
    <w:rsid w:val="34B1D795"/>
    <w:rsid w:val="34BC1049"/>
    <w:rsid w:val="350B6CB8"/>
    <w:rsid w:val="358AB055"/>
    <w:rsid w:val="35DC5544"/>
    <w:rsid w:val="364C8C29"/>
    <w:rsid w:val="36B943C6"/>
    <w:rsid w:val="36F60404"/>
    <w:rsid w:val="378C5A3C"/>
    <w:rsid w:val="37AF1A57"/>
    <w:rsid w:val="38A12800"/>
    <w:rsid w:val="38FA7814"/>
    <w:rsid w:val="39438D5E"/>
    <w:rsid w:val="3ABE6C06"/>
    <w:rsid w:val="3B5788F8"/>
    <w:rsid w:val="3B7C9D9C"/>
    <w:rsid w:val="3B7CAB08"/>
    <w:rsid w:val="3BC9D56E"/>
    <w:rsid w:val="3BD461D7"/>
    <w:rsid w:val="3C9A3C60"/>
    <w:rsid w:val="3DAA95B5"/>
    <w:rsid w:val="3E8EBD7E"/>
    <w:rsid w:val="3EFF5740"/>
    <w:rsid w:val="3F2F0358"/>
    <w:rsid w:val="3F2FC6FE"/>
    <w:rsid w:val="3F94FAA8"/>
    <w:rsid w:val="3FAD4C05"/>
    <w:rsid w:val="40AB6188"/>
    <w:rsid w:val="41BF8AA7"/>
    <w:rsid w:val="41E97756"/>
    <w:rsid w:val="42005EA4"/>
    <w:rsid w:val="4228C768"/>
    <w:rsid w:val="42324B1A"/>
    <w:rsid w:val="425098C0"/>
    <w:rsid w:val="426039D8"/>
    <w:rsid w:val="42839430"/>
    <w:rsid w:val="43632A81"/>
    <w:rsid w:val="43C1CD74"/>
    <w:rsid w:val="43EF6926"/>
    <w:rsid w:val="4424D5E1"/>
    <w:rsid w:val="451E24D2"/>
    <w:rsid w:val="453B734B"/>
    <w:rsid w:val="4556CEC9"/>
    <w:rsid w:val="45655902"/>
    <w:rsid w:val="45823430"/>
    <w:rsid w:val="45B3E4B2"/>
    <w:rsid w:val="45C835D4"/>
    <w:rsid w:val="4619995A"/>
    <w:rsid w:val="462FDDDE"/>
    <w:rsid w:val="4692A2BD"/>
    <w:rsid w:val="46B73575"/>
    <w:rsid w:val="472B1856"/>
    <w:rsid w:val="4761B529"/>
    <w:rsid w:val="477A504C"/>
    <w:rsid w:val="47EAE95C"/>
    <w:rsid w:val="48995342"/>
    <w:rsid w:val="490A9EB8"/>
    <w:rsid w:val="49162BFA"/>
    <w:rsid w:val="4950C5BA"/>
    <w:rsid w:val="49B34E0A"/>
    <w:rsid w:val="4A8E87A2"/>
    <w:rsid w:val="4B6F2399"/>
    <w:rsid w:val="4BCFB678"/>
    <w:rsid w:val="4C0A603A"/>
    <w:rsid w:val="4C205702"/>
    <w:rsid w:val="4C472E57"/>
    <w:rsid w:val="4C98BB66"/>
    <w:rsid w:val="4D3A3933"/>
    <w:rsid w:val="4D585696"/>
    <w:rsid w:val="4DB48317"/>
    <w:rsid w:val="4DDCEDBE"/>
    <w:rsid w:val="4E33BC59"/>
    <w:rsid w:val="4E9D228C"/>
    <w:rsid w:val="50516DF9"/>
    <w:rsid w:val="505CDA8F"/>
    <w:rsid w:val="509C303C"/>
    <w:rsid w:val="50CE934F"/>
    <w:rsid w:val="513C1385"/>
    <w:rsid w:val="5182B5CB"/>
    <w:rsid w:val="51CC9A22"/>
    <w:rsid w:val="548CBCCE"/>
    <w:rsid w:val="54B88721"/>
    <w:rsid w:val="54C98722"/>
    <w:rsid w:val="5510897B"/>
    <w:rsid w:val="55B08EE0"/>
    <w:rsid w:val="55CC1DE5"/>
    <w:rsid w:val="569AF6D9"/>
    <w:rsid w:val="56E79177"/>
    <w:rsid w:val="56E7F5B8"/>
    <w:rsid w:val="56F86038"/>
    <w:rsid w:val="57E2771F"/>
    <w:rsid w:val="587DF784"/>
    <w:rsid w:val="58C475AE"/>
    <w:rsid w:val="58E7AD41"/>
    <w:rsid w:val="596B011A"/>
    <w:rsid w:val="59CCE309"/>
    <w:rsid w:val="5A206FDD"/>
    <w:rsid w:val="5A5629A1"/>
    <w:rsid w:val="5AF6F187"/>
    <w:rsid w:val="5C786D40"/>
    <w:rsid w:val="5CBEB283"/>
    <w:rsid w:val="5D055413"/>
    <w:rsid w:val="5D0DAD34"/>
    <w:rsid w:val="5D1E3A30"/>
    <w:rsid w:val="5D4F9DF4"/>
    <w:rsid w:val="5D7D1BE9"/>
    <w:rsid w:val="5E7E0AE5"/>
    <w:rsid w:val="5FEE76A4"/>
    <w:rsid w:val="600180FB"/>
    <w:rsid w:val="601EEB4C"/>
    <w:rsid w:val="6084C63F"/>
    <w:rsid w:val="613CB74F"/>
    <w:rsid w:val="63C79C10"/>
    <w:rsid w:val="63F4349A"/>
    <w:rsid w:val="6502B249"/>
    <w:rsid w:val="65189975"/>
    <w:rsid w:val="6541E734"/>
    <w:rsid w:val="65A91EDC"/>
    <w:rsid w:val="65D0B672"/>
    <w:rsid w:val="663BA552"/>
    <w:rsid w:val="66624460"/>
    <w:rsid w:val="6761829D"/>
    <w:rsid w:val="67E95DBF"/>
    <w:rsid w:val="685EC1E0"/>
    <w:rsid w:val="6953253B"/>
    <w:rsid w:val="6A4F95B6"/>
    <w:rsid w:val="6AA3E0EE"/>
    <w:rsid w:val="6AA82B51"/>
    <w:rsid w:val="6AB2A7F1"/>
    <w:rsid w:val="6B0D0366"/>
    <w:rsid w:val="6B5D3F99"/>
    <w:rsid w:val="6B7F1AA1"/>
    <w:rsid w:val="6C2133CD"/>
    <w:rsid w:val="6C3F4B74"/>
    <w:rsid w:val="6C78AB14"/>
    <w:rsid w:val="6CC581F7"/>
    <w:rsid w:val="6D66D27E"/>
    <w:rsid w:val="6DF4A361"/>
    <w:rsid w:val="6E045C3F"/>
    <w:rsid w:val="6E36BAF8"/>
    <w:rsid w:val="6E6E5908"/>
    <w:rsid w:val="6FEAAEEE"/>
    <w:rsid w:val="701655BD"/>
    <w:rsid w:val="708E5F45"/>
    <w:rsid w:val="70E0ED1A"/>
    <w:rsid w:val="7165626A"/>
    <w:rsid w:val="716B2869"/>
    <w:rsid w:val="71F363EA"/>
    <w:rsid w:val="7246C197"/>
    <w:rsid w:val="72BE76D0"/>
    <w:rsid w:val="732733BD"/>
    <w:rsid w:val="734509FF"/>
    <w:rsid w:val="735C1339"/>
    <w:rsid w:val="73652139"/>
    <w:rsid w:val="7384A63F"/>
    <w:rsid w:val="742C9498"/>
    <w:rsid w:val="743D8DBA"/>
    <w:rsid w:val="74F2F54B"/>
    <w:rsid w:val="75BB6FCE"/>
    <w:rsid w:val="75DB3068"/>
    <w:rsid w:val="75FCD9FF"/>
    <w:rsid w:val="766286F2"/>
    <w:rsid w:val="766D5732"/>
    <w:rsid w:val="76846BDB"/>
    <w:rsid w:val="7698418E"/>
    <w:rsid w:val="76A2FD79"/>
    <w:rsid w:val="76CF76C2"/>
    <w:rsid w:val="775E8A65"/>
    <w:rsid w:val="776F3EE1"/>
    <w:rsid w:val="77A276D0"/>
    <w:rsid w:val="78822FD5"/>
    <w:rsid w:val="78CCB4C2"/>
    <w:rsid w:val="792358A6"/>
    <w:rsid w:val="7A36F026"/>
    <w:rsid w:val="7A433D75"/>
    <w:rsid w:val="7A471E55"/>
    <w:rsid w:val="7A6BFCE0"/>
    <w:rsid w:val="7AA9F087"/>
    <w:rsid w:val="7B401DAE"/>
    <w:rsid w:val="7BB7F2BA"/>
    <w:rsid w:val="7BEC17F3"/>
    <w:rsid w:val="7C33E746"/>
    <w:rsid w:val="7CB3AF0E"/>
    <w:rsid w:val="7D476DCC"/>
    <w:rsid w:val="7D7BC64E"/>
    <w:rsid w:val="7D9C3F94"/>
    <w:rsid w:val="7DB4612C"/>
    <w:rsid w:val="7E488C79"/>
    <w:rsid w:val="7EE23C6F"/>
    <w:rsid w:val="7FCA94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5C3B"/>
  <w15:chartTrackingRefBased/>
  <w15:docId w15:val="{AC6B9665-92A9-49EC-BF7A-C2B67E6C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37A"/>
    <w:rPr>
      <w:rFonts w:ascii="Arial" w:hAnsi="Arial"/>
      <w:sz w:val="22"/>
      <w:szCs w:val="22"/>
    </w:rPr>
  </w:style>
  <w:style w:type="paragraph" w:styleId="Heading1">
    <w:name w:val="heading 1"/>
    <w:basedOn w:val="Normal"/>
    <w:next w:val="Normal"/>
    <w:link w:val="Heading1Char"/>
    <w:autoRedefine/>
    <w:uiPriority w:val="9"/>
    <w:qFormat/>
    <w:rsid w:val="00016968"/>
    <w:pPr>
      <w:keepNext/>
      <w:keepLines/>
      <w:numPr>
        <w:numId w:val="2"/>
      </w:numPr>
      <w:spacing w:before="360" w:line="240" w:lineRule="auto"/>
      <w:outlineLvl w:val="0"/>
    </w:pPr>
    <w:rPr>
      <w:rFonts w:eastAsiaTheme="majorEastAsia" w:cstheme="majorBidi"/>
      <w:b/>
      <w:sz w:val="28"/>
      <w:szCs w:val="40"/>
    </w:rPr>
  </w:style>
  <w:style w:type="paragraph" w:styleId="Heading2">
    <w:name w:val="heading 2"/>
    <w:basedOn w:val="Normal"/>
    <w:next w:val="Normal"/>
    <w:link w:val="Heading2Char"/>
    <w:autoRedefine/>
    <w:uiPriority w:val="9"/>
    <w:unhideWhenUsed/>
    <w:qFormat/>
    <w:rsid w:val="00E20EF5"/>
    <w:pPr>
      <w:keepNext/>
      <w:keepLines/>
      <w:numPr>
        <w:ilvl w:val="1"/>
        <w:numId w:val="17"/>
      </w:numPr>
      <w:spacing w:before="240" w:line="240" w:lineRule="auto"/>
      <w:ind w:left="567" w:hanging="567"/>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674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968"/>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E20EF5"/>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674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7EA"/>
    <w:rPr>
      <w:rFonts w:eastAsiaTheme="majorEastAsia" w:cstheme="majorBidi"/>
      <w:color w:val="272727" w:themeColor="text1" w:themeTint="D8"/>
    </w:rPr>
  </w:style>
  <w:style w:type="paragraph" w:styleId="Title">
    <w:name w:val="Title"/>
    <w:basedOn w:val="Normal"/>
    <w:next w:val="Normal"/>
    <w:link w:val="TitleChar"/>
    <w:uiPriority w:val="10"/>
    <w:qFormat/>
    <w:rsid w:val="00674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7EA"/>
    <w:pPr>
      <w:spacing w:before="160"/>
      <w:jc w:val="center"/>
    </w:pPr>
    <w:rPr>
      <w:i/>
      <w:iCs/>
      <w:color w:val="404040" w:themeColor="text1" w:themeTint="BF"/>
    </w:rPr>
  </w:style>
  <w:style w:type="character" w:customStyle="1" w:styleId="QuoteChar">
    <w:name w:val="Quote Char"/>
    <w:basedOn w:val="DefaultParagraphFont"/>
    <w:link w:val="Quote"/>
    <w:uiPriority w:val="29"/>
    <w:rsid w:val="006747EA"/>
    <w:rPr>
      <w:i/>
      <w:iCs/>
      <w:color w:val="404040" w:themeColor="text1" w:themeTint="BF"/>
    </w:rPr>
  </w:style>
  <w:style w:type="paragraph" w:styleId="ListParagraph">
    <w:name w:val="List Paragraph"/>
    <w:basedOn w:val="Normal"/>
    <w:uiPriority w:val="34"/>
    <w:qFormat/>
    <w:rsid w:val="0033252F"/>
    <w:pPr>
      <w:numPr>
        <w:numId w:val="11"/>
      </w:numPr>
      <w:ind w:left="567" w:hanging="567"/>
    </w:pPr>
  </w:style>
  <w:style w:type="character" w:styleId="IntenseEmphasis">
    <w:name w:val="Intense Emphasis"/>
    <w:basedOn w:val="DefaultParagraphFont"/>
    <w:uiPriority w:val="21"/>
    <w:qFormat/>
    <w:rsid w:val="006747EA"/>
    <w:rPr>
      <w:i/>
      <w:iCs/>
      <w:color w:val="0F4761" w:themeColor="accent1" w:themeShade="BF"/>
    </w:rPr>
  </w:style>
  <w:style w:type="paragraph" w:styleId="IntenseQuote">
    <w:name w:val="Intense Quote"/>
    <w:basedOn w:val="Normal"/>
    <w:next w:val="Normal"/>
    <w:link w:val="IntenseQuoteChar"/>
    <w:uiPriority w:val="30"/>
    <w:qFormat/>
    <w:rsid w:val="00674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7EA"/>
    <w:rPr>
      <w:i/>
      <w:iCs/>
      <w:color w:val="0F4761" w:themeColor="accent1" w:themeShade="BF"/>
    </w:rPr>
  </w:style>
  <w:style w:type="character" w:styleId="IntenseReference">
    <w:name w:val="Intense Reference"/>
    <w:basedOn w:val="DefaultParagraphFont"/>
    <w:uiPriority w:val="32"/>
    <w:qFormat/>
    <w:rsid w:val="006747EA"/>
    <w:rPr>
      <w:b/>
      <w:bCs/>
      <w:smallCaps/>
      <w:color w:val="0F4761" w:themeColor="accent1" w:themeShade="BF"/>
      <w:spacing w:val="5"/>
    </w:rPr>
  </w:style>
  <w:style w:type="paragraph" w:styleId="TOCHeading">
    <w:name w:val="TOC Heading"/>
    <w:basedOn w:val="Heading1"/>
    <w:next w:val="Normal"/>
    <w:uiPriority w:val="39"/>
    <w:unhideWhenUsed/>
    <w:qFormat/>
    <w:rsid w:val="005B530D"/>
    <w:pPr>
      <w:spacing w:before="240" w:after="0"/>
      <w:outlineLvl w:val="9"/>
    </w:pPr>
    <w:rPr>
      <w:kern w:val="0"/>
      <w:sz w:val="32"/>
      <w:szCs w:val="32"/>
      <w:lang w:eastAsia="en-GB"/>
      <w14:ligatures w14:val="none"/>
    </w:rPr>
  </w:style>
  <w:style w:type="paragraph" w:styleId="FootnoteText">
    <w:name w:val="footnote text"/>
    <w:basedOn w:val="Normal"/>
    <w:link w:val="FootnoteTextChar"/>
    <w:uiPriority w:val="99"/>
    <w:semiHidden/>
    <w:unhideWhenUsed/>
    <w:rsid w:val="00D47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79ED"/>
    <w:rPr>
      <w:rFonts w:ascii="Arial" w:hAnsi="Arial"/>
      <w:sz w:val="20"/>
      <w:szCs w:val="20"/>
    </w:rPr>
  </w:style>
  <w:style w:type="character" w:styleId="FootnoteReference">
    <w:name w:val="footnote reference"/>
    <w:basedOn w:val="DefaultParagraphFont"/>
    <w:uiPriority w:val="99"/>
    <w:semiHidden/>
    <w:unhideWhenUsed/>
    <w:rsid w:val="00D479ED"/>
    <w:rPr>
      <w:vertAlign w:val="superscript"/>
    </w:rPr>
  </w:style>
  <w:style w:type="paragraph" w:styleId="TOC1">
    <w:name w:val="toc 1"/>
    <w:basedOn w:val="Normal"/>
    <w:next w:val="Normal"/>
    <w:autoRedefine/>
    <w:uiPriority w:val="39"/>
    <w:unhideWhenUsed/>
    <w:rsid w:val="00E722F9"/>
    <w:pPr>
      <w:spacing w:after="100"/>
    </w:pPr>
  </w:style>
  <w:style w:type="character" w:styleId="Hyperlink">
    <w:name w:val="Hyperlink"/>
    <w:basedOn w:val="DefaultParagraphFont"/>
    <w:uiPriority w:val="99"/>
    <w:unhideWhenUsed/>
    <w:rsid w:val="00E722F9"/>
    <w:rPr>
      <w:color w:val="467886" w:themeColor="hyperlink"/>
      <w:u w:val="single"/>
    </w:rPr>
  </w:style>
  <w:style w:type="paragraph" w:styleId="TOC2">
    <w:name w:val="toc 2"/>
    <w:basedOn w:val="Normal"/>
    <w:next w:val="Normal"/>
    <w:autoRedefine/>
    <w:uiPriority w:val="39"/>
    <w:unhideWhenUsed/>
    <w:rsid w:val="00385685"/>
    <w:pPr>
      <w:spacing w:after="100"/>
      <w:ind w:left="220"/>
    </w:pPr>
  </w:style>
  <w:style w:type="character" w:styleId="UnresolvedMention">
    <w:name w:val="Unresolved Mention"/>
    <w:basedOn w:val="DefaultParagraphFont"/>
    <w:uiPriority w:val="99"/>
    <w:semiHidden/>
    <w:unhideWhenUsed/>
    <w:rsid w:val="00F37C8A"/>
    <w:rPr>
      <w:color w:val="605E5C"/>
      <w:shd w:val="clear" w:color="auto" w:fill="E1DFDD"/>
    </w:rPr>
  </w:style>
  <w:style w:type="character" w:styleId="CommentReference">
    <w:name w:val="annotation reference"/>
    <w:basedOn w:val="DefaultParagraphFont"/>
    <w:uiPriority w:val="99"/>
    <w:semiHidden/>
    <w:unhideWhenUsed/>
    <w:rsid w:val="00522CFE"/>
    <w:rPr>
      <w:sz w:val="16"/>
      <w:szCs w:val="16"/>
    </w:rPr>
  </w:style>
  <w:style w:type="paragraph" w:styleId="CommentText">
    <w:name w:val="annotation text"/>
    <w:basedOn w:val="Normal"/>
    <w:link w:val="CommentTextChar"/>
    <w:uiPriority w:val="99"/>
    <w:unhideWhenUsed/>
    <w:rsid w:val="00522CFE"/>
    <w:pPr>
      <w:spacing w:line="240" w:lineRule="auto"/>
    </w:pPr>
    <w:rPr>
      <w:sz w:val="20"/>
      <w:szCs w:val="20"/>
    </w:rPr>
  </w:style>
  <w:style w:type="character" w:customStyle="1" w:styleId="CommentTextChar">
    <w:name w:val="Comment Text Char"/>
    <w:basedOn w:val="DefaultParagraphFont"/>
    <w:link w:val="CommentText"/>
    <w:uiPriority w:val="99"/>
    <w:rsid w:val="00522CF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22CFE"/>
    <w:rPr>
      <w:b/>
      <w:bCs/>
    </w:rPr>
  </w:style>
  <w:style w:type="character" w:customStyle="1" w:styleId="CommentSubjectChar">
    <w:name w:val="Comment Subject Char"/>
    <w:basedOn w:val="CommentTextChar"/>
    <w:link w:val="CommentSubject"/>
    <w:uiPriority w:val="99"/>
    <w:semiHidden/>
    <w:rsid w:val="00522CFE"/>
    <w:rPr>
      <w:rFonts w:ascii="Arial" w:hAnsi="Arial"/>
      <w:b/>
      <w:bCs/>
      <w:sz w:val="20"/>
      <w:szCs w:val="20"/>
    </w:rPr>
  </w:style>
  <w:style w:type="paragraph" w:styleId="Header">
    <w:name w:val="header"/>
    <w:basedOn w:val="Normal"/>
    <w:link w:val="HeaderChar"/>
    <w:uiPriority w:val="99"/>
    <w:unhideWhenUsed/>
    <w:rsid w:val="00EB3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667"/>
    <w:rPr>
      <w:rFonts w:ascii="Arial" w:hAnsi="Arial"/>
      <w:sz w:val="22"/>
      <w:szCs w:val="22"/>
    </w:rPr>
  </w:style>
  <w:style w:type="paragraph" w:styleId="Footer">
    <w:name w:val="footer"/>
    <w:basedOn w:val="Normal"/>
    <w:link w:val="FooterChar"/>
    <w:uiPriority w:val="99"/>
    <w:unhideWhenUsed/>
    <w:rsid w:val="00EB3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667"/>
    <w:rPr>
      <w:rFonts w:ascii="Arial" w:hAnsi="Arial"/>
      <w:sz w:val="22"/>
      <w:szCs w:val="22"/>
    </w:rPr>
  </w:style>
  <w:style w:type="paragraph" w:styleId="Revision">
    <w:name w:val="Revision"/>
    <w:hidden/>
    <w:uiPriority w:val="99"/>
    <w:semiHidden/>
    <w:rsid w:val="00FE0213"/>
    <w:pPr>
      <w:spacing w:after="0" w:line="240" w:lineRule="auto"/>
    </w:pPr>
    <w:rPr>
      <w:rFonts w:ascii="Arial" w:hAnsi="Arial"/>
      <w:sz w:val="22"/>
      <w:szCs w:val="22"/>
    </w:rPr>
  </w:style>
  <w:style w:type="table" w:styleId="TableGrid">
    <w:name w:val="Table Grid"/>
    <w:basedOn w:val="TableNormal"/>
    <w:uiPriority w:val="39"/>
    <w:rsid w:val="00C05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573B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573B2"/>
  </w:style>
  <w:style w:type="character" w:customStyle="1" w:styleId="eop">
    <w:name w:val="eop"/>
    <w:basedOn w:val="DefaultParagraphFont"/>
    <w:rsid w:val="00F573B2"/>
  </w:style>
  <w:style w:type="paragraph" w:styleId="NormalWeb">
    <w:name w:val="Normal (Web)"/>
    <w:basedOn w:val="Normal"/>
    <w:uiPriority w:val="99"/>
    <w:semiHidden/>
    <w:unhideWhenUsed/>
    <w:rsid w:val="00072B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DB32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find-tender.service.gov.uk/Notice/064939-2025" TargetMode="External"/><Relationship Id="rId3" Type="http://schemas.openxmlformats.org/officeDocument/2006/relationships/hyperlink" Target="https://www.england.nhs.uk/commissioning/how-commissioning-is-changing/nhs-provider-selection-regime/independent-patient-choice-and-procurement-panel/" TargetMode="External"/><Relationship Id="rId7" Type="http://schemas.openxmlformats.org/officeDocument/2006/relationships/hyperlink" Target="https://www.england.nhs.uk/long-read/the-provider-selection-regime-statutory-guidance/" TargetMode="External"/><Relationship Id="rId2" Type="http://schemas.openxmlformats.org/officeDocument/2006/relationships/hyperlink" Target="https://www.northerncarealliance.nhs.uk/" TargetMode="External"/><Relationship Id="rId1" Type="http://schemas.openxmlformats.org/officeDocument/2006/relationships/hyperlink" Target="https://www.endocare-diagnostics.co.uk/" TargetMode="External"/><Relationship Id="rId6" Type="http://schemas.openxmlformats.org/officeDocument/2006/relationships/hyperlink" Target="https://www.legislation.gov.uk/uksi/2023/1348/contents/made" TargetMode="External"/><Relationship Id="rId5" Type="http://schemas.openxmlformats.org/officeDocument/2006/relationships/hyperlink" Target="https://www.england.nhs.uk/commissioning/how-commissioning-is-changing/nhs-provider-selection-regime/independent-patient-choice-and-procurement-panel/" TargetMode="External"/><Relationship Id="rId10" Type="http://schemas.openxmlformats.org/officeDocument/2006/relationships/hyperlink" Target="https://www.england.nhs.uk/pay-syst/nhs-payment-scheme/" TargetMode="External"/><Relationship Id="rId4" Type="http://schemas.openxmlformats.org/officeDocument/2006/relationships/hyperlink" Target="https://www.england.nhs.uk/commissioning/how-commissioning-is-changing/nhs-provider-selection-regime/independent-patient-choice-and-procurement-panel/panel-members/" TargetMode="External"/><Relationship Id="rId9" Type="http://schemas.openxmlformats.org/officeDocument/2006/relationships/hyperlink" Target="https://venturehealt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N xmlns="96410c0b-a514-402d-9462-ba76dadfba38">CMS00</DocumentN>
    <Category xmlns="96410c0b-a514-402d-9462-ba76dadfba38">Case Document</Category>
    <_ip_UnifiedCompliancePolicyProperties xmlns="http://schemas.microsoft.com/sharepoint/v3" xsi:nil="true"/>
    <Duplicateversions xmlns="96410c0b-a514-402d-9462-ba76dadfba38" xsi:nil="true"/>
    <lcf76f155ced4ddcb4097134ff3c332f xmlns="96410c0b-a514-402d-9462-ba76dadfba38">
      <Terms xmlns="http://schemas.microsoft.com/office/infopath/2007/PartnerControls"/>
    </lcf76f155ced4ddcb4097134ff3c332f>
    <TaxCatchAll xmlns="47bd0a4b-cdef-49e3-b4c2-dc603af9f461" xsi:nil="true"/>
    <MeetingDate xmlns="96410c0b-a514-402d-9462-ba76dadfba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B4B43881409A4B9BCB39EE28F08756" ma:contentTypeVersion="28" ma:contentTypeDescription="Create a new document." ma:contentTypeScope="" ma:versionID="a05b2dce787b60fe7ff962efb2cfffe1">
  <xsd:schema xmlns:xsd="http://www.w3.org/2001/XMLSchema" xmlns:xs="http://www.w3.org/2001/XMLSchema" xmlns:p="http://schemas.microsoft.com/office/2006/metadata/properties" xmlns:ns1="http://schemas.microsoft.com/sharepoint/v3" xmlns:ns2="96410c0b-a514-402d-9462-ba76dadfba38" xmlns:ns3="47bd0a4b-cdef-49e3-b4c2-dc603af9f461" targetNamespace="http://schemas.microsoft.com/office/2006/metadata/properties" ma:root="true" ma:fieldsID="6186108655342bb1f944b7e0aa211fe1" ns1:_="" ns2:_="" ns3:_="">
    <xsd:import namespace="http://schemas.microsoft.com/sharepoint/v3"/>
    <xsd:import namespace="96410c0b-a514-402d-9462-ba76dadfba38"/>
    <xsd:import namespace="47bd0a4b-cdef-49e3-b4c2-dc603af9f461"/>
    <xsd:element name="properties">
      <xsd:complexType>
        <xsd:sequence>
          <xsd:element name="documentManagement">
            <xsd:complexType>
              <xsd:all>
                <xsd:element ref="ns2:Category" minOccurs="0"/>
                <xsd:element ref="ns2:MeetingDate" minOccurs="0"/>
                <xsd:element ref="ns2:DocumentN" minOccurs="0"/>
                <xsd:element ref="ns2:Duplicateversion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10c0b-a514-402d-9462-ba76dadfba38" elementFormDefault="qualified">
    <xsd:import namespace="http://schemas.microsoft.com/office/2006/documentManagement/types"/>
    <xsd:import namespace="http://schemas.microsoft.com/office/infopath/2007/PartnerControls"/>
    <xsd:element name="Category" ma:index="2" nillable="true" ma:displayName="Category " ma:format="Dropdown" ma:internalName="Category">
      <xsd:simpleType>
        <xsd:restriction base="dms:Choice">
          <xsd:enumeration value="Case Document"/>
          <xsd:enumeration value="Evidence Document"/>
          <xsd:enumeration value="E-correspondence"/>
          <xsd:enumeration value="Letter"/>
          <xsd:enumeration value="DO NOT USE"/>
        </xsd:restriction>
      </xsd:simpleType>
    </xsd:element>
    <xsd:element name="MeetingDate" ma:index="4" nillable="true" ma:displayName="Meeting Date " ma:format="DateOnly" ma:internalName="MeetingDate">
      <xsd:simpleType>
        <xsd:restriction base="dms:DateTime"/>
      </xsd:simpleType>
    </xsd:element>
    <xsd:element name="DocumentN" ma:index="5" nillable="true" ma:displayName="Document N" ma:format="Dropdown" ma:internalName="DocumentN">
      <xsd:simpleType>
        <xsd:restriction base="dms:Note">
          <xsd:maxLength value="255"/>
        </xsd:restriction>
      </xsd:simpleType>
    </xsd:element>
    <xsd:element name="Duplicateversions" ma:index="6" nillable="true" ma:displayName="Duplicate versions" ma:format="Dropdown" ma:internalName="Duplicateversion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bd0a4b-cdef-49e3-b4c2-dc603af9f4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ef46ec-daea-48c6-8848-a1cfc81ca0b7}" ma:internalName="TaxCatchAll" ma:showField="CatchAllData" ma:web="47bd0a4b-cdef-49e3-b4c2-dc603af9f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E0192-F7EE-425A-AABE-FB02ED5FD697}">
  <ds:schemaRefs>
    <ds:schemaRef ds:uri="http://schemas.microsoft.com/sharepoint/v3/contenttype/forms"/>
  </ds:schemaRefs>
</ds:datastoreItem>
</file>

<file path=customXml/itemProps2.xml><?xml version="1.0" encoding="utf-8"?>
<ds:datastoreItem xmlns:ds="http://schemas.openxmlformats.org/officeDocument/2006/customXml" ds:itemID="{04DDFE84-644E-49B5-B0EC-5211FF59EB63}">
  <ds:schemaRefs>
    <ds:schemaRef ds:uri="http://schemas.openxmlformats.org/officeDocument/2006/bibliography"/>
  </ds:schemaRefs>
</ds:datastoreItem>
</file>

<file path=customXml/itemProps3.xml><?xml version="1.0" encoding="utf-8"?>
<ds:datastoreItem xmlns:ds="http://schemas.openxmlformats.org/officeDocument/2006/customXml" ds:itemID="{14098A47-3B4F-4865-8239-54A54D5BFC6D}">
  <ds:schemaRefs>
    <ds:schemaRef ds:uri="http://schemas.microsoft.com/office/2006/metadata/properties"/>
    <ds:schemaRef ds:uri="http://schemas.microsoft.com/office/infopath/2007/PartnerControls"/>
    <ds:schemaRef ds:uri="http://schemas.microsoft.com/sharepoint/v3"/>
    <ds:schemaRef ds:uri="96410c0b-a514-402d-9462-ba76dadfba38"/>
    <ds:schemaRef ds:uri="47bd0a4b-cdef-49e3-b4c2-dc603af9f461"/>
  </ds:schemaRefs>
</ds:datastoreItem>
</file>

<file path=customXml/itemProps4.xml><?xml version="1.0" encoding="utf-8"?>
<ds:datastoreItem xmlns:ds="http://schemas.openxmlformats.org/officeDocument/2006/customXml" ds:itemID="{2A32F62C-0B91-478F-AB0B-70FCA355A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10c0b-a514-402d-9462-ba76dadfba38"/>
    <ds:schemaRef ds:uri="47bd0a4b-cdef-49e3-b4c2-dc603af9f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1774</TotalTime>
  <Pages>23</Pages>
  <Words>8559</Words>
  <Characters>48788</Characters>
  <Application>Microsoft Office Word</Application>
  <DocSecurity>8</DocSecurity>
  <Lines>406</Lines>
  <Paragraphs>114</Paragraphs>
  <ScaleCrop>false</ScaleCrop>
  <Company>NHS South, Central and West</Company>
  <LinksUpToDate>false</LinksUpToDate>
  <CharactersWithSpaces>57233</CharactersWithSpaces>
  <SharedDoc>false</SharedDoc>
  <HLinks>
    <vt:vector size="126" baseType="variant">
      <vt:variant>
        <vt:i4>1179708</vt:i4>
      </vt:variant>
      <vt:variant>
        <vt:i4>62</vt:i4>
      </vt:variant>
      <vt:variant>
        <vt:i4>0</vt:i4>
      </vt:variant>
      <vt:variant>
        <vt:i4>5</vt:i4>
      </vt:variant>
      <vt:variant>
        <vt:lpwstr/>
      </vt:variant>
      <vt:variant>
        <vt:lpwstr>_Toc230780614</vt:lpwstr>
      </vt:variant>
      <vt:variant>
        <vt:i4>1179708</vt:i4>
      </vt:variant>
      <vt:variant>
        <vt:i4>56</vt:i4>
      </vt:variant>
      <vt:variant>
        <vt:i4>0</vt:i4>
      </vt:variant>
      <vt:variant>
        <vt:i4>5</vt:i4>
      </vt:variant>
      <vt:variant>
        <vt:lpwstr/>
      </vt:variant>
      <vt:variant>
        <vt:lpwstr>_Toc230780613</vt:lpwstr>
      </vt:variant>
      <vt:variant>
        <vt:i4>1179708</vt:i4>
      </vt:variant>
      <vt:variant>
        <vt:i4>50</vt:i4>
      </vt:variant>
      <vt:variant>
        <vt:i4>0</vt:i4>
      </vt:variant>
      <vt:variant>
        <vt:i4>5</vt:i4>
      </vt:variant>
      <vt:variant>
        <vt:lpwstr/>
      </vt:variant>
      <vt:variant>
        <vt:lpwstr>_Toc230780612</vt:lpwstr>
      </vt:variant>
      <vt:variant>
        <vt:i4>1179708</vt:i4>
      </vt:variant>
      <vt:variant>
        <vt:i4>44</vt:i4>
      </vt:variant>
      <vt:variant>
        <vt:i4>0</vt:i4>
      </vt:variant>
      <vt:variant>
        <vt:i4>5</vt:i4>
      </vt:variant>
      <vt:variant>
        <vt:lpwstr/>
      </vt:variant>
      <vt:variant>
        <vt:lpwstr>_Toc230780611</vt:lpwstr>
      </vt:variant>
      <vt:variant>
        <vt:i4>1179708</vt:i4>
      </vt:variant>
      <vt:variant>
        <vt:i4>38</vt:i4>
      </vt:variant>
      <vt:variant>
        <vt:i4>0</vt:i4>
      </vt:variant>
      <vt:variant>
        <vt:i4>5</vt:i4>
      </vt:variant>
      <vt:variant>
        <vt:lpwstr/>
      </vt:variant>
      <vt:variant>
        <vt:lpwstr>_Toc230780610</vt:lpwstr>
      </vt:variant>
      <vt:variant>
        <vt:i4>1245244</vt:i4>
      </vt:variant>
      <vt:variant>
        <vt:i4>32</vt:i4>
      </vt:variant>
      <vt:variant>
        <vt:i4>0</vt:i4>
      </vt:variant>
      <vt:variant>
        <vt:i4>5</vt:i4>
      </vt:variant>
      <vt:variant>
        <vt:lpwstr/>
      </vt:variant>
      <vt:variant>
        <vt:lpwstr>_Toc230780609</vt:lpwstr>
      </vt:variant>
      <vt:variant>
        <vt:i4>1245244</vt:i4>
      </vt:variant>
      <vt:variant>
        <vt:i4>26</vt:i4>
      </vt:variant>
      <vt:variant>
        <vt:i4>0</vt:i4>
      </vt:variant>
      <vt:variant>
        <vt:i4>5</vt:i4>
      </vt:variant>
      <vt:variant>
        <vt:lpwstr/>
      </vt:variant>
      <vt:variant>
        <vt:lpwstr>_Toc230780608</vt:lpwstr>
      </vt:variant>
      <vt:variant>
        <vt:i4>1245244</vt:i4>
      </vt:variant>
      <vt:variant>
        <vt:i4>20</vt:i4>
      </vt:variant>
      <vt:variant>
        <vt:i4>0</vt:i4>
      </vt:variant>
      <vt:variant>
        <vt:i4>5</vt:i4>
      </vt:variant>
      <vt:variant>
        <vt:lpwstr/>
      </vt:variant>
      <vt:variant>
        <vt:lpwstr>_Toc230780607</vt:lpwstr>
      </vt:variant>
      <vt:variant>
        <vt:i4>1245244</vt:i4>
      </vt:variant>
      <vt:variant>
        <vt:i4>14</vt:i4>
      </vt:variant>
      <vt:variant>
        <vt:i4>0</vt:i4>
      </vt:variant>
      <vt:variant>
        <vt:i4>5</vt:i4>
      </vt:variant>
      <vt:variant>
        <vt:lpwstr/>
      </vt:variant>
      <vt:variant>
        <vt:lpwstr>_Toc230780606</vt:lpwstr>
      </vt:variant>
      <vt:variant>
        <vt:i4>1245244</vt:i4>
      </vt:variant>
      <vt:variant>
        <vt:i4>8</vt:i4>
      </vt:variant>
      <vt:variant>
        <vt:i4>0</vt:i4>
      </vt:variant>
      <vt:variant>
        <vt:i4>5</vt:i4>
      </vt:variant>
      <vt:variant>
        <vt:lpwstr/>
      </vt:variant>
      <vt:variant>
        <vt:lpwstr>_Toc230780605</vt:lpwstr>
      </vt:variant>
      <vt:variant>
        <vt:i4>1245244</vt:i4>
      </vt:variant>
      <vt:variant>
        <vt:i4>2</vt:i4>
      </vt:variant>
      <vt:variant>
        <vt:i4>0</vt:i4>
      </vt:variant>
      <vt:variant>
        <vt:i4>5</vt:i4>
      </vt:variant>
      <vt:variant>
        <vt:lpwstr/>
      </vt:variant>
      <vt:variant>
        <vt:lpwstr>_Toc230780604</vt:lpwstr>
      </vt:variant>
      <vt:variant>
        <vt:i4>6815794</vt:i4>
      </vt:variant>
      <vt:variant>
        <vt:i4>27</vt:i4>
      </vt:variant>
      <vt:variant>
        <vt:i4>0</vt:i4>
      </vt:variant>
      <vt:variant>
        <vt:i4>5</vt:i4>
      </vt:variant>
      <vt:variant>
        <vt:lpwstr>https://www.england.nhs.uk/pay-syst/nhs-payment-scheme/</vt:lpwstr>
      </vt:variant>
      <vt:variant>
        <vt:lpwstr/>
      </vt:variant>
      <vt:variant>
        <vt:i4>1310735</vt:i4>
      </vt:variant>
      <vt:variant>
        <vt:i4>24</vt:i4>
      </vt:variant>
      <vt:variant>
        <vt:i4>0</vt:i4>
      </vt:variant>
      <vt:variant>
        <vt:i4>5</vt:i4>
      </vt:variant>
      <vt:variant>
        <vt:lpwstr>https://venturehealth.co.uk/</vt:lpwstr>
      </vt:variant>
      <vt:variant>
        <vt:lpwstr/>
      </vt:variant>
      <vt:variant>
        <vt:i4>25</vt:i4>
      </vt:variant>
      <vt:variant>
        <vt:i4>21</vt:i4>
      </vt:variant>
      <vt:variant>
        <vt:i4>0</vt:i4>
      </vt:variant>
      <vt:variant>
        <vt:i4>5</vt:i4>
      </vt:variant>
      <vt:variant>
        <vt:lpwstr>https://www.find-tender.service.gov.uk/Notice/064939-2025</vt:lpwstr>
      </vt:variant>
      <vt:variant>
        <vt:lpwstr/>
      </vt:variant>
      <vt:variant>
        <vt:i4>2818172</vt:i4>
      </vt:variant>
      <vt:variant>
        <vt:i4>18</vt:i4>
      </vt:variant>
      <vt:variant>
        <vt:i4>0</vt:i4>
      </vt:variant>
      <vt:variant>
        <vt:i4>5</vt:i4>
      </vt:variant>
      <vt:variant>
        <vt:lpwstr>https://www.england.nhs.uk/long-read/the-provider-selection-regime-statutory-guidance/</vt:lpwstr>
      </vt:variant>
      <vt:variant>
        <vt:lpwstr/>
      </vt:variant>
      <vt:variant>
        <vt:i4>3670113</vt:i4>
      </vt:variant>
      <vt:variant>
        <vt:i4>15</vt:i4>
      </vt:variant>
      <vt:variant>
        <vt:i4>0</vt:i4>
      </vt:variant>
      <vt:variant>
        <vt:i4>5</vt:i4>
      </vt:variant>
      <vt:variant>
        <vt:lpwstr>https://www.legislation.gov.uk/uksi/2023/1348/contents/made</vt:lpwstr>
      </vt:variant>
      <vt:variant>
        <vt:lpwstr/>
      </vt:variant>
      <vt:variant>
        <vt:i4>7864419</vt:i4>
      </vt:variant>
      <vt:variant>
        <vt:i4>12</vt:i4>
      </vt:variant>
      <vt:variant>
        <vt:i4>0</vt:i4>
      </vt:variant>
      <vt:variant>
        <vt:i4>5</vt:i4>
      </vt:variant>
      <vt:variant>
        <vt:lpwstr>https://www.england.nhs.uk/commissioning/how-commissioning-is-changing/nhs-provider-selection-regime/independent-patient-choice-and-procurement-panel/</vt:lpwstr>
      </vt:variant>
      <vt:variant>
        <vt:lpwstr/>
      </vt:variant>
      <vt:variant>
        <vt:i4>720903</vt:i4>
      </vt:variant>
      <vt:variant>
        <vt:i4>9</vt:i4>
      </vt:variant>
      <vt:variant>
        <vt:i4>0</vt:i4>
      </vt:variant>
      <vt:variant>
        <vt:i4>5</vt:i4>
      </vt:variant>
      <vt:variant>
        <vt:lpwstr>https://www.england.nhs.uk/commissioning/how-commissioning-is-changing/nhs-provider-selection-regime/independent-patient-choice-and-procurement-panel/panel-members/</vt:lpwstr>
      </vt:variant>
      <vt:variant>
        <vt:lpwstr/>
      </vt:variant>
      <vt:variant>
        <vt:i4>7864419</vt:i4>
      </vt:variant>
      <vt:variant>
        <vt:i4>6</vt:i4>
      </vt:variant>
      <vt:variant>
        <vt:i4>0</vt:i4>
      </vt:variant>
      <vt:variant>
        <vt:i4>5</vt:i4>
      </vt:variant>
      <vt:variant>
        <vt:lpwstr>https://www.england.nhs.uk/commissioning/how-commissioning-is-changing/nhs-provider-selection-regime/independent-patient-choice-and-procurement-panel/</vt:lpwstr>
      </vt:variant>
      <vt:variant>
        <vt:lpwstr/>
      </vt:variant>
      <vt:variant>
        <vt:i4>1376347</vt:i4>
      </vt:variant>
      <vt:variant>
        <vt:i4>3</vt:i4>
      </vt:variant>
      <vt:variant>
        <vt:i4>0</vt:i4>
      </vt:variant>
      <vt:variant>
        <vt:i4>5</vt:i4>
      </vt:variant>
      <vt:variant>
        <vt:lpwstr>https://www.northerncarealliance.nhs.uk/</vt:lpwstr>
      </vt:variant>
      <vt:variant>
        <vt:lpwstr/>
      </vt:variant>
      <vt:variant>
        <vt:i4>6881343</vt:i4>
      </vt:variant>
      <vt:variant>
        <vt:i4>0</vt:i4>
      </vt:variant>
      <vt:variant>
        <vt:i4>0</vt:i4>
      </vt:variant>
      <vt:variant>
        <vt:i4>5</vt:i4>
      </vt:variant>
      <vt:variant>
        <vt:lpwstr>https://www.endocare-diagnostics.co.uk/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Amy (NHS SOUTH, CENTRAL AND WEST COMMISSIONING SUPPORT UNIT)</dc:creator>
  <cp:keywords/>
  <dc:description/>
  <cp:lastModifiedBy>GRIFFITHS, Tom (NHS SOUTH, CENTRAL AND WEST COMMISSIONING SUPPORT UNIT)</cp:lastModifiedBy>
  <cp:revision>2088</cp:revision>
  <cp:lastPrinted>2026-05-27T14:09:00Z</cp:lastPrinted>
  <dcterms:created xsi:type="dcterms:W3CDTF">2025-12-24T18:50:00Z</dcterms:created>
  <dcterms:modified xsi:type="dcterms:W3CDTF">2026-05-27T14:09:00Z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0x01010053B4B43881409A4B9BCB39EE28F08756</vt:lpwstr>
  </property>
  <property fmtid="{D5CDD505-2E9C-101B-9397-08002B2CF9AE}" pid="3" name="MediaServiceImageTags">
    <vt:lpwstr/>
  </property>
  <property fmtid="{D5CDD505-2E9C-101B-9397-08002B2CF9AE}" pid="4" name="docLang">
    <vt:lpwstr>en</vt:lpwstr>
  </property>
</Properties>
</file>