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30304" w14:textId="09F40198" w:rsidR="001315EF" w:rsidRPr="003D2E84" w:rsidRDefault="001315EF" w:rsidP="00095B3B">
      <w:pPr>
        <w:pStyle w:val="Heading2"/>
        <w:rPr>
          <w:rFonts w:asciiTheme="majorHAnsi" w:hAnsiTheme="majorHAnsi" w:cstheme="majorHAnsi"/>
          <w:color w:val="231F20" w:themeColor="background1"/>
        </w:rPr>
      </w:pPr>
      <w:bookmarkStart w:id="0" w:name="_Toc143602755"/>
      <w:bookmarkStart w:id="1" w:name="_Toc213684763"/>
      <w:r w:rsidRPr="003D2E84">
        <w:rPr>
          <w:rFonts w:asciiTheme="majorHAnsi" w:hAnsiTheme="majorHAnsi" w:cstheme="majorHAnsi"/>
          <w:color w:val="231F20" w:themeColor="background1"/>
        </w:rPr>
        <w:t>Annex 6.</w:t>
      </w:r>
      <w:r w:rsidR="008926D5">
        <w:rPr>
          <w:rFonts w:asciiTheme="majorHAnsi" w:hAnsiTheme="majorHAnsi" w:cstheme="majorHAnsi"/>
          <w:color w:val="231F20" w:themeColor="background1"/>
        </w:rPr>
        <w:t>9</w:t>
      </w:r>
      <w:r w:rsidRPr="003D2E84">
        <w:rPr>
          <w:rFonts w:asciiTheme="majorHAnsi" w:hAnsiTheme="majorHAnsi" w:cstheme="majorHAnsi"/>
          <w:color w:val="231F20" w:themeColor="background1"/>
        </w:rPr>
        <w:t xml:space="preserve"> Financial Contract Sanctions</w:t>
      </w:r>
      <w:bookmarkEnd w:id="0"/>
      <w:bookmarkEnd w:id="1"/>
    </w:p>
    <w:p w14:paraId="22C9965E" w14:textId="3163F9BD" w:rsidR="001315EF" w:rsidRPr="003D2E84" w:rsidRDefault="001315EF" w:rsidP="00E6396A">
      <w:pPr>
        <w:pStyle w:val="Form"/>
        <w:numPr>
          <w:ilvl w:val="6"/>
          <w:numId w:val="33"/>
        </w:numPr>
        <w:spacing w:after="280" w:line="360" w:lineRule="atLeast"/>
        <w:ind w:left="426" w:hanging="426"/>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Calculating a Financial Contract Sanction</w:t>
      </w:r>
    </w:p>
    <w:p w14:paraId="7F9A4A2D" w14:textId="6AA46306" w:rsidR="001315EF" w:rsidRPr="003D2E84" w:rsidRDefault="001315EF" w:rsidP="007B2564">
      <w:pPr>
        <w:pStyle w:val="Form"/>
        <w:numPr>
          <w:ilvl w:val="1"/>
          <w:numId w:val="84"/>
        </w:numPr>
        <w:spacing w:after="280" w:line="360" w:lineRule="atLeast"/>
        <w:ind w:left="1276" w:hanging="567"/>
        <w:rPr>
          <w:rFonts w:asciiTheme="majorHAnsi" w:hAnsiTheme="majorHAnsi" w:cstheme="majorHAnsi"/>
          <w:color w:val="231F20" w:themeColor="background1"/>
          <w:sz w:val="24"/>
        </w:rPr>
      </w:pPr>
      <w:r w:rsidRPr="003D2E84">
        <w:rPr>
          <w:rFonts w:asciiTheme="majorHAnsi" w:hAnsiTheme="majorHAnsi" w:cstheme="majorHAnsi"/>
          <w:bCs/>
          <w:color w:val="231F20" w:themeColor="background1"/>
          <w:sz w:val="24"/>
        </w:rPr>
        <w:t>W</w:t>
      </w:r>
      <w:r w:rsidRPr="003D2E84">
        <w:rPr>
          <w:rFonts w:asciiTheme="majorHAnsi" w:hAnsiTheme="majorHAnsi" w:cstheme="majorHAnsi"/>
          <w:color w:val="231F20" w:themeColor="background1"/>
          <w:sz w:val="24"/>
        </w:rPr>
        <w:t>here the Commissioner has a right of termination, e.g. due to a breach repeated after the issue of a Breach Notice, the Commissioner may:</w:t>
      </w:r>
    </w:p>
    <w:p w14:paraId="1F81D4F9" w14:textId="77777777" w:rsidR="00BC51DF" w:rsidRPr="003D2E84" w:rsidRDefault="001315EF" w:rsidP="007B2564">
      <w:pPr>
        <w:pStyle w:val="Form"/>
        <w:numPr>
          <w:ilvl w:val="2"/>
          <w:numId w:val="85"/>
        </w:numPr>
        <w:spacing w:after="280" w:line="360" w:lineRule="atLeast"/>
        <w:ind w:left="212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terminate a specific reciprocal obligation;</w:t>
      </w:r>
    </w:p>
    <w:p w14:paraId="69CB1E0E" w14:textId="77777777" w:rsidR="00BC51DF" w:rsidRPr="003D2E84" w:rsidRDefault="001315EF" w:rsidP="007B2564">
      <w:pPr>
        <w:pStyle w:val="Form"/>
        <w:numPr>
          <w:ilvl w:val="2"/>
          <w:numId w:val="85"/>
        </w:numPr>
        <w:spacing w:after="280" w:line="360" w:lineRule="atLeast"/>
        <w:ind w:left="212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suspend a specified reciprocal obligation for a period of up to six months; or</w:t>
      </w:r>
    </w:p>
    <w:p w14:paraId="1A1426BE" w14:textId="797A7443" w:rsidR="001315EF" w:rsidRPr="003D2E84" w:rsidRDefault="001315EF" w:rsidP="007B2564">
      <w:pPr>
        <w:pStyle w:val="Form"/>
        <w:numPr>
          <w:ilvl w:val="2"/>
          <w:numId w:val="85"/>
        </w:numPr>
        <w:spacing w:after="280" w:line="360" w:lineRule="atLeast"/>
        <w:ind w:left="212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withhold or deduct monies otherwise payable under the contract.</w:t>
      </w:r>
    </w:p>
    <w:p w14:paraId="4B3A5E20" w14:textId="4988D70C" w:rsidR="001315EF" w:rsidRPr="003D2E84" w:rsidRDefault="001315EF" w:rsidP="007B2564">
      <w:pPr>
        <w:pStyle w:val="Form"/>
        <w:numPr>
          <w:ilvl w:val="1"/>
          <w:numId w:val="84"/>
        </w:numPr>
        <w:spacing w:after="280" w:line="360" w:lineRule="atLeast"/>
        <w:ind w:left="1276" w:hanging="567"/>
        <w:rPr>
          <w:rFonts w:asciiTheme="majorHAnsi" w:hAnsiTheme="majorHAnsi" w:cstheme="majorHAnsi"/>
          <w:bCs/>
          <w:color w:val="231F20" w:themeColor="background1"/>
          <w:sz w:val="24"/>
        </w:rPr>
      </w:pPr>
      <w:r w:rsidRPr="003D2E84">
        <w:rPr>
          <w:rFonts w:asciiTheme="majorHAnsi" w:hAnsiTheme="majorHAnsi" w:cstheme="majorHAnsi"/>
          <w:bCs/>
          <w:color w:val="231F20" w:themeColor="background1"/>
          <w:sz w:val="24"/>
        </w:rPr>
        <w:t xml:space="preserve">An example of where a financial sanction might be an appropriate action to take rather than termination would be where a Contractor has claimed for GOS sight tests and has failed to provide evidence of the sight tests taking place. </w:t>
      </w:r>
    </w:p>
    <w:p w14:paraId="5B30AF87" w14:textId="3580D543" w:rsidR="001315EF" w:rsidRPr="003D2E84" w:rsidRDefault="001315EF" w:rsidP="007B2564">
      <w:pPr>
        <w:pStyle w:val="Form"/>
        <w:numPr>
          <w:ilvl w:val="1"/>
          <w:numId w:val="84"/>
        </w:numPr>
        <w:spacing w:after="280" w:line="360" w:lineRule="atLeast"/>
        <w:ind w:left="1276" w:hanging="567"/>
        <w:rPr>
          <w:rFonts w:asciiTheme="majorHAnsi" w:hAnsiTheme="majorHAnsi" w:cstheme="majorHAnsi"/>
          <w:bCs/>
          <w:color w:val="231F20" w:themeColor="background1"/>
          <w:sz w:val="24"/>
        </w:rPr>
      </w:pPr>
      <w:r w:rsidRPr="003D2E84">
        <w:rPr>
          <w:rFonts w:asciiTheme="majorHAnsi" w:hAnsiTheme="majorHAnsi" w:cstheme="majorHAnsi"/>
          <w:bCs/>
          <w:color w:val="231F20" w:themeColor="background1"/>
          <w:sz w:val="24"/>
        </w:rPr>
        <w:t xml:space="preserve">The Commissioner cannot arbitrarily determine a penalty sum and, as in all areas of contract management, the Commissioner is required to act reasonably in setting Contract Sanctions. A financial Contract Sanction should therefore be proportionate to the repeated breach. </w:t>
      </w:r>
    </w:p>
    <w:p w14:paraId="7CEA6000" w14:textId="6A25085F" w:rsidR="001315EF" w:rsidRPr="003D2E84" w:rsidRDefault="001315EF" w:rsidP="007B2564">
      <w:pPr>
        <w:pStyle w:val="Form"/>
        <w:numPr>
          <w:ilvl w:val="1"/>
          <w:numId w:val="84"/>
        </w:numPr>
        <w:spacing w:after="280" w:line="360" w:lineRule="atLeast"/>
        <w:ind w:left="1276" w:hanging="567"/>
        <w:rPr>
          <w:rFonts w:asciiTheme="majorHAnsi" w:hAnsiTheme="majorHAnsi" w:cstheme="majorHAnsi"/>
          <w:bCs/>
          <w:color w:val="231F20" w:themeColor="background1"/>
          <w:sz w:val="24"/>
        </w:rPr>
      </w:pPr>
      <w:r w:rsidRPr="003D2E84">
        <w:rPr>
          <w:rFonts w:asciiTheme="majorHAnsi" w:hAnsiTheme="majorHAnsi" w:cstheme="majorHAnsi"/>
          <w:bCs/>
          <w:color w:val="231F20" w:themeColor="background1"/>
          <w:sz w:val="24"/>
        </w:rPr>
        <w:t xml:space="preserve">The Commissioner may also wish to take into account the cost to the Commissioner in management time involved in investigating and processing the breach. The hourly cost for management time should be clearly set out. </w:t>
      </w:r>
    </w:p>
    <w:p w14:paraId="1848CCEF" w14:textId="0F194F58" w:rsidR="001315EF" w:rsidRPr="003D2E84" w:rsidRDefault="001315EF" w:rsidP="007B2564">
      <w:pPr>
        <w:pStyle w:val="Form"/>
        <w:numPr>
          <w:ilvl w:val="1"/>
          <w:numId w:val="84"/>
        </w:numPr>
        <w:spacing w:after="280" w:line="360" w:lineRule="atLeast"/>
        <w:ind w:left="1276" w:hanging="56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Some examples of calculating a financial Contract Sanction are provided below for consideration:</w:t>
      </w:r>
    </w:p>
    <w:p w14:paraId="0EC8D735" w14:textId="46672F05" w:rsidR="00ED521B" w:rsidRPr="003D2E84" w:rsidRDefault="001315EF" w:rsidP="007B2564">
      <w:pPr>
        <w:pStyle w:val="Form"/>
        <w:numPr>
          <w:ilvl w:val="2"/>
          <w:numId w:val="84"/>
        </w:numPr>
        <w:spacing w:after="280" w:line="360" w:lineRule="atLeast"/>
        <w:ind w:left="212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The higher of the cost of re-provision and the contractual cost – where the breach is ongoing and a contract service cost can be quantified;</w:t>
      </w:r>
    </w:p>
    <w:p w14:paraId="334B9BAA" w14:textId="21AEBF7A" w:rsidR="00ED521B" w:rsidRPr="003D2E84" w:rsidRDefault="001315EF" w:rsidP="007B2564">
      <w:pPr>
        <w:pStyle w:val="Form"/>
        <w:numPr>
          <w:ilvl w:val="2"/>
          <w:numId w:val="84"/>
        </w:numPr>
        <w:spacing w:after="280" w:line="360" w:lineRule="atLeast"/>
        <w:ind w:left="212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The contractual service cost – where the breach has been remedied and the service cost can be quantified;</w:t>
      </w:r>
    </w:p>
    <w:p w14:paraId="5665B4FA" w14:textId="3BC1CA76" w:rsidR="00ED521B" w:rsidRPr="003D2E84" w:rsidRDefault="001315EF" w:rsidP="007B2564">
      <w:pPr>
        <w:pStyle w:val="Form"/>
        <w:numPr>
          <w:ilvl w:val="2"/>
          <w:numId w:val="84"/>
        </w:numPr>
        <w:spacing w:after="280" w:line="360" w:lineRule="atLeast"/>
        <w:ind w:left="212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Plus, in both the above examples, the cost to the Commissioner in management time involved in investigating and processing the breach;</w:t>
      </w:r>
    </w:p>
    <w:p w14:paraId="64647D90" w14:textId="68F15E66" w:rsidR="005B70E7" w:rsidRPr="009E002B" w:rsidRDefault="001315EF" w:rsidP="009E002B">
      <w:pPr>
        <w:pStyle w:val="Form"/>
        <w:numPr>
          <w:ilvl w:val="2"/>
          <w:numId w:val="84"/>
        </w:numPr>
        <w:spacing w:after="280" w:line="360" w:lineRule="atLeast"/>
        <w:ind w:left="2127"/>
        <w:rPr>
          <w:rFonts w:asciiTheme="majorHAnsi" w:hAnsiTheme="majorHAnsi" w:cstheme="majorHAnsi"/>
          <w:color w:val="231F20" w:themeColor="background1"/>
          <w:sz w:val="24"/>
        </w:rPr>
      </w:pPr>
      <w:r w:rsidRPr="003D2E84">
        <w:rPr>
          <w:rFonts w:asciiTheme="majorHAnsi" w:hAnsiTheme="majorHAnsi" w:cstheme="majorHAnsi"/>
          <w:color w:val="231F20" w:themeColor="background1"/>
          <w:sz w:val="24"/>
        </w:rPr>
        <w:t>Where the contract service cannot be quantified, the cost to the Commissioner in management time involved in investigating and processing the breach.</w:t>
      </w:r>
    </w:p>
    <w:sectPr w:rsidR="005B70E7" w:rsidRPr="009E002B" w:rsidSect="009E002B">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087CA" w14:textId="77777777" w:rsidR="00ED3188" w:rsidRDefault="00ED3188" w:rsidP="000C24AF">
      <w:pPr>
        <w:spacing w:after="0"/>
      </w:pPr>
      <w:r>
        <w:separator/>
      </w:r>
    </w:p>
  </w:endnote>
  <w:endnote w:type="continuationSeparator" w:id="0">
    <w:p w14:paraId="49ACBD6B" w14:textId="77777777" w:rsidR="00ED3188" w:rsidRDefault="00ED3188" w:rsidP="000C24AF">
      <w:pPr>
        <w:spacing w:after="0"/>
      </w:pPr>
      <w:r>
        <w:continuationSeparator/>
      </w:r>
    </w:p>
  </w:endnote>
  <w:endnote w:type="continuationNotice" w:id="1">
    <w:p w14:paraId="200E25CB" w14:textId="77777777" w:rsidR="00ED3188" w:rsidRDefault="00ED31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4B9B8" w14:textId="77777777" w:rsidR="00ED3188" w:rsidRDefault="00ED3188" w:rsidP="000C24AF">
      <w:pPr>
        <w:spacing w:after="0"/>
      </w:pPr>
      <w:r>
        <w:separator/>
      </w:r>
    </w:p>
  </w:footnote>
  <w:footnote w:type="continuationSeparator" w:id="0">
    <w:p w14:paraId="3CC395C1" w14:textId="77777777" w:rsidR="00ED3188" w:rsidRDefault="00ED3188" w:rsidP="000C24AF">
      <w:pPr>
        <w:spacing w:after="0"/>
      </w:pPr>
      <w:r>
        <w:continuationSeparator/>
      </w:r>
    </w:p>
  </w:footnote>
  <w:footnote w:type="continuationNotice" w:id="1">
    <w:p w14:paraId="7007E903" w14:textId="77777777" w:rsidR="00ED3188" w:rsidRDefault="00ED31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C6D7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05A9"/>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6946"/>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E002B"/>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59E2"/>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BB0"/>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A0BF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188"/>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3.xml><?xml version="1.0" encoding="utf-8"?>
<ds:datastoreItem xmlns:ds="http://schemas.openxmlformats.org/officeDocument/2006/customXml" ds:itemID="{FF95D4DA-71D7-4666-B731-2BC9BB901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1467</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2025-12-15T16:21:00Z</dcterms:created>
  <dcterms:modified xsi:type="dcterms:W3CDTF">2026-08-11T16:10:00Z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